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13BD4">
      <w:pPr>
        <w:autoSpaceDE w:val="0"/>
        <w:autoSpaceDN w:val="0"/>
        <w:adjustRightInd w:val="0"/>
        <w:spacing w:line="360" w:lineRule="auto"/>
        <w:jc w:val="center"/>
        <w:rPr>
          <w:rFonts w:ascii="宋体" w:cs="宋体"/>
          <w:color w:val="000000"/>
          <w:kern w:val="0"/>
          <w:sz w:val="24"/>
        </w:rPr>
      </w:pPr>
      <w:r>
        <w:rPr>
          <w:rFonts w:hint="eastAsia" w:ascii="宋体" w:cs="宋体"/>
          <w:color w:val="000000"/>
          <w:kern w:val="0"/>
          <w:sz w:val="24"/>
        </w:rPr>
        <w:t>证券代码：603079                                   证券简称：圣达生物</w:t>
      </w:r>
    </w:p>
    <w:p w14:paraId="61411B91">
      <w:pPr>
        <w:autoSpaceDE w:val="0"/>
        <w:autoSpaceDN w:val="0"/>
        <w:adjustRightInd w:val="0"/>
        <w:spacing w:line="360" w:lineRule="auto"/>
        <w:jc w:val="center"/>
        <w:rPr>
          <w:rFonts w:ascii="宋体" w:cs="宋体"/>
          <w:color w:val="000000"/>
          <w:kern w:val="0"/>
          <w:sz w:val="24"/>
        </w:rPr>
      </w:pPr>
    </w:p>
    <w:p w14:paraId="19CB6491">
      <w:pPr>
        <w:autoSpaceDE w:val="0"/>
        <w:autoSpaceDN w:val="0"/>
        <w:adjustRightInd w:val="0"/>
        <w:spacing w:line="360" w:lineRule="auto"/>
        <w:jc w:val="center"/>
        <w:rPr>
          <w:rFonts w:ascii="宋体" w:cs="宋体"/>
          <w:b/>
          <w:color w:val="000000"/>
          <w:kern w:val="0"/>
          <w:sz w:val="36"/>
          <w:szCs w:val="36"/>
        </w:rPr>
      </w:pPr>
      <w:r>
        <w:rPr>
          <w:rFonts w:hint="eastAsia" w:ascii="宋体" w:cs="宋体"/>
          <w:b/>
          <w:color w:val="000000"/>
          <w:kern w:val="0"/>
          <w:sz w:val="36"/>
          <w:szCs w:val="36"/>
        </w:rPr>
        <w:t>浙江圣达生物药业股份有限公司</w:t>
      </w:r>
    </w:p>
    <w:p w14:paraId="2ADDCED1">
      <w:pPr>
        <w:autoSpaceDE w:val="0"/>
        <w:autoSpaceDN w:val="0"/>
        <w:adjustRightInd w:val="0"/>
        <w:spacing w:line="360" w:lineRule="auto"/>
        <w:jc w:val="center"/>
        <w:rPr>
          <w:rFonts w:ascii="宋体" w:cs="宋体"/>
          <w:b/>
          <w:color w:val="000000"/>
          <w:kern w:val="0"/>
          <w:sz w:val="36"/>
          <w:szCs w:val="36"/>
        </w:rPr>
      </w:pPr>
      <w:r>
        <w:rPr>
          <w:rFonts w:hint="eastAsia" w:ascii="宋体" w:cs="宋体"/>
          <w:b/>
          <w:color w:val="000000"/>
          <w:kern w:val="0"/>
          <w:sz w:val="36"/>
          <w:szCs w:val="36"/>
        </w:rPr>
        <w:t>投资者关系活动记录表</w:t>
      </w:r>
    </w:p>
    <w:p w14:paraId="1A53EDFD">
      <w:pPr>
        <w:autoSpaceDE w:val="0"/>
        <w:autoSpaceDN w:val="0"/>
        <w:spacing w:line="360" w:lineRule="auto"/>
        <w:jc w:val="center"/>
        <w:rPr>
          <w:rFonts w:ascii="宋体" w:cs="宋体"/>
          <w:b/>
          <w:color w:val="000000"/>
          <w:kern w:val="0"/>
          <w:sz w:val="28"/>
          <w:szCs w:val="28"/>
        </w:rPr>
      </w:pPr>
    </w:p>
    <w:tbl>
      <w:tblPr>
        <w:tblStyle w:val="4"/>
        <w:tblW w:w="5000" w:type="pct"/>
        <w:tblInd w:w="0" w:type="dxa"/>
        <w:tblLayout w:type="fixed"/>
        <w:tblCellMar>
          <w:top w:w="0" w:type="dxa"/>
          <w:left w:w="108" w:type="dxa"/>
          <w:bottom w:w="0" w:type="dxa"/>
          <w:right w:w="108" w:type="dxa"/>
        </w:tblCellMar>
      </w:tblPr>
      <w:tblGrid>
        <w:gridCol w:w="1802"/>
        <w:gridCol w:w="6726"/>
      </w:tblGrid>
      <w:tr w14:paraId="443031E7">
        <w:tblPrEx>
          <w:tblCellMar>
            <w:top w:w="0" w:type="dxa"/>
            <w:left w:w="108" w:type="dxa"/>
            <w:bottom w:w="0" w:type="dxa"/>
            <w:right w:w="108" w:type="dxa"/>
          </w:tblCellMar>
        </w:tblPrEx>
        <w:trPr>
          <w:trHeight w:val="387" w:hRule="atLeast"/>
        </w:trPr>
        <w:tc>
          <w:tcPr>
            <w:tcW w:w="1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7B52A">
            <w:pPr>
              <w:widowControl/>
              <w:spacing w:line="360" w:lineRule="auto"/>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投资者关系活动类别</w:t>
            </w:r>
            <w:r>
              <w:rPr>
                <w:rStyle w:val="8"/>
                <w:rFonts w:asciiTheme="minorEastAsia" w:hAnsiTheme="minorEastAsia" w:eastAsiaTheme="minorEastAsia" w:cstheme="minorEastAsia"/>
                <w:lang w:bidi="ar"/>
              </w:rPr>
              <w:t xml:space="preserve"> </w:t>
            </w:r>
          </w:p>
        </w:tc>
        <w:tc>
          <w:tcPr>
            <w:tcW w:w="65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3195E">
            <w:pPr>
              <w:widowControl/>
              <w:spacing w:line="360" w:lineRule="auto"/>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投资者调研</w:t>
            </w:r>
          </w:p>
        </w:tc>
      </w:tr>
      <w:tr w14:paraId="41D33DF2">
        <w:tblPrEx>
          <w:tblCellMar>
            <w:top w:w="0" w:type="dxa"/>
            <w:left w:w="108" w:type="dxa"/>
            <w:bottom w:w="0" w:type="dxa"/>
            <w:right w:w="108" w:type="dxa"/>
          </w:tblCellMar>
        </w:tblPrEx>
        <w:trPr>
          <w:trHeight w:val="256" w:hRule="atLeast"/>
        </w:trPr>
        <w:tc>
          <w:tcPr>
            <w:tcW w:w="1753" w:type="dxa"/>
            <w:vMerge w:val="restart"/>
            <w:tcBorders>
              <w:top w:val="nil"/>
              <w:left w:val="single" w:color="000000" w:sz="8" w:space="0"/>
              <w:bottom w:val="single" w:color="000000" w:sz="8" w:space="0"/>
              <w:right w:val="single" w:color="000000" w:sz="8" w:space="0"/>
            </w:tcBorders>
            <w:shd w:val="clear" w:color="auto" w:fill="auto"/>
            <w:vAlign w:val="center"/>
          </w:tcPr>
          <w:p w14:paraId="67CABACD">
            <w:pPr>
              <w:widowControl/>
              <w:spacing w:line="360" w:lineRule="auto"/>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参与单位名称及人员姓名</w:t>
            </w:r>
            <w:r>
              <w:rPr>
                <w:rStyle w:val="8"/>
                <w:rFonts w:asciiTheme="minorEastAsia" w:hAnsiTheme="minorEastAsia" w:eastAsiaTheme="minorEastAsia" w:cstheme="minorEastAsia"/>
                <w:lang w:bidi="ar"/>
              </w:rPr>
              <w:t xml:space="preserve"> </w:t>
            </w:r>
          </w:p>
        </w:tc>
        <w:tc>
          <w:tcPr>
            <w:tcW w:w="6539" w:type="dxa"/>
            <w:tcBorders>
              <w:top w:val="nil"/>
              <w:left w:val="single" w:color="000000" w:sz="8" w:space="0"/>
              <w:bottom w:val="nil"/>
              <w:right w:val="single" w:color="000000" w:sz="8" w:space="0"/>
            </w:tcBorders>
            <w:shd w:val="clear" w:color="auto" w:fill="auto"/>
            <w:vAlign w:val="center"/>
          </w:tcPr>
          <w:p w14:paraId="5DCFC7A2">
            <w:pPr>
              <w:widowControl/>
              <w:spacing w:line="360" w:lineRule="auto"/>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宽潭资本 周天羽</w:t>
            </w:r>
          </w:p>
        </w:tc>
      </w:tr>
      <w:tr w14:paraId="31C2CC1D">
        <w:tblPrEx>
          <w:tblCellMar>
            <w:top w:w="0" w:type="dxa"/>
            <w:left w:w="108" w:type="dxa"/>
            <w:bottom w:w="0" w:type="dxa"/>
            <w:right w:w="108" w:type="dxa"/>
          </w:tblCellMar>
        </w:tblPrEx>
        <w:trPr>
          <w:trHeight w:val="327" w:hRule="atLeast"/>
        </w:trPr>
        <w:tc>
          <w:tcPr>
            <w:tcW w:w="1753" w:type="dxa"/>
            <w:vMerge w:val="continue"/>
            <w:tcBorders>
              <w:top w:val="nil"/>
              <w:left w:val="single" w:color="000000" w:sz="8" w:space="0"/>
              <w:bottom w:val="single" w:color="000000" w:sz="8" w:space="0"/>
              <w:right w:val="single" w:color="000000" w:sz="8" w:space="0"/>
            </w:tcBorders>
            <w:shd w:val="clear" w:color="auto" w:fill="auto"/>
            <w:vAlign w:val="center"/>
          </w:tcPr>
          <w:p w14:paraId="11380CE1">
            <w:pPr>
              <w:spacing w:line="360" w:lineRule="auto"/>
              <w:rPr>
                <w:rFonts w:hint="eastAsia" w:asciiTheme="minorEastAsia" w:hAnsiTheme="minorEastAsia" w:eastAsiaTheme="minorEastAsia" w:cstheme="minorEastAsia"/>
                <w:color w:val="000000"/>
                <w:sz w:val="24"/>
              </w:rPr>
            </w:pPr>
          </w:p>
        </w:tc>
        <w:tc>
          <w:tcPr>
            <w:tcW w:w="6539" w:type="dxa"/>
            <w:tcBorders>
              <w:top w:val="nil"/>
              <w:left w:val="single" w:color="000000" w:sz="8" w:space="0"/>
              <w:bottom w:val="nil"/>
              <w:right w:val="single" w:color="000000" w:sz="8" w:space="0"/>
            </w:tcBorders>
            <w:shd w:val="clear" w:color="auto" w:fill="auto"/>
            <w:vAlign w:val="center"/>
          </w:tcPr>
          <w:p w14:paraId="0FCB6DD2">
            <w:pPr>
              <w:widowControl/>
              <w:spacing w:line="360" w:lineRule="auto"/>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宽潭资本 戎勉</w:t>
            </w:r>
          </w:p>
        </w:tc>
      </w:tr>
      <w:tr w14:paraId="72630EF0">
        <w:tblPrEx>
          <w:tblCellMar>
            <w:top w:w="0" w:type="dxa"/>
            <w:left w:w="108" w:type="dxa"/>
            <w:bottom w:w="0" w:type="dxa"/>
            <w:right w:w="108" w:type="dxa"/>
          </w:tblCellMar>
        </w:tblPrEx>
        <w:trPr>
          <w:trHeight w:val="327" w:hRule="atLeast"/>
        </w:trPr>
        <w:tc>
          <w:tcPr>
            <w:tcW w:w="1753" w:type="dxa"/>
            <w:vMerge w:val="continue"/>
            <w:tcBorders>
              <w:top w:val="nil"/>
              <w:left w:val="single" w:color="000000" w:sz="8" w:space="0"/>
              <w:bottom w:val="single" w:color="000000" w:sz="8" w:space="0"/>
              <w:right w:val="single" w:color="000000" w:sz="8" w:space="0"/>
            </w:tcBorders>
            <w:shd w:val="clear" w:color="auto" w:fill="auto"/>
            <w:vAlign w:val="center"/>
          </w:tcPr>
          <w:p w14:paraId="569093D6">
            <w:pPr>
              <w:spacing w:line="360" w:lineRule="auto"/>
              <w:rPr>
                <w:rFonts w:hint="eastAsia" w:asciiTheme="minorEastAsia" w:hAnsiTheme="minorEastAsia" w:eastAsiaTheme="minorEastAsia" w:cstheme="minorEastAsia"/>
                <w:color w:val="000000"/>
                <w:sz w:val="24"/>
              </w:rPr>
            </w:pPr>
          </w:p>
        </w:tc>
        <w:tc>
          <w:tcPr>
            <w:tcW w:w="6539" w:type="dxa"/>
            <w:tcBorders>
              <w:top w:val="nil"/>
              <w:left w:val="single" w:color="000000" w:sz="8" w:space="0"/>
              <w:bottom w:val="nil"/>
              <w:right w:val="single" w:color="000000" w:sz="8" w:space="0"/>
            </w:tcBorders>
            <w:shd w:val="clear" w:color="auto" w:fill="auto"/>
            <w:vAlign w:val="center"/>
          </w:tcPr>
          <w:p w14:paraId="5E3D5BAB">
            <w:pPr>
              <w:widowControl/>
              <w:spacing w:line="360" w:lineRule="auto"/>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圆信永丰</w:t>
            </w:r>
            <w:r>
              <w:rPr>
                <w:rFonts w:hint="eastAsia" w:asciiTheme="minorEastAsia" w:hAnsiTheme="minorEastAsia" w:eastAsiaTheme="minorEastAsia" w:cstheme="minorEastAsia"/>
                <w:color w:val="000000"/>
                <w:kern w:val="0"/>
                <w:sz w:val="24"/>
                <w:lang w:eastAsia="zh-CN" w:bidi="ar"/>
              </w:rPr>
              <w:t>基金</w:t>
            </w:r>
            <w:r>
              <w:rPr>
                <w:rStyle w:val="9"/>
                <w:rFonts w:hint="eastAsia" w:asciiTheme="minorEastAsia" w:hAnsiTheme="minorEastAsia" w:eastAsiaTheme="minorEastAsia" w:cstheme="minorEastAsia"/>
                <w:lang w:bidi="ar"/>
              </w:rPr>
              <w:t xml:space="preserve"> </w:t>
            </w:r>
            <w:r>
              <w:rPr>
                <w:rStyle w:val="8"/>
                <w:rFonts w:asciiTheme="minorEastAsia" w:hAnsiTheme="minorEastAsia" w:eastAsiaTheme="minorEastAsia" w:cstheme="minorEastAsia"/>
                <w:lang w:bidi="ar"/>
              </w:rPr>
              <w:t>李阳</w:t>
            </w:r>
          </w:p>
        </w:tc>
      </w:tr>
      <w:tr w14:paraId="0F162FAF">
        <w:tblPrEx>
          <w:tblCellMar>
            <w:top w:w="0" w:type="dxa"/>
            <w:left w:w="108" w:type="dxa"/>
            <w:bottom w:w="0" w:type="dxa"/>
            <w:right w:w="108" w:type="dxa"/>
          </w:tblCellMar>
        </w:tblPrEx>
        <w:trPr>
          <w:trHeight w:val="327" w:hRule="atLeast"/>
        </w:trPr>
        <w:tc>
          <w:tcPr>
            <w:tcW w:w="1753" w:type="dxa"/>
            <w:vMerge w:val="continue"/>
            <w:tcBorders>
              <w:top w:val="nil"/>
              <w:left w:val="single" w:color="000000" w:sz="8" w:space="0"/>
              <w:bottom w:val="single" w:color="000000" w:sz="8" w:space="0"/>
              <w:right w:val="single" w:color="000000" w:sz="8" w:space="0"/>
            </w:tcBorders>
            <w:shd w:val="clear" w:color="auto" w:fill="auto"/>
            <w:vAlign w:val="center"/>
          </w:tcPr>
          <w:p w14:paraId="27A50B74">
            <w:pPr>
              <w:spacing w:line="360" w:lineRule="auto"/>
              <w:rPr>
                <w:rFonts w:hint="eastAsia" w:asciiTheme="minorEastAsia" w:hAnsiTheme="minorEastAsia" w:eastAsiaTheme="minorEastAsia" w:cstheme="minorEastAsia"/>
                <w:color w:val="000000"/>
                <w:sz w:val="24"/>
              </w:rPr>
            </w:pPr>
          </w:p>
        </w:tc>
        <w:tc>
          <w:tcPr>
            <w:tcW w:w="6539" w:type="dxa"/>
            <w:tcBorders>
              <w:top w:val="nil"/>
              <w:left w:val="single" w:color="000000" w:sz="8" w:space="0"/>
              <w:bottom w:val="single" w:color="000000" w:sz="8" w:space="0"/>
              <w:right w:val="single" w:color="000000" w:sz="8" w:space="0"/>
            </w:tcBorders>
            <w:shd w:val="clear" w:color="auto" w:fill="auto"/>
            <w:vAlign w:val="center"/>
          </w:tcPr>
          <w:p w14:paraId="323635FF">
            <w:pPr>
              <w:widowControl/>
              <w:spacing w:line="360" w:lineRule="auto"/>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国泰海通证券 周志鹏</w:t>
            </w:r>
          </w:p>
        </w:tc>
      </w:tr>
      <w:tr w14:paraId="7D640191">
        <w:tblPrEx>
          <w:tblCellMar>
            <w:top w:w="0" w:type="dxa"/>
            <w:left w:w="108" w:type="dxa"/>
            <w:bottom w:w="0" w:type="dxa"/>
            <w:right w:w="108" w:type="dxa"/>
          </w:tblCellMar>
        </w:tblPrEx>
        <w:trPr>
          <w:trHeight w:val="440" w:hRule="atLeast"/>
        </w:trPr>
        <w:tc>
          <w:tcPr>
            <w:tcW w:w="1753" w:type="dxa"/>
            <w:tcBorders>
              <w:top w:val="nil"/>
              <w:left w:val="single" w:color="000000" w:sz="8" w:space="0"/>
              <w:bottom w:val="single" w:color="000000" w:sz="8" w:space="0"/>
              <w:right w:val="single" w:color="000000" w:sz="8" w:space="0"/>
            </w:tcBorders>
            <w:shd w:val="clear" w:color="auto" w:fill="auto"/>
            <w:vAlign w:val="center"/>
          </w:tcPr>
          <w:p w14:paraId="6E20C402">
            <w:pPr>
              <w:widowControl/>
              <w:spacing w:line="360" w:lineRule="auto"/>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时间</w:t>
            </w:r>
            <w:r>
              <w:rPr>
                <w:rStyle w:val="8"/>
                <w:rFonts w:asciiTheme="minorEastAsia" w:hAnsiTheme="minorEastAsia" w:eastAsiaTheme="minorEastAsia" w:cstheme="minorEastAsia"/>
                <w:lang w:bidi="ar"/>
              </w:rPr>
              <w:t xml:space="preserve"> </w:t>
            </w:r>
          </w:p>
        </w:tc>
        <w:tc>
          <w:tcPr>
            <w:tcW w:w="6539" w:type="dxa"/>
            <w:tcBorders>
              <w:top w:val="nil"/>
              <w:left w:val="single" w:color="000000" w:sz="8" w:space="0"/>
              <w:bottom w:val="single" w:color="000000" w:sz="8" w:space="0"/>
              <w:right w:val="single" w:color="000000" w:sz="8" w:space="0"/>
            </w:tcBorders>
            <w:shd w:val="clear" w:color="auto" w:fill="auto"/>
            <w:vAlign w:val="center"/>
          </w:tcPr>
          <w:p w14:paraId="178E4ECD">
            <w:pPr>
              <w:widowControl/>
              <w:spacing w:line="360" w:lineRule="auto"/>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2025年7月18日（13:30-16:30）</w:t>
            </w:r>
          </w:p>
        </w:tc>
      </w:tr>
      <w:tr w14:paraId="2874D04E">
        <w:tblPrEx>
          <w:tblCellMar>
            <w:top w:w="0" w:type="dxa"/>
            <w:left w:w="108" w:type="dxa"/>
            <w:bottom w:w="0" w:type="dxa"/>
            <w:right w:w="108" w:type="dxa"/>
          </w:tblCellMar>
        </w:tblPrEx>
        <w:trPr>
          <w:trHeight w:val="639" w:hRule="atLeast"/>
        </w:trPr>
        <w:tc>
          <w:tcPr>
            <w:tcW w:w="1753" w:type="dxa"/>
            <w:tcBorders>
              <w:top w:val="nil"/>
              <w:left w:val="single" w:color="000000" w:sz="8" w:space="0"/>
              <w:bottom w:val="single" w:color="000000" w:sz="8" w:space="0"/>
              <w:right w:val="single" w:color="000000" w:sz="8" w:space="0"/>
            </w:tcBorders>
            <w:shd w:val="clear" w:color="auto" w:fill="auto"/>
            <w:vAlign w:val="center"/>
          </w:tcPr>
          <w:p w14:paraId="5C7CD91F">
            <w:pPr>
              <w:widowControl/>
              <w:spacing w:line="360" w:lineRule="auto"/>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公司接待人员姓名</w:t>
            </w:r>
            <w:r>
              <w:rPr>
                <w:rStyle w:val="8"/>
                <w:rFonts w:asciiTheme="minorEastAsia" w:hAnsiTheme="minorEastAsia" w:eastAsiaTheme="minorEastAsia" w:cstheme="minorEastAsia"/>
                <w:lang w:bidi="ar"/>
              </w:rPr>
              <w:t xml:space="preserve"> </w:t>
            </w:r>
          </w:p>
        </w:tc>
        <w:tc>
          <w:tcPr>
            <w:tcW w:w="6539" w:type="dxa"/>
            <w:tcBorders>
              <w:top w:val="nil"/>
              <w:left w:val="single" w:color="000000" w:sz="8" w:space="0"/>
              <w:bottom w:val="single" w:color="000000" w:sz="8" w:space="0"/>
              <w:right w:val="single" w:color="000000" w:sz="8" w:space="0"/>
            </w:tcBorders>
            <w:shd w:val="clear" w:color="auto" w:fill="auto"/>
            <w:vAlign w:val="center"/>
          </w:tcPr>
          <w:p w14:paraId="69C26F30">
            <w:pPr>
              <w:widowControl/>
              <w:spacing w:line="360" w:lineRule="auto"/>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总经理 周斌</w:t>
            </w:r>
          </w:p>
          <w:p w14:paraId="2D9E134B">
            <w:pPr>
              <w:widowControl/>
              <w:spacing w:line="360" w:lineRule="auto"/>
              <w:textAlignment w:val="center"/>
              <w:rPr>
                <w:rFonts w:hint="eastAsia"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董事会秘书 朱怡萱</w:t>
            </w:r>
          </w:p>
        </w:tc>
      </w:tr>
      <w:tr w14:paraId="4A30E677">
        <w:tblPrEx>
          <w:tblCellMar>
            <w:top w:w="0" w:type="dxa"/>
            <w:left w:w="108" w:type="dxa"/>
            <w:bottom w:w="0" w:type="dxa"/>
            <w:right w:w="108" w:type="dxa"/>
          </w:tblCellMar>
        </w:tblPrEx>
        <w:trPr>
          <w:trHeight w:val="951" w:hRule="atLeast"/>
        </w:trPr>
        <w:tc>
          <w:tcPr>
            <w:tcW w:w="1753" w:type="dxa"/>
            <w:tcBorders>
              <w:top w:val="nil"/>
              <w:left w:val="single" w:color="000000" w:sz="8" w:space="0"/>
              <w:bottom w:val="single" w:color="000000" w:sz="8" w:space="0"/>
              <w:right w:val="single" w:color="000000" w:sz="8" w:space="0"/>
            </w:tcBorders>
            <w:shd w:val="clear" w:color="auto" w:fill="auto"/>
            <w:vAlign w:val="center"/>
          </w:tcPr>
          <w:p w14:paraId="60C4A491">
            <w:pPr>
              <w:widowControl/>
              <w:spacing w:line="360" w:lineRule="auto"/>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lang w:bidi="ar"/>
              </w:rPr>
              <w:t>投资者关系活动主要内容介绍</w:t>
            </w:r>
            <w:r>
              <w:rPr>
                <w:rStyle w:val="8"/>
                <w:rFonts w:asciiTheme="minorEastAsia" w:hAnsiTheme="minorEastAsia" w:eastAsiaTheme="minorEastAsia" w:cstheme="minorEastAsia"/>
                <w:lang w:bidi="ar"/>
              </w:rPr>
              <w:t xml:space="preserve"> </w:t>
            </w:r>
          </w:p>
        </w:tc>
        <w:tc>
          <w:tcPr>
            <w:tcW w:w="6539" w:type="dxa"/>
            <w:tcBorders>
              <w:top w:val="nil"/>
              <w:left w:val="single" w:color="000000" w:sz="8" w:space="0"/>
              <w:bottom w:val="single" w:color="000000" w:sz="8" w:space="0"/>
              <w:right w:val="single" w:color="000000" w:sz="8" w:space="0"/>
            </w:tcBorders>
            <w:shd w:val="clear" w:color="auto" w:fill="auto"/>
            <w:vAlign w:val="center"/>
          </w:tcPr>
          <w:p w14:paraId="7969BD66">
            <w:pPr>
              <w:spacing w:line="360" w:lineRule="auto"/>
              <w:ind w:firstLine="482" w:firstLineChars="2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一、公司情况介绍</w:t>
            </w:r>
          </w:p>
          <w:p w14:paraId="7651DD90">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公司于近期发布2025年半年度业绩预增公告，公告显示，公司预计2025年上半年实现盈利，且净利润与上年同期相比上升50%以上。报告期内，公司通过持续推进精细化管理与技术升级，提升运营效率并实现成本优化。同时，公司深化差异化竞争战略，加大对生物保鲜剂及功能配料产品的市场拓展力度，推动该业务板块实现增长。</w:t>
            </w:r>
          </w:p>
          <w:p w14:paraId="486D2879">
            <w:pPr>
              <w:spacing w:line="360" w:lineRule="auto"/>
              <w:ind w:firstLine="480" w:firstLineChars="200"/>
              <w:rPr>
                <w:rFonts w:hint="eastAsia" w:asciiTheme="minorEastAsia" w:hAnsiTheme="minorEastAsia" w:eastAsiaTheme="minorEastAsia" w:cstheme="minorEastAsia"/>
                <w:color w:val="000000"/>
                <w:sz w:val="24"/>
              </w:rPr>
            </w:pPr>
          </w:p>
          <w:p w14:paraId="65F0E6EA">
            <w:pPr>
              <w:numPr>
                <w:ilvl w:val="0"/>
                <w:numId w:val="1"/>
              </w:numPr>
              <w:spacing w:line="360" w:lineRule="auto"/>
              <w:ind w:firstLine="482"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bCs/>
                <w:color w:val="000000"/>
                <w:sz w:val="24"/>
              </w:rPr>
              <w:t>投资者问答概要</w:t>
            </w:r>
          </w:p>
          <w:p w14:paraId="237DF87E">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1、食品保质类产品的市场发展如何？</w:t>
            </w:r>
          </w:p>
          <w:p w14:paraId="205C023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答：从行业发展趋势来看，公司食品保质品类产品作为食品添加剂的重要分支，目前整体处于稳定增长阶段。这一增长主要受益于全球食品工业升级、消费者健康意识提升以及新兴市场消费能力提升等多重因素驱动，带动了生物保鲜剂及功能配料需求的增加，同时推动食品生产企业更加注重产品保质方案。公司食品保质板块所处行业的上行将对公司经营情况起到一定支撑作用。</w:t>
            </w:r>
          </w:p>
          <w:p w14:paraId="2FB4503D">
            <w:pPr>
              <w:spacing w:line="360" w:lineRule="auto"/>
              <w:rPr>
                <w:rFonts w:hint="eastAsia" w:asciiTheme="minorEastAsia" w:hAnsiTheme="minorEastAsia" w:eastAsiaTheme="minorEastAsia" w:cstheme="minorEastAsia"/>
                <w:sz w:val="24"/>
              </w:rPr>
            </w:pPr>
          </w:p>
          <w:p w14:paraId="2752AFA0">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2、功能配料产品除了防腐功能外，还具有哪些其他应用价值？</w:t>
            </w:r>
          </w:p>
          <w:p w14:paraId="74971DB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答：食品保鲜及功能配料产品在食品工业中的应用已从单一的防腐保鲜发展为多功能的综合解决方案，主要包括护色、增稠、稳定、抗氧化等应用方向。随着食品加工工艺升级和消费需求多元化，公司通过技术创新，丰富产品矩阵，为下游客户提供更安全、更高效的复合型产品方案。</w:t>
            </w:r>
          </w:p>
          <w:p w14:paraId="4AF048C1">
            <w:pPr>
              <w:spacing w:line="360" w:lineRule="auto"/>
              <w:rPr>
                <w:rFonts w:hint="eastAsia" w:asciiTheme="minorEastAsia" w:hAnsiTheme="minorEastAsia" w:eastAsiaTheme="minorEastAsia" w:cstheme="minorEastAsia"/>
                <w:sz w:val="24"/>
              </w:rPr>
            </w:pPr>
          </w:p>
          <w:p w14:paraId="51EF5334">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3、食品保质板块的新产品开发周期是怎样的？</w:t>
            </w:r>
          </w:p>
          <w:p w14:paraId="5629EED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答：食品保质板块的新产品开发周期相对较长，由于产品直接关系到食品安全，审批要求也比较高，头部企业在研发投入、研发人才、先进设备等方面具有比较强的优势，能够系统性地开展技术储备和梯度研发。公司有完善的研发和创新体系，产品落地的产业化复制成本较低，这也是行业领先企业保持竞争优势的关键。</w:t>
            </w:r>
          </w:p>
          <w:p w14:paraId="5D4C0FDD">
            <w:pPr>
              <w:spacing w:line="360" w:lineRule="auto"/>
              <w:rPr>
                <w:rFonts w:hint="eastAsia" w:asciiTheme="minorEastAsia" w:hAnsiTheme="minorEastAsia" w:eastAsiaTheme="minorEastAsia" w:cstheme="minorEastAsia"/>
                <w:sz w:val="24"/>
              </w:rPr>
            </w:pPr>
          </w:p>
          <w:p w14:paraId="0FF35A34">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4、公司食品板块的出口业务增长情况如何？</w:t>
            </w:r>
          </w:p>
          <w:p w14:paraId="475228B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答：目前公司主要食品保鲜剂产品（包括乳酸链球菌素、纳他霉素、聚赖氨酸盐酸盐等）在海外市场保持稳健增长态势。从市场结构来看，国内市场需求增长相对更快，这主要受益于食品添加相关标准的提升和消费升级，海外市场增速相对平稳。未来公司也将通过深化国际认证、拓展新兴市场等方式，进一步提升全球市场份额。</w:t>
            </w:r>
          </w:p>
          <w:p w14:paraId="1686611A">
            <w:pPr>
              <w:spacing w:line="360" w:lineRule="auto"/>
              <w:rPr>
                <w:rFonts w:hint="eastAsia" w:asciiTheme="minorEastAsia" w:hAnsiTheme="minorEastAsia" w:eastAsiaTheme="minorEastAsia" w:cstheme="minorEastAsia"/>
                <w:sz w:val="24"/>
              </w:rPr>
            </w:pPr>
          </w:p>
          <w:p w14:paraId="210937D3">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5、公司食品板块未来增长的主要动力有哪些？</w:t>
            </w:r>
          </w:p>
          <w:p w14:paraId="2A6F28F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答：首先是公司产能持续释放和工艺优化，规模效应将进一步显现，生产成本进一步降低，性价比优势将更加凸显；其次，终端消费者对食品安全的认知度持续提升，推动下游食品企业加速配方升级。公司也在通过研发创新不断拓展产品在新兴食品领域的应用场景，为业务发展提供持续动力。</w:t>
            </w:r>
          </w:p>
          <w:p w14:paraId="19446C0D">
            <w:pPr>
              <w:spacing w:line="360" w:lineRule="auto"/>
              <w:rPr>
                <w:rFonts w:hint="eastAsia" w:asciiTheme="minorEastAsia" w:hAnsiTheme="minorEastAsia" w:eastAsiaTheme="minorEastAsia" w:cstheme="minorEastAsia"/>
                <w:sz w:val="24"/>
              </w:rPr>
            </w:pPr>
          </w:p>
          <w:p w14:paraId="3A613CFF">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6、公司定增募投项目的具体情况如何？</w:t>
            </w:r>
          </w:p>
          <w:p w14:paraId="512C75A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答：公司本次定增募投项目为年产20,000吨D-异抗坏血酸及其钠盐，该产品作为一种高效、安全的食品抗氧化剂，广泛应用于肉制品、乳制品等领域。项目属于公司食品保鲜业务领域的扩产计划，目前募集资金已到位，公司此前已使用自有资金进行前期投入，目前正加快项目建设，以进一步丰富公司食品保鲜剂产品矩阵，增强公司整体的市场竞争力。</w:t>
            </w:r>
          </w:p>
          <w:p w14:paraId="686CBB7E">
            <w:pPr>
              <w:spacing w:line="360" w:lineRule="auto"/>
              <w:rPr>
                <w:rFonts w:hint="eastAsia" w:asciiTheme="minorEastAsia" w:hAnsiTheme="minorEastAsia" w:eastAsiaTheme="minorEastAsia" w:cstheme="minorEastAsia"/>
                <w:sz w:val="24"/>
              </w:rPr>
            </w:pPr>
          </w:p>
          <w:p w14:paraId="12A02E54">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7、公司未来的扩产规划是怎样的？</w:t>
            </w:r>
          </w:p>
          <w:p w14:paraId="7F8CEB8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答：公司根据行业市场情况进行有序扩产，基于对行业未来三到五年的发展趋势进行研判，目前正在进行D-异抗坏血酸及其钠盐的产线建设。未来公司将重点优化现有产线、提升生产效率，在食品保质领域根据行业和市场情况适度扩充产能，确保产能投放与市场需求相匹配，同时公司也将持续强化产品质量管控，保持灵活应变的扩产节奏。</w:t>
            </w:r>
          </w:p>
          <w:p w14:paraId="4B21F94C">
            <w:pPr>
              <w:spacing w:line="360" w:lineRule="auto"/>
              <w:rPr>
                <w:rFonts w:hint="eastAsia" w:asciiTheme="minorEastAsia" w:hAnsiTheme="minorEastAsia" w:eastAsiaTheme="minorEastAsia" w:cstheme="minorEastAsia"/>
                <w:sz w:val="24"/>
              </w:rPr>
            </w:pPr>
          </w:p>
          <w:p w14:paraId="7B030B78">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8、针对部分化学防腐剂使用范围调整的情况，公司是否提供生物保鲜替代方案？</w:t>
            </w:r>
          </w:p>
          <w:p w14:paraId="3E41EF2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答：公司前瞻性布局生物保鲜技术领域，目前已有包括乳酸链球菌素、纳他霉素、聚赖氨酸盐酸盐等多种天然生物保鲜剂产品，并根据客户具体需求，提供从生物保鲜剂单品到复合配方的定制化解决方案。目前，生物保鲜剂主要应用于肉制品、乳制品、饮料及方便食品等行业，公司也将持续关注食品相关政策的动态，通过技术创新不断优化生物保鲜方案。</w:t>
            </w:r>
          </w:p>
          <w:p w14:paraId="63676D4B">
            <w:pPr>
              <w:spacing w:line="360" w:lineRule="auto"/>
              <w:rPr>
                <w:rFonts w:hint="eastAsia" w:asciiTheme="minorEastAsia" w:hAnsiTheme="minorEastAsia" w:eastAsiaTheme="minorEastAsia" w:cstheme="minorEastAsia"/>
                <w:sz w:val="24"/>
              </w:rPr>
            </w:pPr>
          </w:p>
          <w:p w14:paraId="6AA0EA6E">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9、公司在合成生物学技术方面有哪些布局？</w:t>
            </w:r>
          </w:p>
          <w:p w14:paraId="5CAD32A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答：公司重视合成生物学技术的战略价值，合成生物学是公司重点的战略发展方向之一。目前公司正在推进相关技术应用，逐步构建完善菌株构建、高通量筛选、检测、发酵平台，通过体系化的技术布局，高效实现从菌种选育到工业化生产的流程开发，在技术研究、产品开发、产业化生产等方面持续为公司提供支持，提升生物发酵类产品的研发效率和产业化水平。</w:t>
            </w:r>
          </w:p>
          <w:p w14:paraId="23177528">
            <w:pPr>
              <w:spacing w:line="360" w:lineRule="auto"/>
              <w:rPr>
                <w:rFonts w:hint="eastAsia" w:asciiTheme="minorEastAsia" w:hAnsiTheme="minorEastAsia" w:eastAsiaTheme="minorEastAsia" w:cstheme="minorEastAsia"/>
                <w:b/>
                <w:bCs/>
                <w:sz w:val="24"/>
              </w:rPr>
            </w:pPr>
          </w:p>
          <w:p w14:paraId="58F0AC7E">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10、AI和智能化在公司生产过程的应用有哪些？</w:t>
            </w:r>
            <w:bookmarkStart w:id="0" w:name="_GoBack"/>
            <w:bookmarkEnd w:id="0"/>
          </w:p>
          <w:p w14:paraId="047200C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答：公司正在推进智能化改造。在生产端，通过自动化设备实现关键工艺节点的智能监控和自动优化，确保产品质量稳定。在研发环节，公司也在深化AI在技术开发与优化过程中的应用，持续提升</w:t>
            </w:r>
            <w:r>
              <w:rPr>
                <w:rFonts w:hint="eastAsia" w:asciiTheme="minorEastAsia" w:hAnsiTheme="minorEastAsia" w:eastAsiaTheme="minorEastAsia" w:cstheme="minorEastAsia"/>
                <w:sz w:val="24"/>
                <w:lang w:eastAsia="zh-CN"/>
              </w:rPr>
              <w:t>研发</w:t>
            </w:r>
            <w:r>
              <w:rPr>
                <w:rFonts w:hint="eastAsia" w:asciiTheme="minorEastAsia" w:hAnsiTheme="minorEastAsia" w:eastAsiaTheme="minorEastAsia" w:cstheme="minorEastAsia"/>
                <w:sz w:val="24"/>
              </w:rPr>
              <w:t>创新能力</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研发效率和成果转化率。</w:t>
            </w:r>
          </w:p>
          <w:p w14:paraId="438E5EB1">
            <w:pPr>
              <w:spacing w:line="360" w:lineRule="auto"/>
              <w:rPr>
                <w:rFonts w:hint="eastAsia" w:asciiTheme="minorEastAsia" w:hAnsiTheme="minorEastAsia" w:eastAsiaTheme="minorEastAsia" w:cstheme="minorEastAsia"/>
                <w:color w:val="000000"/>
                <w:sz w:val="24"/>
              </w:rPr>
            </w:pPr>
          </w:p>
        </w:tc>
      </w:tr>
    </w:tbl>
    <w:p w14:paraId="424EA0BB"/>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477BA"/>
    <w:multiLevelType w:val="singleLevel"/>
    <w:tmpl w:val="96A477BA"/>
    <w:lvl w:ilvl="0" w:tentative="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A47589"/>
    <w:rsid w:val="415E7EAB"/>
    <w:rsid w:val="65393A14"/>
    <w:rsid w:val="7A6A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font11"/>
    <w:basedOn w:val="5"/>
    <w:qFormat/>
    <w:uiPriority w:val="0"/>
    <w:rPr>
      <w:rFonts w:hint="eastAsia" w:ascii="宋体" w:hAnsi="宋体" w:eastAsia="宋体" w:cs="宋体"/>
      <w:color w:val="000000"/>
      <w:sz w:val="24"/>
      <w:szCs w:val="24"/>
      <w:u w:val="none"/>
    </w:rPr>
  </w:style>
  <w:style w:type="character" w:customStyle="1" w:styleId="9">
    <w:name w:val="font21"/>
    <w:basedOn w:val="5"/>
    <w:qFormat/>
    <w:uiPriority w:val="0"/>
    <w:rPr>
      <w:rFonts w:hint="default" w:ascii="Times New Roman" w:hAnsi="Times New Roman" w:cs="Times New Roman"/>
      <w:color w:val="000000"/>
      <w:sz w:val="24"/>
      <w:szCs w:val="24"/>
      <w:u w:val="none"/>
    </w:rPr>
  </w:style>
  <w:style w:type="paragraph" w:customStyle="1" w:styleId="1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1947</Words>
  <Characters>1984</Characters>
  <Lines>61</Lines>
  <Paragraphs>38</Paragraphs>
  <TotalTime>5</TotalTime>
  <ScaleCrop>false</ScaleCrop>
  <LinksUpToDate>false</LinksUpToDate>
  <CharactersWithSpaces>2030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2025-07-24T21:44:00Z</dcterms:created>
  <dc:creator>apple</dc:creator>
  <cp:lastModifiedBy>Yexuan</cp:lastModifiedBy>
  <dcterms:modified xsi:type="dcterms:W3CDTF">2025-07-25T00:47:56Z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eyJoZGlkIjoiNDUwMTFkMDI3ZjBmZjczM2Q3M2EwOGI5M2VjYzUzMDkiLCJ1c2VySWQiOiIyNjk0NjI4NzUifQ==</vt:lpwstr>
  </property>
  <property fmtid="{D5CDD505-2E9C-101B-9397-08002B2CF9AE}" pid="3" name="KSOProductBuildVer">
    <vt:lpwstr>2052-12.1.0.21915</vt:lpwstr>
  </property>
  <property fmtid="{D5CDD505-2E9C-101B-9397-08002B2CF9AE}" pid="4" name="ICV">
    <vt:lpwstr>8CE76E6A307D4F2C98D36936BBF85E6C_13</vt:lpwstr>
  </property>
</Properties>
</file>