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BBFA5" w14:textId="77777777" w:rsidR="006A22EF" w:rsidRDefault="00FF6DBF">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3493F402" w14:textId="77777777" w:rsidR="006A22EF" w:rsidRDefault="00FF6DBF">
      <w:pPr>
        <w:jc w:val="center"/>
        <w:rPr>
          <w:rFonts w:ascii="宋体" w:eastAsia="宋体" w:hAnsi="宋体" w:cs="宋体"/>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2B04CD1D" w14:textId="77777777" w:rsidR="006A22EF" w:rsidRDefault="00FF6DBF">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723DA9F3" w14:textId="77777777" w:rsidR="006A22EF" w:rsidRDefault="00FF6DBF">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Pr>
          <w:rFonts w:ascii="宋体" w:eastAsia="宋体" w:hAnsi="宋体" w:cs="宋体" w:hint="eastAsia"/>
          <w:sz w:val="24"/>
        </w:rPr>
        <w:t>5-</w:t>
      </w:r>
      <w:r>
        <w:rPr>
          <w:rFonts w:ascii="宋体" w:eastAsia="宋体" w:hAnsi="宋体" w:cs="宋体"/>
          <w:sz w:val="24"/>
        </w:rPr>
        <w:t>0</w:t>
      </w:r>
      <w:r>
        <w:rPr>
          <w:rFonts w:ascii="宋体" w:eastAsia="宋体" w:hAnsi="宋体" w:cs="宋体" w:hint="eastAsia"/>
          <w:sz w:val="24"/>
        </w:rPr>
        <w:t>07</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6A22EF" w14:paraId="2FFC3DCC" w14:textId="77777777">
        <w:trPr>
          <w:trHeight w:val="1880"/>
        </w:trPr>
        <w:tc>
          <w:tcPr>
            <w:tcW w:w="1840" w:type="dxa"/>
            <w:vAlign w:val="center"/>
          </w:tcPr>
          <w:p w14:paraId="42ADB601" w14:textId="77777777" w:rsidR="006A22EF" w:rsidRDefault="00FF6DBF">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w:t>
            </w:r>
          </w:p>
          <w:p w14:paraId="1D2C1F67" w14:textId="77777777" w:rsidR="006A22EF" w:rsidRDefault="00FF6DBF">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活动类别</w:t>
            </w:r>
          </w:p>
        </w:tc>
        <w:tc>
          <w:tcPr>
            <w:tcW w:w="7900" w:type="dxa"/>
            <w:vAlign w:val="center"/>
          </w:tcPr>
          <w:p w14:paraId="40BD807E" w14:textId="77777777" w:rsidR="006A22EF" w:rsidRDefault="00FF6DBF">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sym w:font="Wingdings 2" w:char="0052"/>
            </w:r>
            <w:r>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Pr>
                <w:rFonts w:ascii="宋体" w:eastAsia="宋体" w:hAnsi="宋体" w:cs="宋体" w:hint="eastAsia"/>
                <w:sz w:val="24"/>
                <w:szCs w:val="24"/>
              </w:rPr>
              <w:t>□分析师会议</w:t>
            </w:r>
          </w:p>
          <w:p w14:paraId="40F745F4" w14:textId="77777777" w:rsidR="006A22EF" w:rsidRDefault="00FF6DBF">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□业绩说明会</w:t>
            </w:r>
          </w:p>
          <w:p w14:paraId="694375DC" w14:textId="77777777" w:rsidR="006A22EF" w:rsidRDefault="00FF6DBF">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sym w:font="Wingdings 2" w:char="00A3"/>
            </w:r>
            <w:r>
              <w:rPr>
                <w:rFonts w:ascii="宋体" w:eastAsia="宋体" w:hAnsi="宋体" w:cs="宋体" w:hint="eastAsia"/>
                <w:sz w:val="24"/>
                <w:szCs w:val="24"/>
              </w:rPr>
              <w:t>路演活动</w:t>
            </w:r>
          </w:p>
          <w:p w14:paraId="5C0D590E" w14:textId="77777777" w:rsidR="006A22EF" w:rsidRDefault="00FF6DBF">
            <w:pPr>
              <w:snapToGrid w:val="0"/>
              <w:spacing w:beforeLines="30" w:before="93" w:afterLines="30" w:after="93" w:line="26" w:lineRule="atLeast"/>
              <w:jc w:val="left"/>
              <w:rPr>
                <w:rFonts w:ascii="宋体" w:eastAsia="宋体" w:hAnsi="宋体" w:cs="宋体"/>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071E49A7" w14:textId="77777777" w:rsidR="006A22EF" w:rsidRDefault="00FF6DBF">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6A22EF" w14:paraId="6390BBBF" w14:textId="77777777">
        <w:trPr>
          <w:trHeight w:val="409"/>
        </w:trPr>
        <w:tc>
          <w:tcPr>
            <w:tcW w:w="1840" w:type="dxa"/>
            <w:vAlign w:val="center"/>
          </w:tcPr>
          <w:p w14:paraId="7ADB8270" w14:textId="77777777" w:rsidR="006A22EF" w:rsidRDefault="00FF6DBF">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参会单位</w:t>
            </w:r>
          </w:p>
        </w:tc>
        <w:tc>
          <w:tcPr>
            <w:tcW w:w="7900" w:type="dxa"/>
            <w:vAlign w:val="center"/>
          </w:tcPr>
          <w:p w14:paraId="5227FFE4" w14:textId="35DB02A7" w:rsidR="006A22EF" w:rsidRDefault="00FF6DBF">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开源证券</w:t>
            </w:r>
            <w:r w:rsidR="004C1A8E">
              <w:rPr>
                <w:rFonts w:ascii="宋体" w:eastAsia="宋体" w:hAnsi="宋体" w:cs="宋体" w:hint="eastAsia"/>
                <w:sz w:val="24"/>
                <w:szCs w:val="24"/>
              </w:rPr>
              <w:t>、大都会</w:t>
            </w:r>
            <w:r w:rsidR="00542D95">
              <w:rPr>
                <w:rFonts w:ascii="宋体" w:eastAsia="宋体" w:hAnsi="宋体" w:cs="宋体" w:hint="eastAsia"/>
                <w:sz w:val="24"/>
                <w:szCs w:val="24"/>
              </w:rPr>
              <w:t>人寿</w:t>
            </w:r>
            <w:r w:rsidR="004C1A8E">
              <w:rPr>
                <w:rFonts w:ascii="宋体" w:eastAsia="宋体" w:hAnsi="宋体" w:cs="宋体" w:hint="eastAsia"/>
                <w:sz w:val="24"/>
                <w:szCs w:val="24"/>
              </w:rPr>
              <w:t>、新世纪</w:t>
            </w:r>
            <w:r w:rsidR="00542D95">
              <w:rPr>
                <w:rFonts w:ascii="宋体" w:eastAsia="宋体" w:hAnsi="宋体" w:cs="宋体" w:hint="eastAsia"/>
                <w:sz w:val="24"/>
                <w:szCs w:val="24"/>
              </w:rPr>
              <w:t>评级</w:t>
            </w:r>
            <w:r w:rsidR="004C1A8E">
              <w:rPr>
                <w:rFonts w:ascii="宋体" w:eastAsia="宋体" w:hAnsi="宋体" w:cs="宋体" w:hint="eastAsia"/>
                <w:sz w:val="24"/>
                <w:szCs w:val="24"/>
              </w:rPr>
              <w:t>、平安养老、光大永</w:t>
            </w:r>
            <w:proofErr w:type="gramStart"/>
            <w:r w:rsidR="004C1A8E">
              <w:rPr>
                <w:rFonts w:ascii="宋体" w:eastAsia="宋体" w:hAnsi="宋体" w:cs="宋体" w:hint="eastAsia"/>
                <w:sz w:val="24"/>
                <w:szCs w:val="24"/>
              </w:rPr>
              <w:t>明</w:t>
            </w:r>
            <w:r w:rsidR="00542D95">
              <w:rPr>
                <w:rFonts w:ascii="宋体" w:eastAsia="宋体" w:hAnsi="宋体" w:cs="宋体" w:hint="eastAsia"/>
                <w:sz w:val="24"/>
                <w:szCs w:val="24"/>
              </w:rPr>
              <w:t>资产</w:t>
            </w:r>
            <w:proofErr w:type="gramEnd"/>
          </w:p>
        </w:tc>
      </w:tr>
      <w:tr w:rsidR="006A22EF" w14:paraId="74D31047" w14:textId="77777777">
        <w:trPr>
          <w:trHeight w:val="20"/>
        </w:trPr>
        <w:tc>
          <w:tcPr>
            <w:tcW w:w="1840" w:type="dxa"/>
            <w:vAlign w:val="center"/>
          </w:tcPr>
          <w:p w14:paraId="427F7A22" w14:textId="77777777" w:rsidR="006A22EF" w:rsidRDefault="00FF6DBF">
            <w:pPr>
              <w:snapToGrid w:val="0"/>
              <w:spacing w:beforeLines="30" w:before="93" w:afterLines="30" w:after="93" w:line="26" w:lineRule="atLeast"/>
              <w:jc w:val="center"/>
              <w:rPr>
                <w:rFonts w:ascii="宋体" w:eastAsia="宋体" w:hAnsi="宋体" w:cs="宋体"/>
                <w:b/>
                <w:sz w:val="24"/>
                <w:szCs w:val="24"/>
              </w:rPr>
            </w:pPr>
            <w:r>
              <w:rPr>
                <w:rFonts w:ascii="宋体" w:eastAsia="宋体" w:hAnsi="宋体" w:cs="宋体" w:hint="eastAsia"/>
                <w:b/>
                <w:sz w:val="24"/>
                <w:szCs w:val="24"/>
              </w:rPr>
              <w:t>时间</w:t>
            </w:r>
          </w:p>
        </w:tc>
        <w:tc>
          <w:tcPr>
            <w:tcW w:w="7900" w:type="dxa"/>
            <w:vAlign w:val="center"/>
          </w:tcPr>
          <w:p w14:paraId="2F7D4BD6" w14:textId="77777777" w:rsidR="006A22EF" w:rsidRDefault="00FF6DBF">
            <w:pPr>
              <w:widowControl/>
              <w:snapToGrid w:val="0"/>
              <w:spacing w:beforeLines="30" w:before="93" w:afterLines="30" w:after="93" w:line="26" w:lineRule="atLeast"/>
              <w:rPr>
                <w:rFonts w:ascii="宋体" w:eastAsia="宋体" w:hAnsi="宋体" w:cs="宋体"/>
                <w:b/>
                <w:bCs/>
                <w:sz w:val="24"/>
                <w:szCs w:val="24"/>
              </w:rPr>
            </w:pPr>
            <w:r>
              <w:rPr>
                <w:rFonts w:ascii="宋体" w:eastAsia="宋体" w:hAnsi="宋体" w:cs="宋体" w:hint="eastAsia"/>
                <w:sz w:val="24"/>
                <w:szCs w:val="24"/>
              </w:rPr>
              <w:t>2025年7月24日</w:t>
            </w:r>
          </w:p>
        </w:tc>
      </w:tr>
      <w:tr w:rsidR="006A22EF" w14:paraId="26C16136" w14:textId="77777777">
        <w:trPr>
          <w:trHeight w:val="395"/>
        </w:trPr>
        <w:tc>
          <w:tcPr>
            <w:tcW w:w="1840" w:type="dxa"/>
            <w:vAlign w:val="center"/>
          </w:tcPr>
          <w:p w14:paraId="60247531" w14:textId="77777777" w:rsidR="006A22EF" w:rsidRDefault="00FF6DBF">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地点</w:t>
            </w:r>
          </w:p>
        </w:tc>
        <w:tc>
          <w:tcPr>
            <w:tcW w:w="7900" w:type="dxa"/>
            <w:vAlign w:val="center"/>
          </w:tcPr>
          <w:p w14:paraId="71B0CD50" w14:textId="26097FB0" w:rsidR="006A22EF" w:rsidRDefault="00FF6DBF">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上海市吴淞路130号</w:t>
            </w:r>
            <w:r w:rsidR="003D6D65">
              <w:rPr>
                <w:rFonts w:ascii="宋体" w:eastAsia="宋体" w:hAnsi="宋体" w:cs="宋体" w:hint="eastAsia"/>
                <w:sz w:val="24"/>
                <w:szCs w:val="24"/>
              </w:rPr>
              <w:t>19楼5号会议室</w:t>
            </w:r>
            <w:bookmarkStart w:id="0" w:name="_GoBack"/>
            <w:bookmarkEnd w:id="0"/>
          </w:p>
        </w:tc>
      </w:tr>
      <w:tr w:rsidR="006A22EF" w14:paraId="3D286F4C" w14:textId="77777777">
        <w:trPr>
          <w:trHeight w:val="490"/>
        </w:trPr>
        <w:tc>
          <w:tcPr>
            <w:tcW w:w="1840" w:type="dxa"/>
            <w:vAlign w:val="center"/>
          </w:tcPr>
          <w:p w14:paraId="63BB24DD" w14:textId="77777777" w:rsidR="006A22EF" w:rsidRDefault="00FF6DBF">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公司参会人员</w:t>
            </w:r>
          </w:p>
        </w:tc>
        <w:tc>
          <w:tcPr>
            <w:tcW w:w="7900" w:type="dxa"/>
            <w:vAlign w:val="center"/>
          </w:tcPr>
          <w:p w14:paraId="0C8A9FFD" w14:textId="77777777" w:rsidR="006A22EF" w:rsidRDefault="00FF6DBF">
            <w:pPr>
              <w:widowControl/>
              <w:snapToGrid w:val="0"/>
              <w:spacing w:beforeLines="30" w:before="93" w:afterLines="30" w:after="93"/>
              <w:rPr>
                <w:rFonts w:ascii="宋体" w:eastAsia="宋体" w:hAnsi="宋体" w:cs="宋体"/>
                <w:sz w:val="24"/>
                <w:szCs w:val="24"/>
              </w:rPr>
            </w:pPr>
            <w:r>
              <w:rPr>
                <w:rFonts w:ascii="宋体" w:eastAsia="宋体" w:hAnsi="宋体" w:cs="Calibri" w:hint="eastAsia"/>
                <w:sz w:val="24"/>
                <w:szCs w:val="24"/>
              </w:rPr>
              <w:t>董事会办公室相关人员</w:t>
            </w:r>
          </w:p>
        </w:tc>
      </w:tr>
      <w:tr w:rsidR="006A22EF" w14:paraId="6E3BD928" w14:textId="77777777">
        <w:trPr>
          <w:trHeight w:val="90"/>
        </w:trPr>
        <w:tc>
          <w:tcPr>
            <w:tcW w:w="1840" w:type="dxa"/>
            <w:vAlign w:val="center"/>
          </w:tcPr>
          <w:p w14:paraId="53428DE6" w14:textId="77777777" w:rsidR="006A22EF" w:rsidRDefault="00FF6DBF">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t>投资者关系活动主要内容</w:t>
            </w:r>
          </w:p>
        </w:tc>
        <w:tc>
          <w:tcPr>
            <w:tcW w:w="7900" w:type="dxa"/>
          </w:tcPr>
          <w:p w14:paraId="2AA91CDE" w14:textId="77777777" w:rsidR="006A22EF" w:rsidRDefault="00FF6DBF">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第一部分：公司情况介绍</w:t>
            </w:r>
          </w:p>
          <w:p w14:paraId="15442ECE" w14:textId="77777777" w:rsidR="006A22EF" w:rsidRDefault="00FF6DBF">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（一）公司业务情况介绍</w:t>
            </w:r>
          </w:p>
          <w:p w14:paraId="6E29FCA9" w14:textId="77777777" w:rsidR="006A22EF" w:rsidRDefault="00FF6DBF">
            <w:pPr>
              <w:pStyle w:val="a5"/>
              <w:widowControl/>
              <w:spacing w:line="240" w:lineRule="auto"/>
              <w:ind w:firstLine="480"/>
              <w:rPr>
                <w:rFonts w:ascii="宋体" w:hAnsi="宋体" w:cstheme="minorBidi"/>
                <w:bCs/>
              </w:rPr>
            </w:pPr>
            <w:r>
              <w:rPr>
                <w:rFonts w:ascii="宋体" w:hAnsi="宋体" w:cstheme="minorBidi" w:hint="eastAsia"/>
                <w:bCs/>
              </w:rPr>
              <w:t>上海城投控股股份有限公司（简称“城投控股”或“公司”）于1993年在上海证券交易所上市，前身为上海市原水股份有限公司。经过多次改革重组，城投控股现已形成房地产开发、租赁房运营、金融投资三大核心业务板块，其中金融投资板块始终服务于前两大主业，通过产业基金、REITs等工具，为开发建设与租赁房运营提供资金支持，构建“投融建管退”的闭环生态。</w:t>
            </w:r>
            <w:r>
              <w:rPr>
                <w:rFonts w:ascii="宋体" w:hAnsi="宋体" w:hint="eastAsia"/>
                <w:bCs/>
              </w:rPr>
              <w:t>作为上海城市建设的“主力军”，我们打造了一批标杆项目，包括：新江湾城片区开发、思南公馆别墅改造、松江</w:t>
            </w:r>
            <w:proofErr w:type="gramStart"/>
            <w:r>
              <w:rPr>
                <w:rFonts w:ascii="宋体" w:hAnsi="宋体" w:hint="eastAsia"/>
                <w:bCs/>
              </w:rPr>
              <w:t>泗泾</w:t>
            </w:r>
            <w:proofErr w:type="gramEnd"/>
            <w:r>
              <w:rPr>
                <w:rFonts w:ascii="宋体" w:hAnsi="宋体" w:hint="eastAsia"/>
                <w:bCs/>
              </w:rPr>
              <w:t>保障房大居、露香园项目、“城投宽庭”租赁住房等。</w:t>
            </w:r>
          </w:p>
          <w:p w14:paraId="7385DD6A" w14:textId="77777777" w:rsidR="006A22EF" w:rsidRDefault="00FF6DBF">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（二）公司业绩简介</w:t>
            </w:r>
          </w:p>
          <w:p w14:paraId="6EA76E7C" w14:textId="77777777" w:rsidR="006A22EF" w:rsidRDefault="00FF6DBF">
            <w:pPr>
              <w:widowControl/>
              <w:adjustRightInd w:val="0"/>
              <w:snapToGrid w:val="0"/>
              <w:spacing w:line="276" w:lineRule="auto"/>
              <w:ind w:firstLineChars="200" w:firstLine="480"/>
              <w:rPr>
                <w:rFonts w:ascii="宋体" w:eastAsia="宋体" w:hAnsi="宋体"/>
                <w:bCs/>
                <w:sz w:val="24"/>
                <w:szCs w:val="24"/>
              </w:rPr>
            </w:pPr>
            <w:r>
              <w:rPr>
                <w:rFonts w:ascii="宋体" w:eastAsia="宋体" w:hAnsi="宋体" w:hint="eastAsia"/>
                <w:bCs/>
                <w:sz w:val="24"/>
                <w:szCs w:val="24"/>
              </w:rPr>
              <w:t>2024年，公司实现营业收入94.32亿元，实现归属于上市公司股东净利润2.43亿元，截至2024年年度报告期末，公司归母净资产209.02亿元，总资产846.69亿元，净资产收益率1.16%。</w:t>
            </w:r>
          </w:p>
          <w:p w14:paraId="7614ED13" w14:textId="77777777" w:rsidR="006A22EF" w:rsidRDefault="00FF6DBF">
            <w:pPr>
              <w:widowControl/>
              <w:adjustRightInd w:val="0"/>
              <w:snapToGrid w:val="0"/>
              <w:spacing w:line="276" w:lineRule="auto"/>
              <w:rPr>
                <w:rFonts w:ascii="宋体" w:eastAsia="宋体" w:hAnsi="宋体"/>
                <w:b/>
                <w:bCs/>
                <w:sz w:val="24"/>
                <w:szCs w:val="24"/>
              </w:rPr>
            </w:pPr>
            <w:r>
              <w:rPr>
                <w:rFonts w:ascii="宋体" w:eastAsia="宋体" w:hAnsi="宋体" w:hint="eastAsia"/>
                <w:b/>
                <w:bCs/>
                <w:sz w:val="24"/>
                <w:szCs w:val="24"/>
              </w:rPr>
              <w:t>（三）公司未来规划</w:t>
            </w:r>
          </w:p>
          <w:p w14:paraId="42432620" w14:textId="77777777" w:rsidR="006A22EF" w:rsidRDefault="00FF6DBF">
            <w:pPr>
              <w:widowControl/>
              <w:adjustRightInd w:val="0"/>
              <w:snapToGrid w:val="0"/>
              <w:spacing w:line="276" w:lineRule="auto"/>
              <w:ind w:firstLineChars="200" w:firstLine="480"/>
              <w:rPr>
                <w:rFonts w:ascii="宋体" w:eastAsia="宋体" w:hAnsi="宋体"/>
                <w:b/>
                <w:bCs/>
                <w:sz w:val="24"/>
                <w:szCs w:val="24"/>
              </w:rPr>
            </w:pPr>
            <w:r>
              <w:rPr>
                <w:rFonts w:ascii="宋体" w:eastAsia="宋体" w:hAnsi="宋体" w:hint="eastAsia"/>
                <w:bCs/>
                <w:sz w:val="24"/>
                <w:szCs w:val="24"/>
              </w:rPr>
              <w:t>城投控股将以成为“房地产特色化全产业链综合性一流企业”为目标，围绕开发、运营、产业投资三大业务，构建互为支撑、有机协同的战略生态体系，全面提升公司的核心竞争力。深耕上海，争做城市更新的执旗者、租赁运营的领军者和创新技术产业链的投资者，实现从“传统房地产开发商”向“城市生态服务商”的转变。</w:t>
            </w:r>
          </w:p>
          <w:p w14:paraId="13E54D27" w14:textId="77777777" w:rsidR="006A22EF" w:rsidRDefault="00FF6DBF">
            <w:pPr>
              <w:widowControl/>
              <w:adjustRightInd w:val="0"/>
              <w:snapToGrid w:val="0"/>
              <w:spacing w:line="276" w:lineRule="auto"/>
              <w:rPr>
                <w:rFonts w:ascii="宋体" w:eastAsia="宋体" w:hAnsi="宋体"/>
                <w:bCs/>
                <w:sz w:val="24"/>
                <w:szCs w:val="24"/>
              </w:rPr>
            </w:pPr>
            <w:r>
              <w:rPr>
                <w:rFonts w:ascii="宋体" w:eastAsia="宋体" w:hAnsi="宋体" w:hint="eastAsia"/>
                <w:b/>
                <w:bCs/>
                <w:sz w:val="24"/>
                <w:szCs w:val="24"/>
              </w:rPr>
              <w:t>第二部分：提问与回答环节</w:t>
            </w:r>
          </w:p>
          <w:p w14:paraId="5ECD7CA0" w14:textId="77777777" w:rsidR="006A22EF" w:rsidRDefault="00FF6DBF">
            <w:pPr>
              <w:pStyle w:val="dt-shareparagraph-text"/>
              <w:shd w:val="clear" w:color="auto" w:fill="FFFFFF"/>
              <w:spacing w:before="0" w:beforeAutospacing="0" w:after="0" w:afterAutospacing="0" w:line="276" w:lineRule="auto"/>
              <w:ind w:firstLineChars="200" w:firstLine="482"/>
              <w:jc w:val="both"/>
              <w:rPr>
                <w:b/>
                <w:bCs/>
              </w:rPr>
            </w:pPr>
            <w:r>
              <w:rPr>
                <w:rFonts w:hint="eastAsia"/>
                <w:b/>
                <w:bCs/>
              </w:rPr>
              <w:lastRenderedPageBreak/>
              <w:t>Q</w:t>
            </w:r>
            <w:r>
              <w:rPr>
                <w:b/>
                <w:bCs/>
              </w:rPr>
              <w:t>1:</w:t>
            </w:r>
            <w:r>
              <w:rPr>
                <w:rFonts w:hint="eastAsia"/>
                <w:b/>
                <w:bCs/>
              </w:rPr>
              <w:t xml:space="preserve"> 公司主营业务以地产为主吗？是否涉及一些商业</w:t>
            </w:r>
            <w:proofErr w:type="gramStart"/>
            <w:r>
              <w:rPr>
                <w:rFonts w:hint="eastAsia"/>
                <w:b/>
                <w:bCs/>
              </w:rPr>
              <w:t>资管类</w:t>
            </w:r>
            <w:proofErr w:type="gramEnd"/>
            <w:r>
              <w:rPr>
                <w:rFonts w:hint="eastAsia"/>
                <w:b/>
                <w:bCs/>
              </w:rPr>
              <w:t>业务？</w:t>
            </w:r>
          </w:p>
          <w:p w14:paraId="2C209032" w14:textId="77777777" w:rsidR="006A22EF" w:rsidRDefault="00FF6DBF">
            <w:pPr>
              <w:pStyle w:val="dt-shareparagraph-text"/>
              <w:shd w:val="clear" w:color="auto" w:fill="FFFFFF"/>
              <w:spacing w:before="0" w:beforeAutospacing="0" w:after="0" w:afterAutospacing="0" w:line="276" w:lineRule="auto"/>
              <w:ind w:firstLineChars="200" w:firstLine="480"/>
              <w:jc w:val="both"/>
              <w:rPr>
                <w:rFonts w:cs="Times New Roman"/>
                <w:shd w:val="clear" w:color="auto" w:fill="FFFFFF"/>
              </w:rPr>
            </w:pPr>
            <w:r>
              <w:rPr>
                <w:rFonts w:cs="Times New Roman"/>
                <w:shd w:val="clear" w:color="auto" w:fill="FFFFFF"/>
              </w:rPr>
              <w:t>A</w:t>
            </w:r>
            <w:r>
              <w:rPr>
                <w:rFonts w:cs="Times New Roman" w:hint="eastAsia"/>
                <w:shd w:val="clear" w:color="auto" w:fill="FFFFFF"/>
              </w:rPr>
              <w:t>：公司目前还是以房地产开发业务为核心主业，在地产运营、地产金融领域正进一步提速发展，形成良好的协同态势。开发业务的营收和利润在比较长的时间内占比仍会较高，未来我们还将保持一定加速度的规模和体量。运营业务是我们快速发展的板块，未来将成为公司新的增长点，以起到平滑周期的作用。金融板块主要是围绕主业服务，起到功能性和利润支撑的作用。</w:t>
            </w:r>
          </w:p>
          <w:p w14:paraId="2FC23231" w14:textId="77777777" w:rsidR="006A22EF" w:rsidRDefault="00FF6DBF">
            <w:pPr>
              <w:pStyle w:val="dt-shareparagraph-text"/>
              <w:shd w:val="clear" w:color="auto" w:fill="FFFFFF"/>
              <w:spacing w:before="0" w:beforeAutospacing="0" w:after="0" w:afterAutospacing="0" w:line="276" w:lineRule="auto"/>
              <w:ind w:firstLineChars="200" w:firstLine="482"/>
              <w:jc w:val="both"/>
              <w:rPr>
                <w:b/>
                <w:bCs/>
              </w:rPr>
            </w:pPr>
            <w:r>
              <w:rPr>
                <w:rFonts w:hint="eastAsia"/>
                <w:b/>
                <w:bCs/>
              </w:rPr>
              <w:t>Q2</w:t>
            </w:r>
            <w:r>
              <w:rPr>
                <w:b/>
                <w:bCs/>
              </w:rPr>
              <w:t>:</w:t>
            </w:r>
            <w:r>
              <w:rPr>
                <w:rFonts w:hint="eastAsia"/>
                <w:b/>
                <w:bCs/>
              </w:rPr>
              <w:t xml:space="preserve"> 公司项目毛利率修复的可持续性？</w:t>
            </w:r>
          </w:p>
          <w:p w14:paraId="07A3F85D" w14:textId="77777777" w:rsidR="006A22EF" w:rsidRDefault="00FF6DBF">
            <w:pPr>
              <w:pStyle w:val="dt-shareparagraph-text"/>
              <w:shd w:val="clear" w:color="auto" w:fill="FFFFFF"/>
              <w:spacing w:before="0" w:beforeAutospacing="0" w:after="0" w:afterAutospacing="0" w:line="276" w:lineRule="auto"/>
              <w:ind w:firstLineChars="200" w:firstLine="480"/>
              <w:jc w:val="both"/>
              <w:rPr>
                <w:rFonts w:cs="Times New Roman"/>
                <w:shd w:val="clear" w:color="auto" w:fill="FFFFFF"/>
              </w:rPr>
            </w:pPr>
            <w:r>
              <w:rPr>
                <w:rFonts w:cs="Times New Roman"/>
                <w:shd w:val="clear" w:color="auto" w:fill="FFFFFF"/>
              </w:rPr>
              <w:t>A</w:t>
            </w:r>
            <w:r>
              <w:rPr>
                <w:rFonts w:cs="Times New Roman" w:hint="eastAsia"/>
                <w:shd w:val="clear" w:color="auto" w:fill="FFFFFF"/>
              </w:rPr>
              <w:t>：关于项目毛利率趋势，近年来受宏观环境波动及行业政策调控影响，公司整体毛利率水平呈现阶段性特征。从结转结构看，不同批次项目受开发周期、区域政策差异等因素影响，毛利率表现可能呈现一定波动性，这属于行业正常周期性表现。公司始终注重经营质量提升，通过精细化管理和产品力升级，为稳健发展奠定基础。具体财务数据请以公司定期报告为准。</w:t>
            </w:r>
          </w:p>
          <w:p w14:paraId="50954757" w14:textId="77777777" w:rsidR="006A22EF" w:rsidRDefault="00FF6DBF">
            <w:pPr>
              <w:pStyle w:val="dt-shareparagraph-text"/>
              <w:shd w:val="clear" w:color="auto" w:fill="FFFFFF"/>
              <w:spacing w:before="0" w:beforeAutospacing="0" w:after="0" w:afterAutospacing="0" w:line="276" w:lineRule="auto"/>
              <w:ind w:firstLineChars="200" w:firstLine="482"/>
              <w:jc w:val="both"/>
              <w:rPr>
                <w:b/>
                <w:bCs/>
              </w:rPr>
            </w:pPr>
            <w:r>
              <w:rPr>
                <w:rFonts w:hint="eastAsia"/>
                <w:b/>
                <w:bCs/>
              </w:rPr>
              <w:t>Q3</w:t>
            </w:r>
            <w:r>
              <w:rPr>
                <w:b/>
                <w:bCs/>
              </w:rPr>
              <w:t>:</w:t>
            </w:r>
            <w:r>
              <w:rPr>
                <w:rFonts w:hint="eastAsia"/>
                <w:b/>
                <w:bCs/>
              </w:rPr>
              <w:t xml:space="preserve"> 公司在土地获取、项目开发上的重点布局和策略是什么？是否有计划拓展上海以外的区域？</w:t>
            </w:r>
          </w:p>
          <w:p w14:paraId="47DCF925" w14:textId="77777777" w:rsidR="006A22EF" w:rsidRDefault="00FF6DBF">
            <w:pPr>
              <w:pStyle w:val="dt-shareparagraph-text"/>
              <w:shd w:val="clear" w:color="auto" w:fill="FFFFFF"/>
              <w:spacing w:before="0" w:beforeAutospacing="0" w:after="0" w:afterAutospacing="0" w:line="276" w:lineRule="auto"/>
              <w:ind w:firstLineChars="200" w:firstLine="480"/>
              <w:jc w:val="both"/>
              <w:rPr>
                <w:rFonts w:cs="Times New Roman"/>
                <w:shd w:val="clear" w:color="auto" w:fill="FFFFFF"/>
              </w:rPr>
            </w:pPr>
            <w:r>
              <w:rPr>
                <w:rFonts w:cs="Times New Roman"/>
                <w:shd w:val="clear" w:color="auto" w:fill="FFFFFF"/>
              </w:rPr>
              <w:t>A</w:t>
            </w:r>
            <w:r>
              <w:rPr>
                <w:rFonts w:cs="Times New Roman" w:hint="eastAsia"/>
                <w:shd w:val="clear" w:color="auto" w:fill="FFFFFF"/>
              </w:rPr>
              <w:t>：公司根据政策动向、市场变化情况，合理做好未来投资安排，积极拓展商品房、特别是上海中心城区核心区域的优质土地资源以及保障房和保障性租赁住房布局，密切关注上海土地出让相关信息，积极筹划布局上海中心城区、旧区改造、城中村以及片区开发等公司优势领域投资机会。同时，公司将围绕主业，着重房地产上下游产业链进行布局，积极投资城投主业相关产业链优质项目，努力把握有价值的投资机会。对于上海以外的市场，特别是重资产投入，我们现阶段保持谨慎态度。</w:t>
            </w:r>
          </w:p>
          <w:p w14:paraId="386FA293" w14:textId="77777777" w:rsidR="006A22EF" w:rsidRDefault="00FF6DBF">
            <w:pPr>
              <w:pStyle w:val="dt-shareparagraph-text"/>
              <w:shd w:val="clear" w:color="auto" w:fill="FFFFFF"/>
              <w:spacing w:before="0" w:beforeAutospacing="0" w:after="0" w:afterAutospacing="0" w:line="276" w:lineRule="auto"/>
              <w:ind w:firstLineChars="200" w:firstLine="482"/>
              <w:jc w:val="both"/>
              <w:rPr>
                <w:b/>
                <w:bCs/>
              </w:rPr>
            </w:pPr>
            <w:r>
              <w:rPr>
                <w:rFonts w:hint="eastAsia"/>
                <w:b/>
                <w:bCs/>
              </w:rPr>
              <w:t>Q4</w:t>
            </w:r>
            <w:r>
              <w:rPr>
                <w:b/>
                <w:bCs/>
              </w:rPr>
              <w:t>:</w:t>
            </w:r>
            <w:r>
              <w:rPr>
                <w:rFonts w:hint="eastAsia"/>
                <w:b/>
                <w:bCs/>
              </w:rPr>
              <w:t>长租公寓业务的盈利模式、培育期、未来扩张计划及REITs扩募计划？</w:t>
            </w:r>
          </w:p>
          <w:p w14:paraId="024F8B30" w14:textId="77777777" w:rsidR="006A22EF" w:rsidRDefault="00FF6DBF">
            <w:pPr>
              <w:pStyle w:val="dt-shareparagraph-text"/>
              <w:shd w:val="clear" w:color="auto" w:fill="FFFFFF"/>
              <w:spacing w:before="0" w:beforeAutospacing="0" w:after="0" w:afterAutospacing="0" w:line="276" w:lineRule="auto"/>
              <w:ind w:firstLineChars="200" w:firstLine="480"/>
              <w:jc w:val="both"/>
            </w:pPr>
            <w:r>
              <w:rPr>
                <w:rFonts w:cs="Times New Roman"/>
                <w:shd w:val="clear" w:color="auto" w:fill="FFFFFF"/>
              </w:rPr>
              <w:t>A</w:t>
            </w:r>
            <w:r>
              <w:rPr>
                <w:rFonts w:cs="Times New Roman" w:hint="eastAsia"/>
                <w:shd w:val="clear" w:color="auto" w:fill="FFFFFF"/>
              </w:rPr>
              <w:t>：“城投宽庭”作为公司租赁住房运营品牌，借助保租房REITs的发行，已取得市场先机。目前累计运营社区10个，管理规模超1.4万套，总运营规模正在向着“十四五”末达到2万套的目标迈进。“城投宽庭”已成为公司快速发展的板块，未来公司将继续以规模化运营为基础，做精服务，做强品牌。</w:t>
            </w:r>
            <w:r>
              <w:rPr>
                <w:rFonts w:hint="eastAsia"/>
              </w:rPr>
              <w:t>公司将做好REITs融资后的滚动投资，适时推进其他保障性租赁住房社区作为扩募储备资产。</w:t>
            </w:r>
          </w:p>
          <w:p w14:paraId="39ED552A" w14:textId="77777777" w:rsidR="006A22EF" w:rsidRDefault="00FF6DBF">
            <w:pPr>
              <w:pStyle w:val="dt-shareparagraph-text"/>
              <w:shd w:val="clear" w:color="auto" w:fill="FFFFFF"/>
              <w:spacing w:before="0" w:beforeAutospacing="0" w:after="0" w:afterAutospacing="0" w:line="276" w:lineRule="auto"/>
              <w:ind w:firstLineChars="200" w:firstLine="482"/>
              <w:jc w:val="both"/>
              <w:rPr>
                <w:b/>
                <w:bCs/>
              </w:rPr>
            </w:pPr>
            <w:r>
              <w:rPr>
                <w:rFonts w:hint="eastAsia"/>
                <w:b/>
                <w:bCs/>
              </w:rPr>
              <w:t>Q5</w:t>
            </w:r>
            <w:r>
              <w:rPr>
                <w:b/>
                <w:bCs/>
              </w:rPr>
              <w:t>:</w:t>
            </w:r>
            <w:r>
              <w:rPr>
                <w:rFonts w:hint="eastAsia"/>
                <w:b/>
                <w:bCs/>
              </w:rPr>
              <w:t>公司未来市值管理的具体举措？国资委对上市公司有哪些要求？</w:t>
            </w:r>
          </w:p>
          <w:p w14:paraId="6B0AB7B7" w14:textId="77777777" w:rsidR="006A22EF" w:rsidRDefault="00FF6DBF">
            <w:pPr>
              <w:pStyle w:val="dt-shareparagraph-text"/>
              <w:shd w:val="clear" w:color="auto" w:fill="FFFFFF"/>
              <w:spacing w:before="0" w:beforeAutospacing="0" w:after="0" w:afterAutospacing="0" w:line="276" w:lineRule="auto"/>
              <w:ind w:firstLineChars="200" w:firstLine="480"/>
              <w:jc w:val="both"/>
              <w:rPr>
                <w:rFonts w:cs="Times New Roman"/>
                <w:shd w:val="clear" w:color="auto" w:fill="FFFFFF"/>
              </w:rPr>
            </w:pPr>
            <w:r>
              <w:rPr>
                <w:rFonts w:hint="eastAsia"/>
              </w:rPr>
              <w:t>A：</w:t>
            </w:r>
            <w:r>
              <w:rPr>
                <w:rFonts w:cs="Times New Roman" w:hint="eastAsia"/>
                <w:shd w:val="clear" w:color="auto" w:fill="FFFFFF"/>
              </w:rPr>
              <w:t>公司积极贯彻落实证监会、交易所、国资委等监管机构有关上市公司市值管理的要求，结合公司发展战略和实际情况，制定并发布了《估值提升计划暨提质增效重回报行动方案》。未来，公司将通过持续优化经营质效、深化多层次投资者关系管理、加大现金分红力度、提升信息披露质量、实施股份回购计划、坚持规范运作、强化“关键少数”责任、加强科</w:t>
            </w:r>
            <w:r>
              <w:rPr>
                <w:rFonts w:cs="Times New Roman" w:hint="eastAsia"/>
                <w:shd w:val="clear" w:color="auto" w:fill="FFFFFF"/>
              </w:rPr>
              <w:lastRenderedPageBreak/>
              <w:t>技创新等举措，全面提升公司投资价值，切实增强投资者回报，推动实现企业的健康可持续发展。</w:t>
            </w:r>
          </w:p>
          <w:p w14:paraId="029B7738" w14:textId="77777777" w:rsidR="006A22EF" w:rsidRDefault="00FF6DBF">
            <w:pPr>
              <w:pStyle w:val="dt-shareparagraph-text"/>
              <w:shd w:val="clear" w:color="auto" w:fill="FFFFFF"/>
              <w:spacing w:before="0" w:beforeAutospacing="0" w:after="0" w:afterAutospacing="0" w:line="276" w:lineRule="auto"/>
              <w:ind w:firstLineChars="200" w:firstLine="482"/>
              <w:jc w:val="both"/>
              <w:rPr>
                <w:b/>
                <w:bCs/>
              </w:rPr>
            </w:pPr>
            <w:r>
              <w:rPr>
                <w:rFonts w:hint="eastAsia"/>
                <w:b/>
                <w:bCs/>
              </w:rPr>
              <w:t>Q6</w:t>
            </w:r>
            <w:r>
              <w:rPr>
                <w:b/>
                <w:bCs/>
              </w:rPr>
              <w:t>:</w:t>
            </w:r>
            <w:r>
              <w:rPr>
                <w:rFonts w:hint="eastAsia"/>
                <w:b/>
                <w:bCs/>
              </w:rPr>
              <w:t>公司未来在分红派息方面有什么规划？</w:t>
            </w:r>
          </w:p>
          <w:p w14:paraId="05B48491" w14:textId="77777777" w:rsidR="006A22EF" w:rsidRDefault="00FF6DBF">
            <w:pPr>
              <w:pStyle w:val="dt-shareparagraph-text"/>
              <w:shd w:val="clear" w:color="auto" w:fill="FFFFFF"/>
              <w:spacing w:before="0" w:beforeAutospacing="0" w:line="276" w:lineRule="auto"/>
              <w:ind w:firstLineChars="200" w:firstLine="480"/>
              <w:jc w:val="both"/>
              <w:rPr>
                <w:rFonts w:cs="Times New Roman"/>
                <w:shd w:val="clear" w:color="auto" w:fill="FFFFFF"/>
              </w:rPr>
            </w:pPr>
            <w:r>
              <w:rPr>
                <w:rFonts w:hint="eastAsia"/>
              </w:rPr>
              <w:t>A：</w:t>
            </w:r>
            <w:r>
              <w:rPr>
                <w:rFonts w:cs="Times New Roman" w:hint="eastAsia"/>
                <w:shd w:val="clear" w:color="auto" w:fill="FFFFFF"/>
              </w:rPr>
              <w:t>公司历来重视对股东的稳定回报，积极贯彻落实证监会、交易所等监管机构有关上市公司现金分红的要求，同时综合考虑公司经营情况和发展需要，制定合理的利润分配预案，在条件允许的情况下进一步提高分红水平。根据已披露的《估值提升计划暨提质增效重回报行动方案》，公司承诺，2024至2026年度，三年累计现金分红金额占同期累计归属于上市公司股东的净利润比例将不低于35%，切实增强投资者回报。公司2024年度现金分红金额占净利润的比例为41.28%，相较前一年提升了5个百分点。</w:t>
            </w:r>
          </w:p>
        </w:tc>
      </w:tr>
      <w:tr w:rsidR="006A22EF" w14:paraId="049C4F24" w14:textId="77777777">
        <w:trPr>
          <w:trHeight w:val="490"/>
        </w:trPr>
        <w:tc>
          <w:tcPr>
            <w:tcW w:w="1840" w:type="dxa"/>
            <w:vAlign w:val="center"/>
          </w:tcPr>
          <w:p w14:paraId="0906C1FB" w14:textId="77777777" w:rsidR="006A22EF" w:rsidRDefault="00FF6DBF">
            <w:pPr>
              <w:snapToGrid w:val="0"/>
              <w:spacing w:beforeLines="30" w:before="93" w:afterLines="30" w:after="93" w:line="26" w:lineRule="atLeast"/>
              <w:ind w:right="110"/>
              <w:jc w:val="center"/>
              <w:rPr>
                <w:rFonts w:ascii="宋体" w:eastAsia="宋体" w:hAnsi="宋体" w:cs="宋体"/>
                <w:b/>
                <w:sz w:val="24"/>
                <w:szCs w:val="24"/>
              </w:rPr>
            </w:pPr>
            <w:r>
              <w:rPr>
                <w:rFonts w:ascii="宋体" w:eastAsia="宋体" w:hAnsi="宋体" w:cs="宋体" w:hint="eastAsia"/>
                <w:b/>
                <w:sz w:val="24"/>
                <w:szCs w:val="24"/>
              </w:rPr>
              <w:lastRenderedPageBreak/>
              <w:t>附件清单</w:t>
            </w:r>
          </w:p>
        </w:tc>
        <w:tc>
          <w:tcPr>
            <w:tcW w:w="7900" w:type="dxa"/>
            <w:vAlign w:val="center"/>
          </w:tcPr>
          <w:p w14:paraId="634C63C4" w14:textId="77777777" w:rsidR="006A22EF" w:rsidRDefault="00FF6DBF">
            <w:pPr>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无</w:t>
            </w:r>
          </w:p>
        </w:tc>
      </w:tr>
      <w:tr w:rsidR="006A22EF" w14:paraId="17490D23" w14:textId="77777777">
        <w:trPr>
          <w:trHeight w:val="490"/>
        </w:trPr>
        <w:tc>
          <w:tcPr>
            <w:tcW w:w="9740" w:type="dxa"/>
            <w:gridSpan w:val="2"/>
            <w:shd w:val="clear" w:color="auto" w:fill="auto"/>
            <w:vAlign w:val="center"/>
          </w:tcPr>
          <w:p w14:paraId="7B94D1FF" w14:textId="77777777" w:rsidR="006A22EF" w:rsidRDefault="00FF6DBF">
            <w:pPr>
              <w:adjustRightInd w:val="0"/>
              <w:snapToGrid w:val="0"/>
              <w:rPr>
                <w:rFonts w:ascii="Times New Roman" w:eastAsia="仿宋_GB2312" w:hAnsi="Times New Roman" w:cs="Times New Roman"/>
                <w:sz w:val="32"/>
                <w:szCs w:val="32"/>
              </w:rPr>
            </w:pPr>
            <w:r>
              <w:rPr>
                <w:rFonts w:ascii="宋体" w:eastAsia="宋体" w:hAnsi="宋体" w:cs="宋体" w:hint="eastAsia"/>
                <w:kern w:val="0"/>
                <w:sz w:val="24"/>
                <w:szCs w:val="24"/>
              </w:rPr>
              <w:t>注：公司严格遵守信息披露法律法规与投资者交流，如涉及公司战略规划等意向性目标，</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视为公司或管理层对公司业绩的保证或承诺，敬请广大投资者注意投资风险。</w:t>
            </w:r>
          </w:p>
        </w:tc>
      </w:tr>
    </w:tbl>
    <w:p w14:paraId="6889C7F6" w14:textId="77777777" w:rsidR="006A22EF" w:rsidRDefault="006A22EF">
      <w:pPr>
        <w:spacing w:line="26" w:lineRule="atLeast"/>
        <w:rPr>
          <w:rFonts w:ascii="宋体" w:eastAsia="宋体" w:hAnsi="宋体" w:cs="宋体"/>
          <w:b/>
          <w:sz w:val="24"/>
          <w:szCs w:val="24"/>
        </w:rPr>
      </w:pPr>
    </w:p>
    <w:sectPr w:rsidR="006A22EF">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CD93A" w14:textId="77777777" w:rsidR="00B87824" w:rsidRDefault="00B87824">
      <w:r>
        <w:separator/>
      </w:r>
    </w:p>
  </w:endnote>
  <w:endnote w:type="continuationSeparator" w:id="0">
    <w:p w14:paraId="0BEADCCE" w14:textId="77777777" w:rsidR="00B87824" w:rsidRDefault="00B8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6729" w14:textId="77777777" w:rsidR="006A22EF" w:rsidRDefault="006A22EF">
    <w:pPr>
      <w:pStyle w:val="a8"/>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67385" w14:textId="77777777" w:rsidR="00B87824" w:rsidRDefault="00B87824">
      <w:r>
        <w:separator/>
      </w:r>
    </w:p>
  </w:footnote>
  <w:footnote w:type="continuationSeparator" w:id="0">
    <w:p w14:paraId="2B6FB7D3" w14:textId="77777777" w:rsidR="00B87824" w:rsidRDefault="00B87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0NzlmOTE4OTE4MWVjYjJkODFkODk5OGY0NjQ2YmMifQ=="/>
  </w:docVars>
  <w:rsids>
    <w:rsidRoot w:val="007B6EEB"/>
    <w:rsid w:val="00000638"/>
    <w:rsid w:val="00001B6D"/>
    <w:rsid w:val="00002309"/>
    <w:rsid w:val="00002703"/>
    <w:rsid w:val="00003356"/>
    <w:rsid w:val="000039FA"/>
    <w:rsid w:val="000040C0"/>
    <w:rsid w:val="00007FE5"/>
    <w:rsid w:val="00010035"/>
    <w:rsid w:val="00011190"/>
    <w:rsid w:val="00011B34"/>
    <w:rsid w:val="000121C8"/>
    <w:rsid w:val="0001272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2081"/>
    <w:rsid w:val="000331E0"/>
    <w:rsid w:val="0003367E"/>
    <w:rsid w:val="000339F1"/>
    <w:rsid w:val="0003519D"/>
    <w:rsid w:val="00036890"/>
    <w:rsid w:val="00037171"/>
    <w:rsid w:val="000374AB"/>
    <w:rsid w:val="00037653"/>
    <w:rsid w:val="00037A7F"/>
    <w:rsid w:val="00040903"/>
    <w:rsid w:val="00041136"/>
    <w:rsid w:val="000414F5"/>
    <w:rsid w:val="000418BD"/>
    <w:rsid w:val="00042A2A"/>
    <w:rsid w:val="00042E2A"/>
    <w:rsid w:val="00043499"/>
    <w:rsid w:val="00044699"/>
    <w:rsid w:val="0004579D"/>
    <w:rsid w:val="00050154"/>
    <w:rsid w:val="0005110A"/>
    <w:rsid w:val="00051A5E"/>
    <w:rsid w:val="00051BB0"/>
    <w:rsid w:val="00052976"/>
    <w:rsid w:val="00052B80"/>
    <w:rsid w:val="00052C39"/>
    <w:rsid w:val="00053187"/>
    <w:rsid w:val="00053566"/>
    <w:rsid w:val="000540CD"/>
    <w:rsid w:val="00054F4E"/>
    <w:rsid w:val="00055D98"/>
    <w:rsid w:val="00056190"/>
    <w:rsid w:val="00061226"/>
    <w:rsid w:val="00062D8C"/>
    <w:rsid w:val="0006450F"/>
    <w:rsid w:val="00064C52"/>
    <w:rsid w:val="00065B65"/>
    <w:rsid w:val="000707F0"/>
    <w:rsid w:val="00071BE8"/>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1770"/>
    <w:rsid w:val="0009321B"/>
    <w:rsid w:val="000933D6"/>
    <w:rsid w:val="00093950"/>
    <w:rsid w:val="00093A10"/>
    <w:rsid w:val="000944A8"/>
    <w:rsid w:val="00094581"/>
    <w:rsid w:val="00095C5B"/>
    <w:rsid w:val="00097F6C"/>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0CB"/>
    <w:rsid w:val="000B47B3"/>
    <w:rsid w:val="000B4D40"/>
    <w:rsid w:val="000B4D6A"/>
    <w:rsid w:val="000B4EA2"/>
    <w:rsid w:val="000B5E14"/>
    <w:rsid w:val="000B6183"/>
    <w:rsid w:val="000B6468"/>
    <w:rsid w:val="000B6740"/>
    <w:rsid w:val="000B7094"/>
    <w:rsid w:val="000B714C"/>
    <w:rsid w:val="000C016A"/>
    <w:rsid w:val="000C03FB"/>
    <w:rsid w:val="000C0FBB"/>
    <w:rsid w:val="000C1FF9"/>
    <w:rsid w:val="000C53BB"/>
    <w:rsid w:val="000C5575"/>
    <w:rsid w:val="000C5A3C"/>
    <w:rsid w:val="000C5C40"/>
    <w:rsid w:val="000C636D"/>
    <w:rsid w:val="000D13F6"/>
    <w:rsid w:val="000D1EF0"/>
    <w:rsid w:val="000D32E2"/>
    <w:rsid w:val="000D3C16"/>
    <w:rsid w:val="000D3F3E"/>
    <w:rsid w:val="000D58C0"/>
    <w:rsid w:val="000D6014"/>
    <w:rsid w:val="000D60C2"/>
    <w:rsid w:val="000D6DED"/>
    <w:rsid w:val="000D6E21"/>
    <w:rsid w:val="000D786E"/>
    <w:rsid w:val="000D7BEC"/>
    <w:rsid w:val="000E084C"/>
    <w:rsid w:val="000E0911"/>
    <w:rsid w:val="000E2B3B"/>
    <w:rsid w:val="000E2C1B"/>
    <w:rsid w:val="000E2FC8"/>
    <w:rsid w:val="000E31C1"/>
    <w:rsid w:val="000E32AF"/>
    <w:rsid w:val="000E3A4C"/>
    <w:rsid w:val="000E450D"/>
    <w:rsid w:val="000E48ED"/>
    <w:rsid w:val="000E4B73"/>
    <w:rsid w:val="000E5054"/>
    <w:rsid w:val="000F01AB"/>
    <w:rsid w:val="000F0701"/>
    <w:rsid w:val="000F08CA"/>
    <w:rsid w:val="000F138A"/>
    <w:rsid w:val="000F1983"/>
    <w:rsid w:val="000F1C4C"/>
    <w:rsid w:val="000F3832"/>
    <w:rsid w:val="000F3970"/>
    <w:rsid w:val="000F3AE0"/>
    <w:rsid w:val="000F3FD1"/>
    <w:rsid w:val="000F4259"/>
    <w:rsid w:val="000F513D"/>
    <w:rsid w:val="000F53CF"/>
    <w:rsid w:val="000F54A9"/>
    <w:rsid w:val="000F5F62"/>
    <w:rsid w:val="000F61D9"/>
    <w:rsid w:val="000F6F59"/>
    <w:rsid w:val="000F7B39"/>
    <w:rsid w:val="00102EB3"/>
    <w:rsid w:val="0010507B"/>
    <w:rsid w:val="0010531E"/>
    <w:rsid w:val="00106214"/>
    <w:rsid w:val="00106304"/>
    <w:rsid w:val="00107221"/>
    <w:rsid w:val="0010790F"/>
    <w:rsid w:val="00107E01"/>
    <w:rsid w:val="00111261"/>
    <w:rsid w:val="00111C96"/>
    <w:rsid w:val="0011201C"/>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4983"/>
    <w:rsid w:val="0014537D"/>
    <w:rsid w:val="00145A39"/>
    <w:rsid w:val="00146ACC"/>
    <w:rsid w:val="001473C2"/>
    <w:rsid w:val="001479EE"/>
    <w:rsid w:val="00147A04"/>
    <w:rsid w:val="00150C8D"/>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14E6"/>
    <w:rsid w:val="00192160"/>
    <w:rsid w:val="00193296"/>
    <w:rsid w:val="00194754"/>
    <w:rsid w:val="001948A3"/>
    <w:rsid w:val="00194E4D"/>
    <w:rsid w:val="001959F4"/>
    <w:rsid w:val="00195E0D"/>
    <w:rsid w:val="00195FF4"/>
    <w:rsid w:val="00197C38"/>
    <w:rsid w:val="001A17E9"/>
    <w:rsid w:val="001A1B6D"/>
    <w:rsid w:val="001A1BA6"/>
    <w:rsid w:val="001A2379"/>
    <w:rsid w:val="001A2845"/>
    <w:rsid w:val="001A3434"/>
    <w:rsid w:val="001A484B"/>
    <w:rsid w:val="001A6F33"/>
    <w:rsid w:val="001A716C"/>
    <w:rsid w:val="001B0084"/>
    <w:rsid w:val="001B014B"/>
    <w:rsid w:val="001B0A79"/>
    <w:rsid w:val="001B0E65"/>
    <w:rsid w:val="001B1667"/>
    <w:rsid w:val="001B2695"/>
    <w:rsid w:val="001B4091"/>
    <w:rsid w:val="001B48A8"/>
    <w:rsid w:val="001B5099"/>
    <w:rsid w:val="001B5246"/>
    <w:rsid w:val="001B557C"/>
    <w:rsid w:val="001B6864"/>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589"/>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02B9"/>
    <w:rsid w:val="001F1B65"/>
    <w:rsid w:val="001F2D16"/>
    <w:rsid w:val="001F3293"/>
    <w:rsid w:val="001F3A26"/>
    <w:rsid w:val="001F3C33"/>
    <w:rsid w:val="001F48A6"/>
    <w:rsid w:val="001F5315"/>
    <w:rsid w:val="00200CBD"/>
    <w:rsid w:val="0020286D"/>
    <w:rsid w:val="0020296F"/>
    <w:rsid w:val="00203D7B"/>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BBA"/>
    <w:rsid w:val="00212F92"/>
    <w:rsid w:val="0021343C"/>
    <w:rsid w:val="00213D88"/>
    <w:rsid w:val="00213E53"/>
    <w:rsid w:val="00213E73"/>
    <w:rsid w:val="00213F51"/>
    <w:rsid w:val="00214C9E"/>
    <w:rsid w:val="00215F91"/>
    <w:rsid w:val="0021658D"/>
    <w:rsid w:val="002167C9"/>
    <w:rsid w:val="00216D5B"/>
    <w:rsid w:val="002178CD"/>
    <w:rsid w:val="002203DC"/>
    <w:rsid w:val="0022126D"/>
    <w:rsid w:val="00222AA4"/>
    <w:rsid w:val="0022764C"/>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6F4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4E14"/>
    <w:rsid w:val="002654C8"/>
    <w:rsid w:val="00266CE3"/>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0E4D"/>
    <w:rsid w:val="002A1B79"/>
    <w:rsid w:val="002A2853"/>
    <w:rsid w:val="002A2F73"/>
    <w:rsid w:val="002A383C"/>
    <w:rsid w:val="002A4A48"/>
    <w:rsid w:val="002A55D1"/>
    <w:rsid w:val="002A56DE"/>
    <w:rsid w:val="002A66F4"/>
    <w:rsid w:val="002A760B"/>
    <w:rsid w:val="002A7CFA"/>
    <w:rsid w:val="002B0334"/>
    <w:rsid w:val="002B04D7"/>
    <w:rsid w:val="002B0C96"/>
    <w:rsid w:val="002B0E03"/>
    <w:rsid w:val="002B142E"/>
    <w:rsid w:val="002B29AC"/>
    <w:rsid w:val="002B2D66"/>
    <w:rsid w:val="002B3C21"/>
    <w:rsid w:val="002B3FB2"/>
    <w:rsid w:val="002B57DA"/>
    <w:rsid w:val="002B5DBA"/>
    <w:rsid w:val="002B63CF"/>
    <w:rsid w:val="002B6DA4"/>
    <w:rsid w:val="002B7323"/>
    <w:rsid w:val="002B7804"/>
    <w:rsid w:val="002B78E3"/>
    <w:rsid w:val="002C07A3"/>
    <w:rsid w:val="002C1672"/>
    <w:rsid w:val="002C1CEF"/>
    <w:rsid w:val="002C396A"/>
    <w:rsid w:val="002C4C7A"/>
    <w:rsid w:val="002C586B"/>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D3B"/>
    <w:rsid w:val="002E4F38"/>
    <w:rsid w:val="002E5D34"/>
    <w:rsid w:val="002F03E4"/>
    <w:rsid w:val="002F0B4A"/>
    <w:rsid w:val="002F127D"/>
    <w:rsid w:val="002F2B62"/>
    <w:rsid w:val="002F3184"/>
    <w:rsid w:val="002F332F"/>
    <w:rsid w:val="002F3B73"/>
    <w:rsid w:val="002F424A"/>
    <w:rsid w:val="002F4320"/>
    <w:rsid w:val="002F4DE4"/>
    <w:rsid w:val="002F51F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3D1"/>
    <w:rsid w:val="00311FE9"/>
    <w:rsid w:val="0031257A"/>
    <w:rsid w:val="00313ED4"/>
    <w:rsid w:val="00313F06"/>
    <w:rsid w:val="003147FA"/>
    <w:rsid w:val="00314CFB"/>
    <w:rsid w:val="003154BA"/>
    <w:rsid w:val="00317D71"/>
    <w:rsid w:val="00317E30"/>
    <w:rsid w:val="00317EF6"/>
    <w:rsid w:val="00320325"/>
    <w:rsid w:val="003208BB"/>
    <w:rsid w:val="003233B2"/>
    <w:rsid w:val="003233B5"/>
    <w:rsid w:val="00323FC5"/>
    <w:rsid w:val="00324436"/>
    <w:rsid w:val="00324CE0"/>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25C9"/>
    <w:rsid w:val="0034505B"/>
    <w:rsid w:val="00345767"/>
    <w:rsid w:val="00346CDC"/>
    <w:rsid w:val="003477CE"/>
    <w:rsid w:val="0035063F"/>
    <w:rsid w:val="00350E47"/>
    <w:rsid w:val="00351193"/>
    <w:rsid w:val="003512C8"/>
    <w:rsid w:val="0035170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644C5"/>
    <w:rsid w:val="003653C0"/>
    <w:rsid w:val="00370B8F"/>
    <w:rsid w:val="0037172A"/>
    <w:rsid w:val="003717A3"/>
    <w:rsid w:val="003717EE"/>
    <w:rsid w:val="003737C5"/>
    <w:rsid w:val="00373868"/>
    <w:rsid w:val="00374545"/>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063"/>
    <w:rsid w:val="003951FD"/>
    <w:rsid w:val="00396027"/>
    <w:rsid w:val="00396727"/>
    <w:rsid w:val="00396F41"/>
    <w:rsid w:val="00397B3D"/>
    <w:rsid w:val="003A054B"/>
    <w:rsid w:val="003A0696"/>
    <w:rsid w:val="003A1515"/>
    <w:rsid w:val="003A19E3"/>
    <w:rsid w:val="003A2031"/>
    <w:rsid w:val="003A2368"/>
    <w:rsid w:val="003A2A06"/>
    <w:rsid w:val="003A4C12"/>
    <w:rsid w:val="003A5695"/>
    <w:rsid w:val="003A67C8"/>
    <w:rsid w:val="003A6AE5"/>
    <w:rsid w:val="003B06D0"/>
    <w:rsid w:val="003B0A30"/>
    <w:rsid w:val="003B25C7"/>
    <w:rsid w:val="003B2C55"/>
    <w:rsid w:val="003B442D"/>
    <w:rsid w:val="003B4983"/>
    <w:rsid w:val="003B5081"/>
    <w:rsid w:val="003B5262"/>
    <w:rsid w:val="003B539B"/>
    <w:rsid w:val="003B5B6C"/>
    <w:rsid w:val="003B5F01"/>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468D"/>
    <w:rsid w:val="003D5A13"/>
    <w:rsid w:val="003D6D65"/>
    <w:rsid w:val="003D6F39"/>
    <w:rsid w:val="003D6F80"/>
    <w:rsid w:val="003D6FAF"/>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A2D"/>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6847"/>
    <w:rsid w:val="004472C8"/>
    <w:rsid w:val="00451341"/>
    <w:rsid w:val="00451660"/>
    <w:rsid w:val="004519F5"/>
    <w:rsid w:val="00452704"/>
    <w:rsid w:val="004530DB"/>
    <w:rsid w:val="0045340C"/>
    <w:rsid w:val="0045344E"/>
    <w:rsid w:val="004534CE"/>
    <w:rsid w:val="00453681"/>
    <w:rsid w:val="00453D1B"/>
    <w:rsid w:val="004551CC"/>
    <w:rsid w:val="00456DE5"/>
    <w:rsid w:val="00460B90"/>
    <w:rsid w:val="00460E60"/>
    <w:rsid w:val="00461EDC"/>
    <w:rsid w:val="00462001"/>
    <w:rsid w:val="00462BBE"/>
    <w:rsid w:val="00465FA8"/>
    <w:rsid w:val="0046657F"/>
    <w:rsid w:val="00466E50"/>
    <w:rsid w:val="004672CE"/>
    <w:rsid w:val="0047052E"/>
    <w:rsid w:val="0047119D"/>
    <w:rsid w:val="0047197A"/>
    <w:rsid w:val="00471DBD"/>
    <w:rsid w:val="00474397"/>
    <w:rsid w:val="00474B6B"/>
    <w:rsid w:val="00475681"/>
    <w:rsid w:val="00475ADB"/>
    <w:rsid w:val="00476639"/>
    <w:rsid w:val="00476819"/>
    <w:rsid w:val="00477250"/>
    <w:rsid w:val="004775C0"/>
    <w:rsid w:val="004775C8"/>
    <w:rsid w:val="00477CF2"/>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6E3"/>
    <w:rsid w:val="004A19FC"/>
    <w:rsid w:val="004A1C1E"/>
    <w:rsid w:val="004A1E67"/>
    <w:rsid w:val="004A2FA7"/>
    <w:rsid w:val="004A531C"/>
    <w:rsid w:val="004A62E7"/>
    <w:rsid w:val="004A68C9"/>
    <w:rsid w:val="004A6E7D"/>
    <w:rsid w:val="004B1B19"/>
    <w:rsid w:val="004B2042"/>
    <w:rsid w:val="004B2BB9"/>
    <w:rsid w:val="004B34F5"/>
    <w:rsid w:val="004B3FE0"/>
    <w:rsid w:val="004B490E"/>
    <w:rsid w:val="004B57CA"/>
    <w:rsid w:val="004B6CB6"/>
    <w:rsid w:val="004B6EDC"/>
    <w:rsid w:val="004B7DAC"/>
    <w:rsid w:val="004C0498"/>
    <w:rsid w:val="004C064C"/>
    <w:rsid w:val="004C1504"/>
    <w:rsid w:val="004C1A8E"/>
    <w:rsid w:val="004C1FEA"/>
    <w:rsid w:val="004C26CB"/>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4978"/>
    <w:rsid w:val="004E5612"/>
    <w:rsid w:val="004E5A4A"/>
    <w:rsid w:val="004E7287"/>
    <w:rsid w:val="004F0326"/>
    <w:rsid w:val="004F085C"/>
    <w:rsid w:val="004F28B8"/>
    <w:rsid w:val="004F3720"/>
    <w:rsid w:val="004F3AD5"/>
    <w:rsid w:val="004F47B6"/>
    <w:rsid w:val="004F6BC0"/>
    <w:rsid w:val="00500DEF"/>
    <w:rsid w:val="00501D25"/>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19C"/>
    <w:rsid w:val="00512789"/>
    <w:rsid w:val="00514A6C"/>
    <w:rsid w:val="00514D93"/>
    <w:rsid w:val="00516754"/>
    <w:rsid w:val="0052041D"/>
    <w:rsid w:val="00521473"/>
    <w:rsid w:val="00521830"/>
    <w:rsid w:val="00521FA7"/>
    <w:rsid w:val="00522116"/>
    <w:rsid w:val="005240D2"/>
    <w:rsid w:val="00525815"/>
    <w:rsid w:val="00525E5D"/>
    <w:rsid w:val="005264DB"/>
    <w:rsid w:val="005272F4"/>
    <w:rsid w:val="00527768"/>
    <w:rsid w:val="00527901"/>
    <w:rsid w:val="00527AE5"/>
    <w:rsid w:val="00527B06"/>
    <w:rsid w:val="005324BB"/>
    <w:rsid w:val="00532B96"/>
    <w:rsid w:val="00532DD8"/>
    <w:rsid w:val="005335B8"/>
    <w:rsid w:val="0053390C"/>
    <w:rsid w:val="00533C83"/>
    <w:rsid w:val="00536CD7"/>
    <w:rsid w:val="00537826"/>
    <w:rsid w:val="00540D45"/>
    <w:rsid w:val="00542D95"/>
    <w:rsid w:val="00544DC4"/>
    <w:rsid w:val="0054553A"/>
    <w:rsid w:val="00546DF2"/>
    <w:rsid w:val="005470C2"/>
    <w:rsid w:val="0054740D"/>
    <w:rsid w:val="0054781D"/>
    <w:rsid w:val="00550E8B"/>
    <w:rsid w:val="00551F43"/>
    <w:rsid w:val="00551F45"/>
    <w:rsid w:val="00552060"/>
    <w:rsid w:val="0055212D"/>
    <w:rsid w:val="00552BA0"/>
    <w:rsid w:val="0055313D"/>
    <w:rsid w:val="005535B5"/>
    <w:rsid w:val="00555BE0"/>
    <w:rsid w:val="00556600"/>
    <w:rsid w:val="005579EC"/>
    <w:rsid w:val="00557F15"/>
    <w:rsid w:val="0056047D"/>
    <w:rsid w:val="00560AA7"/>
    <w:rsid w:val="005619D0"/>
    <w:rsid w:val="00561E0C"/>
    <w:rsid w:val="005647C9"/>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19F9"/>
    <w:rsid w:val="005820D9"/>
    <w:rsid w:val="00583427"/>
    <w:rsid w:val="00583566"/>
    <w:rsid w:val="00583A3C"/>
    <w:rsid w:val="00585374"/>
    <w:rsid w:val="00587D93"/>
    <w:rsid w:val="00592776"/>
    <w:rsid w:val="00594045"/>
    <w:rsid w:val="00594B1B"/>
    <w:rsid w:val="0059573D"/>
    <w:rsid w:val="00595E46"/>
    <w:rsid w:val="005966FD"/>
    <w:rsid w:val="00596883"/>
    <w:rsid w:val="00596ED7"/>
    <w:rsid w:val="005A0F48"/>
    <w:rsid w:val="005A1E07"/>
    <w:rsid w:val="005A305B"/>
    <w:rsid w:val="005A38FE"/>
    <w:rsid w:val="005A3DA8"/>
    <w:rsid w:val="005A47DE"/>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4534"/>
    <w:rsid w:val="005C74E6"/>
    <w:rsid w:val="005D0973"/>
    <w:rsid w:val="005D0A72"/>
    <w:rsid w:val="005D0AFA"/>
    <w:rsid w:val="005D1524"/>
    <w:rsid w:val="005D1573"/>
    <w:rsid w:val="005D15E8"/>
    <w:rsid w:val="005D1C35"/>
    <w:rsid w:val="005D1E66"/>
    <w:rsid w:val="005D2305"/>
    <w:rsid w:val="005D3EC1"/>
    <w:rsid w:val="005D4492"/>
    <w:rsid w:val="005D4FF3"/>
    <w:rsid w:val="005D56C9"/>
    <w:rsid w:val="005D5B1A"/>
    <w:rsid w:val="005D6C5E"/>
    <w:rsid w:val="005E1110"/>
    <w:rsid w:val="005E19BB"/>
    <w:rsid w:val="005E1CEF"/>
    <w:rsid w:val="005E2297"/>
    <w:rsid w:val="005E291C"/>
    <w:rsid w:val="005E51F4"/>
    <w:rsid w:val="005E538A"/>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066"/>
    <w:rsid w:val="00606FD2"/>
    <w:rsid w:val="0061042C"/>
    <w:rsid w:val="0061221D"/>
    <w:rsid w:val="0061230C"/>
    <w:rsid w:val="00612B2F"/>
    <w:rsid w:val="00612B6F"/>
    <w:rsid w:val="00615F69"/>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54D7"/>
    <w:rsid w:val="006374CD"/>
    <w:rsid w:val="00641C81"/>
    <w:rsid w:val="00641DFD"/>
    <w:rsid w:val="00642339"/>
    <w:rsid w:val="00643754"/>
    <w:rsid w:val="006443AC"/>
    <w:rsid w:val="00644D75"/>
    <w:rsid w:val="00644E39"/>
    <w:rsid w:val="00644E99"/>
    <w:rsid w:val="0064636E"/>
    <w:rsid w:val="0064699B"/>
    <w:rsid w:val="00647460"/>
    <w:rsid w:val="006507FC"/>
    <w:rsid w:val="0065084A"/>
    <w:rsid w:val="00650BDD"/>
    <w:rsid w:val="00651E4B"/>
    <w:rsid w:val="006523A0"/>
    <w:rsid w:val="00652627"/>
    <w:rsid w:val="00653813"/>
    <w:rsid w:val="00654026"/>
    <w:rsid w:val="00656BC5"/>
    <w:rsid w:val="00657199"/>
    <w:rsid w:val="00657C09"/>
    <w:rsid w:val="006600F7"/>
    <w:rsid w:val="006604B8"/>
    <w:rsid w:val="00661AEE"/>
    <w:rsid w:val="00662894"/>
    <w:rsid w:val="00663D89"/>
    <w:rsid w:val="00663F3D"/>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771F5"/>
    <w:rsid w:val="006808CD"/>
    <w:rsid w:val="00680E12"/>
    <w:rsid w:val="006813B5"/>
    <w:rsid w:val="006817A8"/>
    <w:rsid w:val="00681F33"/>
    <w:rsid w:val="006825C1"/>
    <w:rsid w:val="00682C7D"/>
    <w:rsid w:val="006846E3"/>
    <w:rsid w:val="00684B01"/>
    <w:rsid w:val="00685670"/>
    <w:rsid w:val="00685FD0"/>
    <w:rsid w:val="00686944"/>
    <w:rsid w:val="00686E2C"/>
    <w:rsid w:val="00690453"/>
    <w:rsid w:val="006906C0"/>
    <w:rsid w:val="006912B9"/>
    <w:rsid w:val="00691672"/>
    <w:rsid w:val="006917BC"/>
    <w:rsid w:val="00693762"/>
    <w:rsid w:val="00693FE1"/>
    <w:rsid w:val="0069404A"/>
    <w:rsid w:val="00694F9C"/>
    <w:rsid w:val="00695F46"/>
    <w:rsid w:val="00695F4D"/>
    <w:rsid w:val="006967C2"/>
    <w:rsid w:val="006A04DA"/>
    <w:rsid w:val="006A0591"/>
    <w:rsid w:val="006A0799"/>
    <w:rsid w:val="006A1073"/>
    <w:rsid w:val="006A1ED9"/>
    <w:rsid w:val="006A22EF"/>
    <w:rsid w:val="006A2428"/>
    <w:rsid w:val="006A4170"/>
    <w:rsid w:val="006A470E"/>
    <w:rsid w:val="006A5D58"/>
    <w:rsid w:val="006B0FE9"/>
    <w:rsid w:val="006B1C9F"/>
    <w:rsid w:val="006B2D60"/>
    <w:rsid w:val="006B32F2"/>
    <w:rsid w:val="006B35A6"/>
    <w:rsid w:val="006B3AB5"/>
    <w:rsid w:val="006B4381"/>
    <w:rsid w:val="006B4D1C"/>
    <w:rsid w:val="006B50AF"/>
    <w:rsid w:val="006B5312"/>
    <w:rsid w:val="006B5950"/>
    <w:rsid w:val="006B5C15"/>
    <w:rsid w:val="006B5F38"/>
    <w:rsid w:val="006B7032"/>
    <w:rsid w:val="006B7702"/>
    <w:rsid w:val="006C076B"/>
    <w:rsid w:val="006C11EC"/>
    <w:rsid w:val="006C1441"/>
    <w:rsid w:val="006C163B"/>
    <w:rsid w:val="006C1900"/>
    <w:rsid w:val="006C35BF"/>
    <w:rsid w:val="006C3AA9"/>
    <w:rsid w:val="006C4380"/>
    <w:rsid w:val="006C4716"/>
    <w:rsid w:val="006C4A3A"/>
    <w:rsid w:val="006C4BC7"/>
    <w:rsid w:val="006C59CD"/>
    <w:rsid w:val="006C5C85"/>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0C6"/>
    <w:rsid w:val="006E1E5C"/>
    <w:rsid w:val="006E2577"/>
    <w:rsid w:val="006E2633"/>
    <w:rsid w:val="006E3ACD"/>
    <w:rsid w:val="006E3DEF"/>
    <w:rsid w:val="006E486D"/>
    <w:rsid w:val="006E4FA9"/>
    <w:rsid w:val="006E6164"/>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28B"/>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0600"/>
    <w:rsid w:val="007227BA"/>
    <w:rsid w:val="00722F68"/>
    <w:rsid w:val="0072320E"/>
    <w:rsid w:val="0072434C"/>
    <w:rsid w:val="0072560A"/>
    <w:rsid w:val="00727E4F"/>
    <w:rsid w:val="00730856"/>
    <w:rsid w:val="00730D98"/>
    <w:rsid w:val="00730E8E"/>
    <w:rsid w:val="00730F83"/>
    <w:rsid w:val="0073274F"/>
    <w:rsid w:val="00732A78"/>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0A7"/>
    <w:rsid w:val="00754BE7"/>
    <w:rsid w:val="00755BE8"/>
    <w:rsid w:val="00755CF7"/>
    <w:rsid w:val="00756137"/>
    <w:rsid w:val="00757489"/>
    <w:rsid w:val="00757BF2"/>
    <w:rsid w:val="007600E6"/>
    <w:rsid w:val="00760EB8"/>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455D"/>
    <w:rsid w:val="0077538B"/>
    <w:rsid w:val="00775FB7"/>
    <w:rsid w:val="00776CCA"/>
    <w:rsid w:val="00776FB5"/>
    <w:rsid w:val="0078027C"/>
    <w:rsid w:val="007805F2"/>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17E"/>
    <w:rsid w:val="007A4BC2"/>
    <w:rsid w:val="007A4D3B"/>
    <w:rsid w:val="007A5281"/>
    <w:rsid w:val="007A5585"/>
    <w:rsid w:val="007A64C0"/>
    <w:rsid w:val="007A662F"/>
    <w:rsid w:val="007A6BB1"/>
    <w:rsid w:val="007A7880"/>
    <w:rsid w:val="007A7EE3"/>
    <w:rsid w:val="007B0A18"/>
    <w:rsid w:val="007B1717"/>
    <w:rsid w:val="007B1C36"/>
    <w:rsid w:val="007B256C"/>
    <w:rsid w:val="007B2669"/>
    <w:rsid w:val="007B2A7C"/>
    <w:rsid w:val="007B3066"/>
    <w:rsid w:val="007B3A9E"/>
    <w:rsid w:val="007B3CFC"/>
    <w:rsid w:val="007B44E9"/>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5A65"/>
    <w:rsid w:val="007D6B1F"/>
    <w:rsid w:val="007D793E"/>
    <w:rsid w:val="007D7A04"/>
    <w:rsid w:val="007D7B5F"/>
    <w:rsid w:val="007E032F"/>
    <w:rsid w:val="007E1957"/>
    <w:rsid w:val="007E1F43"/>
    <w:rsid w:val="007E2FB3"/>
    <w:rsid w:val="007E46AF"/>
    <w:rsid w:val="007E4C17"/>
    <w:rsid w:val="007E569B"/>
    <w:rsid w:val="007E59D4"/>
    <w:rsid w:val="007E5EBB"/>
    <w:rsid w:val="007E7AD5"/>
    <w:rsid w:val="007F1752"/>
    <w:rsid w:val="007F4916"/>
    <w:rsid w:val="007F5462"/>
    <w:rsid w:val="007F5EBF"/>
    <w:rsid w:val="007F796B"/>
    <w:rsid w:val="007F79C7"/>
    <w:rsid w:val="008019AE"/>
    <w:rsid w:val="00801F04"/>
    <w:rsid w:val="00801F28"/>
    <w:rsid w:val="0080407C"/>
    <w:rsid w:val="00807009"/>
    <w:rsid w:val="008112B9"/>
    <w:rsid w:val="00811F23"/>
    <w:rsid w:val="00812536"/>
    <w:rsid w:val="00813E9C"/>
    <w:rsid w:val="00814099"/>
    <w:rsid w:val="00815566"/>
    <w:rsid w:val="00815C1E"/>
    <w:rsid w:val="0081669C"/>
    <w:rsid w:val="00816B97"/>
    <w:rsid w:val="008174DF"/>
    <w:rsid w:val="0081759F"/>
    <w:rsid w:val="008217BA"/>
    <w:rsid w:val="008237A4"/>
    <w:rsid w:val="0082446D"/>
    <w:rsid w:val="008248A0"/>
    <w:rsid w:val="008248EA"/>
    <w:rsid w:val="00825BC4"/>
    <w:rsid w:val="00826CAB"/>
    <w:rsid w:val="00826E09"/>
    <w:rsid w:val="00827638"/>
    <w:rsid w:val="00827722"/>
    <w:rsid w:val="00830273"/>
    <w:rsid w:val="00830DAA"/>
    <w:rsid w:val="00831144"/>
    <w:rsid w:val="008314D4"/>
    <w:rsid w:val="00831AEF"/>
    <w:rsid w:val="00832710"/>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3884"/>
    <w:rsid w:val="00855960"/>
    <w:rsid w:val="0085772F"/>
    <w:rsid w:val="00861000"/>
    <w:rsid w:val="00861E1A"/>
    <w:rsid w:val="00862722"/>
    <w:rsid w:val="00862CDD"/>
    <w:rsid w:val="0086364C"/>
    <w:rsid w:val="00863D0A"/>
    <w:rsid w:val="008644EF"/>
    <w:rsid w:val="00864728"/>
    <w:rsid w:val="0086523B"/>
    <w:rsid w:val="008662ED"/>
    <w:rsid w:val="0086773F"/>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BBA"/>
    <w:rsid w:val="00883E3F"/>
    <w:rsid w:val="00884884"/>
    <w:rsid w:val="00884A3E"/>
    <w:rsid w:val="00884A3F"/>
    <w:rsid w:val="00884D1A"/>
    <w:rsid w:val="0088529E"/>
    <w:rsid w:val="00885F3D"/>
    <w:rsid w:val="00886D39"/>
    <w:rsid w:val="008872F6"/>
    <w:rsid w:val="00887DED"/>
    <w:rsid w:val="00890C7B"/>
    <w:rsid w:val="00891A49"/>
    <w:rsid w:val="008938C1"/>
    <w:rsid w:val="00893997"/>
    <w:rsid w:val="00894DE0"/>
    <w:rsid w:val="00894EDD"/>
    <w:rsid w:val="0089515F"/>
    <w:rsid w:val="008957B3"/>
    <w:rsid w:val="00896690"/>
    <w:rsid w:val="00896EEF"/>
    <w:rsid w:val="008A19AC"/>
    <w:rsid w:val="008A1C3E"/>
    <w:rsid w:val="008A386D"/>
    <w:rsid w:val="008A55C4"/>
    <w:rsid w:val="008A5B51"/>
    <w:rsid w:val="008A5D18"/>
    <w:rsid w:val="008A78A8"/>
    <w:rsid w:val="008B1301"/>
    <w:rsid w:val="008B395E"/>
    <w:rsid w:val="008B5AD8"/>
    <w:rsid w:val="008B5BDF"/>
    <w:rsid w:val="008B66E0"/>
    <w:rsid w:val="008B7E6B"/>
    <w:rsid w:val="008C00B7"/>
    <w:rsid w:val="008C026E"/>
    <w:rsid w:val="008C0D3F"/>
    <w:rsid w:val="008C203B"/>
    <w:rsid w:val="008C24C4"/>
    <w:rsid w:val="008C2E17"/>
    <w:rsid w:val="008C444E"/>
    <w:rsid w:val="008C4AAD"/>
    <w:rsid w:val="008C500A"/>
    <w:rsid w:val="008C55A8"/>
    <w:rsid w:val="008C5E47"/>
    <w:rsid w:val="008C6A6F"/>
    <w:rsid w:val="008C6F8B"/>
    <w:rsid w:val="008C7986"/>
    <w:rsid w:val="008C7B09"/>
    <w:rsid w:val="008D03AE"/>
    <w:rsid w:val="008D26A6"/>
    <w:rsid w:val="008D2AE7"/>
    <w:rsid w:val="008D2C80"/>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A4C"/>
    <w:rsid w:val="008E6FD5"/>
    <w:rsid w:val="008E7C68"/>
    <w:rsid w:val="008F02E9"/>
    <w:rsid w:val="008F129B"/>
    <w:rsid w:val="008F2A12"/>
    <w:rsid w:val="008F4791"/>
    <w:rsid w:val="008F4876"/>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50D3"/>
    <w:rsid w:val="0092579C"/>
    <w:rsid w:val="00925E4B"/>
    <w:rsid w:val="00926D0C"/>
    <w:rsid w:val="009300A3"/>
    <w:rsid w:val="00930458"/>
    <w:rsid w:val="009314E8"/>
    <w:rsid w:val="00931520"/>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2CE4"/>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5F93"/>
    <w:rsid w:val="00986841"/>
    <w:rsid w:val="0098684C"/>
    <w:rsid w:val="009877C8"/>
    <w:rsid w:val="0099217F"/>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12"/>
    <w:rsid w:val="009B2BAF"/>
    <w:rsid w:val="009B3D50"/>
    <w:rsid w:val="009B6E2B"/>
    <w:rsid w:val="009B7428"/>
    <w:rsid w:val="009B7D32"/>
    <w:rsid w:val="009C3344"/>
    <w:rsid w:val="009C3398"/>
    <w:rsid w:val="009C42C7"/>
    <w:rsid w:val="009C4FFD"/>
    <w:rsid w:val="009C6060"/>
    <w:rsid w:val="009C6AEA"/>
    <w:rsid w:val="009C7074"/>
    <w:rsid w:val="009C71B3"/>
    <w:rsid w:val="009C722C"/>
    <w:rsid w:val="009C77BD"/>
    <w:rsid w:val="009C7A7D"/>
    <w:rsid w:val="009D03A2"/>
    <w:rsid w:val="009D0B84"/>
    <w:rsid w:val="009D1439"/>
    <w:rsid w:val="009D20C4"/>
    <w:rsid w:val="009D20F1"/>
    <w:rsid w:val="009D3D32"/>
    <w:rsid w:val="009D629A"/>
    <w:rsid w:val="009D6930"/>
    <w:rsid w:val="009D6E23"/>
    <w:rsid w:val="009D7AD6"/>
    <w:rsid w:val="009D7FB9"/>
    <w:rsid w:val="009E04F2"/>
    <w:rsid w:val="009E154F"/>
    <w:rsid w:val="009E196F"/>
    <w:rsid w:val="009E28BB"/>
    <w:rsid w:val="009E489A"/>
    <w:rsid w:val="009E5E7B"/>
    <w:rsid w:val="009E5EDF"/>
    <w:rsid w:val="009E62D6"/>
    <w:rsid w:val="009E741A"/>
    <w:rsid w:val="009F03C4"/>
    <w:rsid w:val="009F04A5"/>
    <w:rsid w:val="009F44AF"/>
    <w:rsid w:val="009F5C3C"/>
    <w:rsid w:val="009F6146"/>
    <w:rsid w:val="00A0269D"/>
    <w:rsid w:val="00A02F4B"/>
    <w:rsid w:val="00A03611"/>
    <w:rsid w:val="00A06501"/>
    <w:rsid w:val="00A07333"/>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267A"/>
    <w:rsid w:val="00A42816"/>
    <w:rsid w:val="00A434AA"/>
    <w:rsid w:val="00A443DF"/>
    <w:rsid w:val="00A456DC"/>
    <w:rsid w:val="00A4658D"/>
    <w:rsid w:val="00A46907"/>
    <w:rsid w:val="00A46B5F"/>
    <w:rsid w:val="00A47597"/>
    <w:rsid w:val="00A50A4F"/>
    <w:rsid w:val="00A5195F"/>
    <w:rsid w:val="00A51A4E"/>
    <w:rsid w:val="00A51CC6"/>
    <w:rsid w:val="00A523D0"/>
    <w:rsid w:val="00A5268B"/>
    <w:rsid w:val="00A52CE8"/>
    <w:rsid w:val="00A53C95"/>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6C73"/>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8D5"/>
    <w:rsid w:val="00A94C2C"/>
    <w:rsid w:val="00A95194"/>
    <w:rsid w:val="00A959EA"/>
    <w:rsid w:val="00A95A05"/>
    <w:rsid w:val="00A95FCE"/>
    <w:rsid w:val="00A968F1"/>
    <w:rsid w:val="00A96F66"/>
    <w:rsid w:val="00A9759C"/>
    <w:rsid w:val="00AA0559"/>
    <w:rsid w:val="00AA166F"/>
    <w:rsid w:val="00AA177F"/>
    <w:rsid w:val="00AA1878"/>
    <w:rsid w:val="00AA2440"/>
    <w:rsid w:val="00AA2D2D"/>
    <w:rsid w:val="00AA4426"/>
    <w:rsid w:val="00AA4E33"/>
    <w:rsid w:val="00AA4FBA"/>
    <w:rsid w:val="00AA5195"/>
    <w:rsid w:val="00AA600E"/>
    <w:rsid w:val="00AA603D"/>
    <w:rsid w:val="00AA647A"/>
    <w:rsid w:val="00AA678D"/>
    <w:rsid w:val="00AA6B6C"/>
    <w:rsid w:val="00AA7581"/>
    <w:rsid w:val="00AA7EA5"/>
    <w:rsid w:val="00AB200C"/>
    <w:rsid w:val="00AB2815"/>
    <w:rsid w:val="00AB3A58"/>
    <w:rsid w:val="00AB3BE7"/>
    <w:rsid w:val="00AB4349"/>
    <w:rsid w:val="00AB53F7"/>
    <w:rsid w:val="00AB61FD"/>
    <w:rsid w:val="00AB684E"/>
    <w:rsid w:val="00AB72F0"/>
    <w:rsid w:val="00AC01EC"/>
    <w:rsid w:val="00AC081B"/>
    <w:rsid w:val="00AC0AA8"/>
    <w:rsid w:val="00AC1857"/>
    <w:rsid w:val="00AC22BB"/>
    <w:rsid w:val="00AC3C42"/>
    <w:rsid w:val="00AC3F18"/>
    <w:rsid w:val="00AC450C"/>
    <w:rsid w:val="00AC45E6"/>
    <w:rsid w:val="00AC4CF2"/>
    <w:rsid w:val="00AC4F94"/>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241"/>
    <w:rsid w:val="00AE3446"/>
    <w:rsid w:val="00AE3D47"/>
    <w:rsid w:val="00AE3DA9"/>
    <w:rsid w:val="00AE5247"/>
    <w:rsid w:val="00AE55B1"/>
    <w:rsid w:val="00AE5DD0"/>
    <w:rsid w:val="00AE5F19"/>
    <w:rsid w:val="00AE6396"/>
    <w:rsid w:val="00AE66CA"/>
    <w:rsid w:val="00AE7630"/>
    <w:rsid w:val="00AE79B0"/>
    <w:rsid w:val="00AF0BC3"/>
    <w:rsid w:val="00AF12B7"/>
    <w:rsid w:val="00AF1D51"/>
    <w:rsid w:val="00AF1EF9"/>
    <w:rsid w:val="00AF1F79"/>
    <w:rsid w:val="00AF22E2"/>
    <w:rsid w:val="00AF3B85"/>
    <w:rsid w:val="00AF3F51"/>
    <w:rsid w:val="00AF3FFF"/>
    <w:rsid w:val="00AF4161"/>
    <w:rsid w:val="00AF42DA"/>
    <w:rsid w:val="00AF4545"/>
    <w:rsid w:val="00AF4B75"/>
    <w:rsid w:val="00AF4FBD"/>
    <w:rsid w:val="00AF7596"/>
    <w:rsid w:val="00AF7CCD"/>
    <w:rsid w:val="00B000F1"/>
    <w:rsid w:val="00B004D5"/>
    <w:rsid w:val="00B0189C"/>
    <w:rsid w:val="00B02484"/>
    <w:rsid w:val="00B02CBD"/>
    <w:rsid w:val="00B02E36"/>
    <w:rsid w:val="00B04F85"/>
    <w:rsid w:val="00B06BA5"/>
    <w:rsid w:val="00B078A9"/>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52C2"/>
    <w:rsid w:val="00B2738F"/>
    <w:rsid w:val="00B303F6"/>
    <w:rsid w:val="00B3179C"/>
    <w:rsid w:val="00B319B1"/>
    <w:rsid w:val="00B3247F"/>
    <w:rsid w:val="00B32BD5"/>
    <w:rsid w:val="00B33C83"/>
    <w:rsid w:val="00B3670C"/>
    <w:rsid w:val="00B36963"/>
    <w:rsid w:val="00B36FF5"/>
    <w:rsid w:val="00B3708B"/>
    <w:rsid w:val="00B37C29"/>
    <w:rsid w:val="00B37F4F"/>
    <w:rsid w:val="00B403C0"/>
    <w:rsid w:val="00B40D81"/>
    <w:rsid w:val="00B41365"/>
    <w:rsid w:val="00B41DF0"/>
    <w:rsid w:val="00B4442B"/>
    <w:rsid w:val="00B447B8"/>
    <w:rsid w:val="00B45134"/>
    <w:rsid w:val="00B45AC8"/>
    <w:rsid w:val="00B47479"/>
    <w:rsid w:val="00B50546"/>
    <w:rsid w:val="00B50B3E"/>
    <w:rsid w:val="00B51F75"/>
    <w:rsid w:val="00B52C17"/>
    <w:rsid w:val="00B54985"/>
    <w:rsid w:val="00B5518C"/>
    <w:rsid w:val="00B55950"/>
    <w:rsid w:val="00B56210"/>
    <w:rsid w:val="00B57354"/>
    <w:rsid w:val="00B57A27"/>
    <w:rsid w:val="00B57D77"/>
    <w:rsid w:val="00B57F8A"/>
    <w:rsid w:val="00B600E9"/>
    <w:rsid w:val="00B60BE4"/>
    <w:rsid w:val="00B6170E"/>
    <w:rsid w:val="00B61B9C"/>
    <w:rsid w:val="00B6243D"/>
    <w:rsid w:val="00B62690"/>
    <w:rsid w:val="00B62D20"/>
    <w:rsid w:val="00B630E5"/>
    <w:rsid w:val="00B63442"/>
    <w:rsid w:val="00B649B3"/>
    <w:rsid w:val="00B6500F"/>
    <w:rsid w:val="00B65366"/>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87824"/>
    <w:rsid w:val="00B918AA"/>
    <w:rsid w:val="00B92972"/>
    <w:rsid w:val="00B9323E"/>
    <w:rsid w:val="00B947A4"/>
    <w:rsid w:val="00B95255"/>
    <w:rsid w:val="00B9576A"/>
    <w:rsid w:val="00B95A12"/>
    <w:rsid w:val="00B96286"/>
    <w:rsid w:val="00BA0CC5"/>
    <w:rsid w:val="00BA0EEF"/>
    <w:rsid w:val="00BA4524"/>
    <w:rsid w:val="00BA4830"/>
    <w:rsid w:val="00BA5769"/>
    <w:rsid w:val="00BA7015"/>
    <w:rsid w:val="00BA7025"/>
    <w:rsid w:val="00BA7357"/>
    <w:rsid w:val="00BA76E8"/>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06E0"/>
    <w:rsid w:val="00BC196F"/>
    <w:rsid w:val="00BC1A86"/>
    <w:rsid w:val="00BC24C6"/>
    <w:rsid w:val="00BC28FB"/>
    <w:rsid w:val="00BC2C32"/>
    <w:rsid w:val="00BC2C82"/>
    <w:rsid w:val="00BC326B"/>
    <w:rsid w:val="00BC36FE"/>
    <w:rsid w:val="00BC37E8"/>
    <w:rsid w:val="00BC3A11"/>
    <w:rsid w:val="00BC3FCF"/>
    <w:rsid w:val="00BC48EB"/>
    <w:rsid w:val="00BC5791"/>
    <w:rsid w:val="00BC58A5"/>
    <w:rsid w:val="00BC5AA3"/>
    <w:rsid w:val="00BC6A1F"/>
    <w:rsid w:val="00BC745A"/>
    <w:rsid w:val="00BC7629"/>
    <w:rsid w:val="00BD19F4"/>
    <w:rsid w:val="00BD24B8"/>
    <w:rsid w:val="00BD2AED"/>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6F7B"/>
    <w:rsid w:val="00BF7188"/>
    <w:rsid w:val="00BF78A1"/>
    <w:rsid w:val="00C00111"/>
    <w:rsid w:val="00C0127D"/>
    <w:rsid w:val="00C01602"/>
    <w:rsid w:val="00C02A4D"/>
    <w:rsid w:val="00C02C48"/>
    <w:rsid w:val="00C02F2A"/>
    <w:rsid w:val="00C046C3"/>
    <w:rsid w:val="00C04DA7"/>
    <w:rsid w:val="00C054E8"/>
    <w:rsid w:val="00C061E4"/>
    <w:rsid w:val="00C064B8"/>
    <w:rsid w:val="00C07FA7"/>
    <w:rsid w:val="00C106FE"/>
    <w:rsid w:val="00C10D35"/>
    <w:rsid w:val="00C12B0C"/>
    <w:rsid w:val="00C12FBD"/>
    <w:rsid w:val="00C134A7"/>
    <w:rsid w:val="00C136B9"/>
    <w:rsid w:val="00C144CC"/>
    <w:rsid w:val="00C1498F"/>
    <w:rsid w:val="00C14B20"/>
    <w:rsid w:val="00C150D9"/>
    <w:rsid w:val="00C16148"/>
    <w:rsid w:val="00C1670E"/>
    <w:rsid w:val="00C16772"/>
    <w:rsid w:val="00C16EA6"/>
    <w:rsid w:val="00C174A5"/>
    <w:rsid w:val="00C1764A"/>
    <w:rsid w:val="00C204B6"/>
    <w:rsid w:val="00C211A5"/>
    <w:rsid w:val="00C214F1"/>
    <w:rsid w:val="00C2225A"/>
    <w:rsid w:val="00C23837"/>
    <w:rsid w:val="00C24B92"/>
    <w:rsid w:val="00C255A0"/>
    <w:rsid w:val="00C25B03"/>
    <w:rsid w:val="00C25E48"/>
    <w:rsid w:val="00C303B3"/>
    <w:rsid w:val="00C30F6F"/>
    <w:rsid w:val="00C32496"/>
    <w:rsid w:val="00C32E8C"/>
    <w:rsid w:val="00C330FD"/>
    <w:rsid w:val="00C35345"/>
    <w:rsid w:val="00C36126"/>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0006"/>
    <w:rsid w:val="00C507BF"/>
    <w:rsid w:val="00C5176D"/>
    <w:rsid w:val="00C52157"/>
    <w:rsid w:val="00C523AD"/>
    <w:rsid w:val="00C5265E"/>
    <w:rsid w:val="00C527CB"/>
    <w:rsid w:val="00C5535A"/>
    <w:rsid w:val="00C554D3"/>
    <w:rsid w:val="00C55EFD"/>
    <w:rsid w:val="00C56674"/>
    <w:rsid w:val="00C567CA"/>
    <w:rsid w:val="00C571C2"/>
    <w:rsid w:val="00C60A24"/>
    <w:rsid w:val="00C61842"/>
    <w:rsid w:val="00C61A35"/>
    <w:rsid w:val="00C61DAB"/>
    <w:rsid w:val="00C61E57"/>
    <w:rsid w:val="00C61E61"/>
    <w:rsid w:val="00C62915"/>
    <w:rsid w:val="00C62AF4"/>
    <w:rsid w:val="00C64423"/>
    <w:rsid w:val="00C65E5E"/>
    <w:rsid w:val="00C66D3F"/>
    <w:rsid w:val="00C67002"/>
    <w:rsid w:val="00C67D35"/>
    <w:rsid w:val="00C70329"/>
    <w:rsid w:val="00C705BA"/>
    <w:rsid w:val="00C73228"/>
    <w:rsid w:val="00C73776"/>
    <w:rsid w:val="00C73E58"/>
    <w:rsid w:val="00C7402A"/>
    <w:rsid w:val="00C74443"/>
    <w:rsid w:val="00C74FCF"/>
    <w:rsid w:val="00C7677B"/>
    <w:rsid w:val="00C7695B"/>
    <w:rsid w:val="00C76CFF"/>
    <w:rsid w:val="00C776A4"/>
    <w:rsid w:val="00C80D0E"/>
    <w:rsid w:val="00C80ECD"/>
    <w:rsid w:val="00C835CC"/>
    <w:rsid w:val="00C83DFB"/>
    <w:rsid w:val="00C844C8"/>
    <w:rsid w:val="00C8468B"/>
    <w:rsid w:val="00C84705"/>
    <w:rsid w:val="00C84D37"/>
    <w:rsid w:val="00C85AF5"/>
    <w:rsid w:val="00C85F20"/>
    <w:rsid w:val="00C8782D"/>
    <w:rsid w:val="00C87F25"/>
    <w:rsid w:val="00C90231"/>
    <w:rsid w:val="00C91ECC"/>
    <w:rsid w:val="00C92023"/>
    <w:rsid w:val="00C9261D"/>
    <w:rsid w:val="00C93555"/>
    <w:rsid w:val="00C93CE1"/>
    <w:rsid w:val="00C9507D"/>
    <w:rsid w:val="00C964F4"/>
    <w:rsid w:val="00C96755"/>
    <w:rsid w:val="00C96783"/>
    <w:rsid w:val="00C9680D"/>
    <w:rsid w:val="00C96E3B"/>
    <w:rsid w:val="00CA04C5"/>
    <w:rsid w:val="00CA1617"/>
    <w:rsid w:val="00CA1E70"/>
    <w:rsid w:val="00CA1FE7"/>
    <w:rsid w:val="00CA2549"/>
    <w:rsid w:val="00CA2A84"/>
    <w:rsid w:val="00CA3AB1"/>
    <w:rsid w:val="00CA57F8"/>
    <w:rsid w:val="00CA585C"/>
    <w:rsid w:val="00CA5C1B"/>
    <w:rsid w:val="00CA606C"/>
    <w:rsid w:val="00CA7375"/>
    <w:rsid w:val="00CA7537"/>
    <w:rsid w:val="00CA796E"/>
    <w:rsid w:val="00CA7A1B"/>
    <w:rsid w:val="00CB00C9"/>
    <w:rsid w:val="00CB0802"/>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04"/>
    <w:rsid w:val="00CD129A"/>
    <w:rsid w:val="00CD140C"/>
    <w:rsid w:val="00CD21B5"/>
    <w:rsid w:val="00CD279B"/>
    <w:rsid w:val="00CD2CB3"/>
    <w:rsid w:val="00CD3B84"/>
    <w:rsid w:val="00CD430E"/>
    <w:rsid w:val="00CD4478"/>
    <w:rsid w:val="00CD4E70"/>
    <w:rsid w:val="00CD4F25"/>
    <w:rsid w:val="00CD6207"/>
    <w:rsid w:val="00CD6C4D"/>
    <w:rsid w:val="00CD7FAF"/>
    <w:rsid w:val="00CE01D6"/>
    <w:rsid w:val="00CE064E"/>
    <w:rsid w:val="00CE189A"/>
    <w:rsid w:val="00CE1B88"/>
    <w:rsid w:val="00CE2B31"/>
    <w:rsid w:val="00CE35A6"/>
    <w:rsid w:val="00CE3EB7"/>
    <w:rsid w:val="00CE4C7E"/>
    <w:rsid w:val="00CE5B92"/>
    <w:rsid w:val="00CE7E36"/>
    <w:rsid w:val="00CF005F"/>
    <w:rsid w:val="00CF0E87"/>
    <w:rsid w:val="00CF1021"/>
    <w:rsid w:val="00CF2718"/>
    <w:rsid w:val="00CF2E28"/>
    <w:rsid w:val="00CF2E8E"/>
    <w:rsid w:val="00CF2F00"/>
    <w:rsid w:val="00CF4448"/>
    <w:rsid w:val="00D006F8"/>
    <w:rsid w:val="00D01499"/>
    <w:rsid w:val="00D030E3"/>
    <w:rsid w:val="00D034F2"/>
    <w:rsid w:val="00D04437"/>
    <w:rsid w:val="00D0520C"/>
    <w:rsid w:val="00D06EF9"/>
    <w:rsid w:val="00D07521"/>
    <w:rsid w:val="00D12347"/>
    <w:rsid w:val="00D13E9F"/>
    <w:rsid w:val="00D14CCC"/>
    <w:rsid w:val="00D15451"/>
    <w:rsid w:val="00D15C15"/>
    <w:rsid w:val="00D16BFE"/>
    <w:rsid w:val="00D16DBF"/>
    <w:rsid w:val="00D20D9F"/>
    <w:rsid w:val="00D21769"/>
    <w:rsid w:val="00D217E3"/>
    <w:rsid w:val="00D22CE1"/>
    <w:rsid w:val="00D23A3A"/>
    <w:rsid w:val="00D23AB2"/>
    <w:rsid w:val="00D274CB"/>
    <w:rsid w:val="00D30A28"/>
    <w:rsid w:val="00D3223E"/>
    <w:rsid w:val="00D337EF"/>
    <w:rsid w:val="00D339EB"/>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592"/>
    <w:rsid w:val="00D6099C"/>
    <w:rsid w:val="00D619DC"/>
    <w:rsid w:val="00D61CD5"/>
    <w:rsid w:val="00D62636"/>
    <w:rsid w:val="00D6415E"/>
    <w:rsid w:val="00D64420"/>
    <w:rsid w:val="00D64522"/>
    <w:rsid w:val="00D64D13"/>
    <w:rsid w:val="00D667F7"/>
    <w:rsid w:val="00D67E5E"/>
    <w:rsid w:val="00D70145"/>
    <w:rsid w:val="00D704EA"/>
    <w:rsid w:val="00D712BF"/>
    <w:rsid w:val="00D71C43"/>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BB1"/>
    <w:rsid w:val="00DA2DB0"/>
    <w:rsid w:val="00DA4BF1"/>
    <w:rsid w:val="00DA6740"/>
    <w:rsid w:val="00DA70A3"/>
    <w:rsid w:val="00DA7A6B"/>
    <w:rsid w:val="00DA7B88"/>
    <w:rsid w:val="00DA7BB4"/>
    <w:rsid w:val="00DA7BE3"/>
    <w:rsid w:val="00DA7CFB"/>
    <w:rsid w:val="00DB1F1B"/>
    <w:rsid w:val="00DB20F1"/>
    <w:rsid w:val="00DB549D"/>
    <w:rsid w:val="00DB5C33"/>
    <w:rsid w:val="00DB5D57"/>
    <w:rsid w:val="00DB7286"/>
    <w:rsid w:val="00DC0B83"/>
    <w:rsid w:val="00DC1CDC"/>
    <w:rsid w:val="00DC21A5"/>
    <w:rsid w:val="00DC278A"/>
    <w:rsid w:val="00DC288C"/>
    <w:rsid w:val="00DC4722"/>
    <w:rsid w:val="00DC4A2A"/>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2AC3"/>
    <w:rsid w:val="00DE3930"/>
    <w:rsid w:val="00DE3DF1"/>
    <w:rsid w:val="00DE3EB7"/>
    <w:rsid w:val="00DE3EFC"/>
    <w:rsid w:val="00DE44F9"/>
    <w:rsid w:val="00DE4613"/>
    <w:rsid w:val="00DE493F"/>
    <w:rsid w:val="00DE55E5"/>
    <w:rsid w:val="00DE56E6"/>
    <w:rsid w:val="00DE6718"/>
    <w:rsid w:val="00DE75D1"/>
    <w:rsid w:val="00DE7B8E"/>
    <w:rsid w:val="00DF089E"/>
    <w:rsid w:val="00DF2092"/>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81D"/>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64C"/>
    <w:rsid w:val="00E32DF1"/>
    <w:rsid w:val="00E34214"/>
    <w:rsid w:val="00E343A3"/>
    <w:rsid w:val="00E343DE"/>
    <w:rsid w:val="00E344F2"/>
    <w:rsid w:val="00E35A5F"/>
    <w:rsid w:val="00E3726B"/>
    <w:rsid w:val="00E4033F"/>
    <w:rsid w:val="00E40910"/>
    <w:rsid w:val="00E40973"/>
    <w:rsid w:val="00E40B44"/>
    <w:rsid w:val="00E452E8"/>
    <w:rsid w:val="00E456F9"/>
    <w:rsid w:val="00E45D6E"/>
    <w:rsid w:val="00E47D59"/>
    <w:rsid w:val="00E50061"/>
    <w:rsid w:val="00E5028C"/>
    <w:rsid w:val="00E5090B"/>
    <w:rsid w:val="00E529F3"/>
    <w:rsid w:val="00E52A06"/>
    <w:rsid w:val="00E52FF4"/>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98A"/>
    <w:rsid w:val="00E800D8"/>
    <w:rsid w:val="00E807C7"/>
    <w:rsid w:val="00E81115"/>
    <w:rsid w:val="00E82290"/>
    <w:rsid w:val="00E8298A"/>
    <w:rsid w:val="00E83018"/>
    <w:rsid w:val="00E856C6"/>
    <w:rsid w:val="00E86063"/>
    <w:rsid w:val="00E862E3"/>
    <w:rsid w:val="00E87A29"/>
    <w:rsid w:val="00E9023D"/>
    <w:rsid w:val="00E9265D"/>
    <w:rsid w:val="00E92835"/>
    <w:rsid w:val="00E9326D"/>
    <w:rsid w:val="00E9343C"/>
    <w:rsid w:val="00E938EA"/>
    <w:rsid w:val="00E93E17"/>
    <w:rsid w:val="00E94146"/>
    <w:rsid w:val="00E94B04"/>
    <w:rsid w:val="00E95BF1"/>
    <w:rsid w:val="00E96B89"/>
    <w:rsid w:val="00EA0832"/>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07CF"/>
    <w:rsid w:val="00ED3F5A"/>
    <w:rsid w:val="00ED456E"/>
    <w:rsid w:val="00ED5159"/>
    <w:rsid w:val="00ED5271"/>
    <w:rsid w:val="00ED648B"/>
    <w:rsid w:val="00ED6D3F"/>
    <w:rsid w:val="00ED71FE"/>
    <w:rsid w:val="00EE000B"/>
    <w:rsid w:val="00EE01C0"/>
    <w:rsid w:val="00EE06BE"/>
    <w:rsid w:val="00EE17E5"/>
    <w:rsid w:val="00EE1858"/>
    <w:rsid w:val="00EE2407"/>
    <w:rsid w:val="00EE2B85"/>
    <w:rsid w:val="00EE559B"/>
    <w:rsid w:val="00EE5AD7"/>
    <w:rsid w:val="00EE5D6D"/>
    <w:rsid w:val="00EE6650"/>
    <w:rsid w:val="00EE77D1"/>
    <w:rsid w:val="00EF15C6"/>
    <w:rsid w:val="00EF26CA"/>
    <w:rsid w:val="00EF342C"/>
    <w:rsid w:val="00EF36BC"/>
    <w:rsid w:val="00EF419B"/>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2703"/>
    <w:rsid w:val="00F04D06"/>
    <w:rsid w:val="00F04E8E"/>
    <w:rsid w:val="00F1077F"/>
    <w:rsid w:val="00F109C9"/>
    <w:rsid w:val="00F11154"/>
    <w:rsid w:val="00F12B34"/>
    <w:rsid w:val="00F1386A"/>
    <w:rsid w:val="00F150E0"/>
    <w:rsid w:val="00F156A5"/>
    <w:rsid w:val="00F15A5E"/>
    <w:rsid w:val="00F17307"/>
    <w:rsid w:val="00F214D6"/>
    <w:rsid w:val="00F21FE4"/>
    <w:rsid w:val="00F24033"/>
    <w:rsid w:val="00F2454D"/>
    <w:rsid w:val="00F26A9F"/>
    <w:rsid w:val="00F27E7F"/>
    <w:rsid w:val="00F304F2"/>
    <w:rsid w:val="00F307B8"/>
    <w:rsid w:val="00F30DEE"/>
    <w:rsid w:val="00F3162E"/>
    <w:rsid w:val="00F321AD"/>
    <w:rsid w:val="00F32A7D"/>
    <w:rsid w:val="00F32ADA"/>
    <w:rsid w:val="00F349E3"/>
    <w:rsid w:val="00F34C64"/>
    <w:rsid w:val="00F35009"/>
    <w:rsid w:val="00F40C06"/>
    <w:rsid w:val="00F42599"/>
    <w:rsid w:val="00F42600"/>
    <w:rsid w:val="00F43677"/>
    <w:rsid w:val="00F44C51"/>
    <w:rsid w:val="00F455B3"/>
    <w:rsid w:val="00F45DF1"/>
    <w:rsid w:val="00F4785A"/>
    <w:rsid w:val="00F47FD2"/>
    <w:rsid w:val="00F500FD"/>
    <w:rsid w:val="00F50191"/>
    <w:rsid w:val="00F50E82"/>
    <w:rsid w:val="00F51296"/>
    <w:rsid w:val="00F51C3B"/>
    <w:rsid w:val="00F52A29"/>
    <w:rsid w:val="00F52EEF"/>
    <w:rsid w:val="00F539AB"/>
    <w:rsid w:val="00F53A37"/>
    <w:rsid w:val="00F552B2"/>
    <w:rsid w:val="00F5534F"/>
    <w:rsid w:val="00F55FD2"/>
    <w:rsid w:val="00F56EE8"/>
    <w:rsid w:val="00F576B6"/>
    <w:rsid w:val="00F576FB"/>
    <w:rsid w:val="00F601AD"/>
    <w:rsid w:val="00F6229B"/>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086"/>
    <w:rsid w:val="00FA0F9B"/>
    <w:rsid w:val="00FA10E9"/>
    <w:rsid w:val="00FA1CBC"/>
    <w:rsid w:val="00FA29AF"/>
    <w:rsid w:val="00FA2A68"/>
    <w:rsid w:val="00FA2EF8"/>
    <w:rsid w:val="00FA316E"/>
    <w:rsid w:val="00FA4DEC"/>
    <w:rsid w:val="00FA56F7"/>
    <w:rsid w:val="00FA64A4"/>
    <w:rsid w:val="00FA64D5"/>
    <w:rsid w:val="00FA67C7"/>
    <w:rsid w:val="00FA6B48"/>
    <w:rsid w:val="00FA7028"/>
    <w:rsid w:val="00FB016E"/>
    <w:rsid w:val="00FB0E9B"/>
    <w:rsid w:val="00FB2476"/>
    <w:rsid w:val="00FB3A0D"/>
    <w:rsid w:val="00FB45C1"/>
    <w:rsid w:val="00FB65F5"/>
    <w:rsid w:val="00FC0C83"/>
    <w:rsid w:val="00FC18CD"/>
    <w:rsid w:val="00FC1CF8"/>
    <w:rsid w:val="00FC1F3B"/>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5ADB"/>
    <w:rsid w:val="00FF6DBF"/>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8030D"/>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E36A84"/>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4836D4"/>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D3A2E"/>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0C24DB0"/>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94098C"/>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9F083A"/>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6F624E"/>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4FFE5879"/>
    <w:rsid w:val="50004127"/>
    <w:rsid w:val="500542C4"/>
    <w:rsid w:val="505446A7"/>
    <w:rsid w:val="5060304C"/>
    <w:rsid w:val="50615016"/>
    <w:rsid w:val="5076286F"/>
    <w:rsid w:val="508B5BE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7AF5B18"/>
    <w:rsid w:val="584A6390"/>
    <w:rsid w:val="58694A68"/>
    <w:rsid w:val="58696726"/>
    <w:rsid w:val="58786D15"/>
    <w:rsid w:val="58801DB1"/>
    <w:rsid w:val="589440D9"/>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833BB"/>
    <w:rsid w:val="5A492C5A"/>
    <w:rsid w:val="5A7B6CD4"/>
    <w:rsid w:val="5A821E11"/>
    <w:rsid w:val="5AA47FD9"/>
    <w:rsid w:val="5AAB5367"/>
    <w:rsid w:val="5ABA77FD"/>
    <w:rsid w:val="5AC15E6B"/>
    <w:rsid w:val="5AD20FEA"/>
    <w:rsid w:val="5AE01B98"/>
    <w:rsid w:val="5AE05C79"/>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9B4879"/>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1C681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65009"/>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500790"/>
    <w:rsid w:val="7259272C"/>
    <w:rsid w:val="726E7FB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2BD7D"/>
  <w15:docId w15:val="{EACF379A-4DA4-4A3F-9229-B75FC82F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uiPriority w:val="99"/>
    <w:unhideWhenUsed/>
    <w:qFormat/>
    <w:pPr>
      <w:jc w:val="left"/>
    </w:pPr>
  </w:style>
  <w:style w:type="paragraph" w:styleId="a5">
    <w:name w:val="Body Text"/>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iPriority w:val="99"/>
    <w:semiHidden/>
    <w:unhideWhenUsed/>
    <w:qFormat/>
    <w:rPr>
      <w:rFonts w:ascii="Times New Roman" w:hAnsi="Times New Roman" w:cs="Times New Roman"/>
      <w:sz w:val="24"/>
      <w:szCs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Emphasis"/>
    <w:basedOn w:val="a0"/>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4">
    <w:name w:val="List Paragraph"/>
    <w:basedOn w:val="a"/>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qFormat/>
  </w:style>
  <w:style w:type="character" w:customStyle="1" w:styleId="highlight">
    <w:name w:val="highlight"/>
    <w:basedOn w:val="a0"/>
    <w:qFormat/>
  </w:style>
  <w:style w:type="character" w:customStyle="1" w:styleId="activekeyword">
    <w:name w:val="activekeyword"/>
    <w:basedOn w:val="a0"/>
    <w:qFormat/>
  </w:style>
  <w:style w:type="paragraph" w:customStyle="1" w:styleId="41">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347</Words>
  <Characters>1982</Characters>
  <Application>Microsoft Office Word</Application>
  <DocSecurity>0</DocSecurity>
  <Lines>16</Lines>
  <Paragraphs>4</Paragraphs>
  <ScaleCrop>false</ScaleCrop>
  <Company>WORKGROUP</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zhangyj</cp:lastModifiedBy>
  <cp:revision>74</cp:revision>
  <cp:lastPrinted>2025-01-08T03:16:00Z</cp:lastPrinted>
  <dcterms:created xsi:type="dcterms:W3CDTF">2023-09-04T11:58:00Z</dcterms:created>
  <dcterms:modified xsi:type="dcterms:W3CDTF">2025-07-25T02:17:00Z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B559D59F230B420AA2CBC5EF005973C5</vt:lpwstr>
  </property>
  <property fmtid="{D5CDD505-2E9C-101B-9397-08002B2CF9AE}" pid="4" name="KSOTemplateDocerSaveRecord">
    <vt:lpwstr>eyJoZGlkIjoiYmQ3NDI2YzRkYTg3YjAyYTU1ZThkNzIyM2U2ZDhhOTAiLCJ1c2VySWQiOiIyODY4OTgyNTEifQ==</vt:lpwstr>
  </property>
</Properties>
</file>