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A9677">
      <w:pPr>
        <w:keepNext/>
        <w:keepLines/>
        <w:spacing w:before="260" w:after="260" w:line="360" w:lineRule="auto"/>
        <w:jc w:val="center"/>
        <w:outlineLvl w:val="1"/>
        <w:rPr>
          <w:rFonts w:ascii="宋体" w:hAnsi="宋体"/>
          <w:b/>
          <w:bCs/>
          <w:iCs/>
          <w:sz w:val="24"/>
          <w:szCs w:val="24"/>
        </w:rPr>
      </w:pPr>
      <w:r>
        <w:rPr>
          <w:rFonts w:hint="eastAsia" w:ascii="仿宋_GB2312" w:hAnsi="仿宋_GB2312" w:eastAsia="仿宋_GB2312" w:cs="仿宋_GB2312"/>
          <w:iCs/>
          <w:sz w:val="24"/>
          <w:szCs w:val="24"/>
        </w:rPr>
        <w:t>证券代码：600415                                 证券简称：小商品城</w:t>
      </w:r>
      <w:r>
        <w:rPr>
          <w:rFonts w:ascii="宋体" w:hAnsi="宋体"/>
          <w:b/>
          <w:bCs/>
          <w:iCs/>
          <w:sz w:val="24"/>
          <w:szCs w:val="24"/>
        </w:rPr>
        <w:t xml:space="preserve"> </w:t>
      </w:r>
    </w:p>
    <w:p w14:paraId="6C5DD870">
      <w:pPr>
        <w:keepNext/>
        <w:keepLines/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浙江中国小商品城集团股份有限公司</w:t>
      </w:r>
    </w:p>
    <w:p w14:paraId="2C9AEFA2">
      <w:pPr>
        <w:keepNext/>
        <w:keepLines/>
        <w:jc w:val="center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投资者关系活动记录表</w:t>
      </w:r>
    </w:p>
    <w:p w14:paraId="12A62BD2">
      <w:pPr>
        <w:keepNext/>
        <w:keepLines/>
        <w:spacing w:before="156" w:beforeLines="50" w:after="156" w:afterLines="50" w:line="360" w:lineRule="auto"/>
        <w:jc w:val="right"/>
        <w:outlineLvl w:val="1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编号：2025-00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</w:t>
      </w:r>
    </w:p>
    <w:tbl>
      <w:tblPr>
        <w:tblStyle w:val="11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1"/>
        <w:gridCol w:w="6379"/>
      </w:tblGrid>
      <w:tr w14:paraId="5707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034080E7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投资者关系活动类别</w:t>
            </w:r>
          </w:p>
        </w:tc>
        <w:tc>
          <w:tcPr>
            <w:tcW w:w="6379" w:type="dxa"/>
          </w:tcPr>
          <w:p w14:paraId="4CB8528A"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分析师会议</w:t>
            </w:r>
          </w:p>
          <w:p w14:paraId="771D4756"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业绩说明会</w:t>
            </w:r>
          </w:p>
          <w:p w14:paraId="6AA14D57">
            <w:pPr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路演活动</w:t>
            </w:r>
          </w:p>
          <w:p w14:paraId="610D54DB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电话会议</w:t>
            </w:r>
          </w:p>
          <w:p w14:paraId="156C2FE1">
            <w:pPr>
              <w:tabs>
                <w:tab w:val="center" w:pos="3199"/>
              </w:tabs>
              <w:spacing w:line="360" w:lineRule="auto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iCs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仿宋_GB2312"/>
                <w:sz w:val="24"/>
                <w:szCs w:val="24"/>
              </w:rPr>
              <w:t>其他 （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  <w:lang w:val="en-US" w:eastAsia="zh-CN"/>
              </w:rPr>
              <w:t>投资者见面会</w:t>
            </w:r>
            <w:r>
              <w:rPr>
                <w:rFonts w:hint="eastAsia" w:ascii="宋体" w:hAnsi="宋体" w:cs="仿宋_GB2312"/>
                <w:sz w:val="24"/>
                <w:szCs w:val="24"/>
                <w:u w:val="single"/>
              </w:rPr>
              <w:t>）</w:t>
            </w:r>
          </w:p>
        </w:tc>
      </w:tr>
      <w:tr w14:paraId="7C51E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70FAC1EB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参与单位名称</w:t>
            </w:r>
          </w:p>
        </w:tc>
        <w:tc>
          <w:tcPr>
            <w:tcW w:w="6379" w:type="dxa"/>
            <w:vAlign w:val="center"/>
          </w:tcPr>
          <w:p w14:paraId="5B9AEA38">
            <w:pPr>
              <w:tabs>
                <w:tab w:val="center" w:pos="2798"/>
              </w:tabs>
              <w:spacing w:line="360" w:lineRule="auto"/>
              <w:rPr>
                <w:rFonts w:hint="eastAsia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华安基金、永安国富资产、申万宏源、易方达基金、上海大筝资管、中信资管、长江证券、杭州顺洋投资、兆信基金、东正融汇、中邮保险、山证资管、国泰海通证券、深圳乾明资管、玄元投资、银河证券、长城基金、上海远海、东吴商社、兴业证券、上海煜德投资、汇添富基金、东证资管、诺安基金、华泰柏瑞、招商理财、大家资产、创金合信基金、上海朗程投资、汇安基金、东方财富、麦高证券、一鸣投资、浙江探骊、猫头鹰基金、中国人寿资产、瑞银证券、国信证券、招商证券、伟星资本、太平养老、信达证券、景顺投资、弘则研究、国海富兰克林、由榕资产、南土资产、麦格理证券、杭银理财、民生加银基金、太平基金、湍团私募、英大保险、中欧基金、润晖投资、东方证券、远东宏信、恒泰证券、上海睿信、海富通基金、诺德基金、博时基金、瓴仁投资、鸿商资本、兴证全球基金、上海合远、蜂巢基金、宏利基金、中加基金、惠升基金、华西证券、交银基金、五矿证券、野村东方国际证券、巨杉资产、彼立弗投资、高盛资产、UBS、Kadensa Capital、Point72、HK HOPEWINGS ASSET、Willing Capital、HSZ GROUP、Polymer等190余家机构。</w:t>
            </w:r>
          </w:p>
        </w:tc>
      </w:tr>
      <w:tr w14:paraId="12C96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7E9BE2D3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会议时间</w:t>
            </w:r>
          </w:p>
        </w:tc>
        <w:tc>
          <w:tcPr>
            <w:tcW w:w="6379" w:type="dxa"/>
            <w:vAlign w:val="center"/>
          </w:tcPr>
          <w:p w14:paraId="6239FCCD">
            <w:pPr>
              <w:spacing w:line="360" w:lineRule="auto"/>
              <w:rPr>
                <w:rFonts w:hint="default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24日</w:t>
            </w:r>
          </w:p>
        </w:tc>
      </w:tr>
      <w:tr w14:paraId="58AC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760B77AE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会议地点</w:t>
            </w:r>
          </w:p>
        </w:tc>
        <w:tc>
          <w:tcPr>
            <w:tcW w:w="6379" w:type="dxa"/>
            <w:vAlign w:val="center"/>
          </w:tcPr>
          <w:p w14:paraId="5B3D10F3">
            <w:pPr>
              <w:spacing w:line="360" w:lineRule="auto"/>
              <w:rPr>
                <w:rFonts w:hint="default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义乌国际博览中心酒店</w:t>
            </w:r>
          </w:p>
        </w:tc>
      </w:tr>
      <w:tr w14:paraId="7EEB0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1" w:type="dxa"/>
            <w:vAlign w:val="center"/>
          </w:tcPr>
          <w:p w14:paraId="64C1F394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上市公司接待人员</w:t>
            </w:r>
          </w:p>
        </w:tc>
        <w:tc>
          <w:tcPr>
            <w:tcW w:w="6379" w:type="dxa"/>
            <w:vAlign w:val="center"/>
          </w:tcPr>
          <w:p w14:paraId="5F88B3E4"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i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公司管理层、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eastAsia="zh-CN"/>
              </w:rPr>
              <w:t>公司证券部</w:t>
            </w:r>
          </w:p>
        </w:tc>
      </w:tr>
      <w:tr w14:paraId="533FE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411" w:type="dxa"/>
            <w:vAlign w:val="center"/>
          </w:tcPr>
          <w:p w14:paraId="19770D12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379" w:type="dxa"/>
          </w:tcPr>
          <w:p w14:paraId="623166E6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1.是否会加快人才储备，中层干部和前端人才的吸引和规划？</w:t>
            </w:r>
          </w:p>
          <w:p w14:paraId="57FF6D8A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我们在海外和支付两个板块引进了一些国际大行、头部机构、跨境管理方面的高端人才，核心目的是根据集团战略，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在中台部门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引进一些行业一线人才支持公司业务。第一步已经完成，已经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全部到位到岗，接下来会继续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引进跨国管理经验人才，为支付业务提供人才支撑。人才梯队培养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通过内部造血、外部引才、校企合作等三个方面实现，为公司后续的发展提供人才支撑。</w:t>
            </w:r>
          </w:p>
          <w:p w14:paraId="790323F9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2.公司对未来几年的ROE提升和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股东回报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上的思考和规划？</w:t>
            </w:r>
          </w:p>
          <w:p w14:paraId="570C9B2A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公司制定了《提质增效重回报》行动方案，</w:t>
            </w:r>
            <w:r>
              <w:rPr>
                <w:rFonts w:ascii="仿宋_GB2312" w:hAnsi="仿宋_GB2312" w:eastAsia="仿宋_GB2312" w:cs="仿宋_GB2312"/>
                <w:bCs/>
                <w:iCs/>
                <w:sz w:val="24"/>
                <w:szCs w:val="24"/>
              </w:rPr>
              <w:t>围绕“全球一流国际贸易综合服务商”发展目标，持续提升经营业绩和管理水平，提升企业的核心竞争力，持续提升市值管理能力，实现企业的可持续发展和全体股东利益的最大化。</w:t>
            </w:r>
          </w:p>
          <w:p w14:paraId="5FCA4CEE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义乌1-6月份出口继续加速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的原因以及对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未来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的展望？</w:t>
            </w:r>
          </w:p>
          <w:p w14:paraId="3803A767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今年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上半年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义乌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进出口数据比较好，从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义乌海关数据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也能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体现出来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商品刚需性和易耗性的特征以及产业链的韧性，整体看好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今年义乌的进出口的发展。</w:t>
            </w:r>
          </w:p>
          <w:p w14:paraId="1964EF70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4.六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区招商景气度很好，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未来是否有新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的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规划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？</w:t>
            </w:r>
          </w:p>
          <w:p w14:paraId="785AF583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答：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从公司的发展过程中，公司一直在思考未来如何保持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市场主业的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竞争力，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后续如有规划，会按照要求履行披露程序。</w:t>
            </w:r>
          </w:p>
          <w:p w14:paraId="6A8B3787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5.六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区招商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进程的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未来规划如何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？</w:t>
            </w:r>
          </w:p>
          <w:p w14:paraId="62AFA9A6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答：整体规划为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今年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全球数字贸易中心招商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1-3层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，于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10月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份市场板块开业。</w:t>
            </w:r>
          </w:p>
          <w:p w14:paraId="41C683E7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6.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杭州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飞地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对于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公司</w:t>
            </w:r>
            <w:r>
              <w:rPr>
                <w:rFonts w:hint="default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业务的帮助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iCs/>
                <w:sz w:val="24"/>
                <w:szCs w:val="24"/>
                <w:lang w:val="en-US" w:eastAsia="zh-CN"/>
              </w:rPr>
              <w:t>？</w:t>
            </w:r>
          </w:p>
          <w:p w14:paraId="64100922">
            <w:pPr>
              <w:keepNext w:val="0"/>
              <w:keepLines w:val="0"/>
              <w:pageBreakBefore w:val="0"/>
              <w:widowControl w:val="0"/>
              <w:tabs>
                <w:tab w:val="center" w:pos="415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答：公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司在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杭州上城区拿了一块地，主要是作为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义支付和Chinagoods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研发中心打造一个杭州基地，目前正在</w:t>
            </w: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按照计划</w:t>
            </w:r>
            <w:r>
              <w:rPr>
                <w:rFonts w:hint="default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推进，建设团队会全力推进。</w:t>
            </w:r>
          </w:p>
        </w:tc>
      </w:tr>
      <w:tr w14:paraId="3A53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11" w:type="dxa"/>
            <w:vAlign w:val="center"/>
          </w:tcPr>
          <w:p w14:paraId="524BB622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关于本次活动是否涉及应披露重大信息的说明</w:t>
            </w:r>
          </w:p>
        </w:tc>
        <w:tc>
          <w:tcPr>
            <w:tcW w:w="6379" w:type="dxa"/>
            <w:vAlign w:val="center"/>
          </w:tcPr>
          <w:p w14:paraId="1302A170">
            <w:pPr>
              <w:spacing w:line="360" w:lineRule="auto"/>
              <w:jc w:val="center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否</w:t>
            </w:r>
          </w:p>
        </w:tc>
      </w:tr>
      <w:tr w14:paraId="3103E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2411" w:type="dxa"/>
            <w:vAlign w:val="center"/>
          </w:tcPr>
          <w:p w14:paraId="304202EB">
            <w:pPr>
              <w:spacing w:line="360" w:lineRule="auto"/>
              <w:jc w:val="center"/>
              <w:rPr>
                <w:rFonts w:ascii="宋体" w:hAnsi="宋体" w:cs="黑体"/>
                <w:iCs/>
                <w:sz w:val="24"/>
                <w:szCs w:val="24"/>
              </w:rPr>
            </w:pPr>
            <w:r>
              <w:rPr>
                <w:rFonts w:hint="eastAsia" w:ascii="宋体" w:hAnsi="宋体" w:cs="黑体"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379" w:type="dxa"/>
            <w:vAlign w:val="center"/>
          </w:tcPr>
          <w:p w14:paraId="378B2756">
            <w:pPr>
              <w:spacing w:line="360" w:lineRule="auto"/>
              <w:jc w:val="center"/>
              <w:rPr>
                <w:rFonts w:ascii="宋体" w:hAnsi="宋体" w:cs="仿宋_GB2312"/>
                <w:bCs/>
                <w:i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iCs/>
                <w:sz w:val="24"/>
                <w:szCs w:val="24"/>
                <w:lang w:val="en-US" w:eastAsia="zh-CN"/>
              </w:rPr>
              <w:t>无</w:t>
            </w:r>
          </w:p>
        </w:tc>
      </w:tr>
    </w:tbl>
    <w:p w14:paraId="4FF77972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C172490"/>
    <w:rsid w:val="1C8011BD"/>
    <w:rsid w:val="1DE75D86"/>
    <w:rsid w:val="22765384"/>
    <w:rsid w:val="2EE817B0"/>
    <w:rsid w:val="31D90E48"/>
    <w:rsid w:val="331C1F78"/>
    <w:rsid w:val="477A2C98"/>
    <w:rsid w:val="54CC0884"/>
    <w:rsid w:val="56194AE5"/>
    <w:rsid w:val="603D0153"/>
    <w:rsid w:val="61E62405"/>
    <w:rsid w:val="63FB399E"/>
    <w:rsid w:val="67E4235D"/>
    <w:rsid w:val="743453B3"/>
    <w:rsid w:val="77275DC2"/>
    <w:rsid w:val="7852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1" w:name="heading 3"/>
    <w:lsdException w:qFormat="1" w:uiPriority="1" w:name="heading 4"/>
    <w:lsdException w:qFormat="1" w:uiPriority="1" w:name="heading 5"/>
    <w:lsdException w:qFormat="1" w:uiPriority="1" w:name="heading 6"/>
    <w:lsdException w:qFormat="1" w:uiPriority="1" w:name="heading 7"/>
    <w:lsdException w:qFormat="1" w:uiPriority="1" w:name="heading 8"/>
    <w:lsdException w:qFormat="1" w:uiPriority="1" w:name="heading 9"/>
    <w:lsdException w:uiPriority="1" w:name="index 1"/>
    <w:lsdException w:uiPriority="1" w:name="index 2"/>
    <w:lsdException w:uiPriority="1" w:name="index 3"/>
    <w:lsdException w:uiPriority="1" w:name="index 4"/>
    <w:lsdException w:uiPriority="1" w:name="index 5"/>
    <w:lsdException w:uiPriority="1" w:name="index 6"/>
    <w:lsdException w:uiPriority="1" w:name="index 7"/>
    <w:lsdException w:uiPriority="1" w:name="index 8"/>
    <w:lsdException w:uiPriority="1" w:name="index 9"/>
    <w:lsdException w:uiPriority="1" w:name="toc 1"/>
    <w:lsdException w:uiPriority="1" w:name="toc 2"/>
    <w:lsdException w:uiPriority="1" w:name="toc 3"/>
    <w:lsdException w:uiPriority="1" w:name="toc 4"/>
    <w:lsdException w:uiPriority="1" w:name="toc 5"/>
    <w:lsdException w:uiPriority="1" w:name="toc 6"/>
    <w:lsdException w:uiPriority="1" w:name="toc 7"/>
    <w:lsdException w:uiPriority="1" w:name="toc 8"/>
    <w:lsdException w:uiPriority="1" w:name="toc 9"/>
    <w:lsdException w:uiPriority="1" w:name="Normal Indent"/>
    <w:lsdException w:uiPriority="1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1" w:name="index heading"/>
    <w:lsdException w:qFormat="1" w:uiPriority="1" w:name="caption"/>
    <w:lsdException w:uiPriority="1" w:name="table of figures"/>
    <w:lsdException w:uiPriority="1" w:name="envelope address"/>
    <w:lsdException w:uiPriority="1" w:name="envelope return"/>
    <w:lsdException w:uiPriority="1" w:name="footnote reference"/>
    <w:lsdException w:qFormat="1" w:uiPriority="99" w:semiHidden="0" w:name="annotation reference"/>
    <w:lsdException w:uiPriority="1" w:name="line number"/>
    <w:lsdException w:uiPriority="1" w:name="page number"/>
    <w:lsdException w:uiPriority="1" w:name="endnote reference"/>
    <w:lsdException w:uiPriority="1" w:name="endnote text"/>
    <w:lsdException w:uiPriority="1" w:name="table of authorities"/>
    <w:lsdException w:uiPriority="1" w:name="macro"/>
    <w:lsdException w:uiPriority="1" w:name="toa heading"/>
    <w:lsdException w:uiPriority="1" w:name="List"/>
    <w:lsdException w:uiPriority="1" w:name="List Bullet"/>
    <w:lsdException w:uiPriority="1" w:name="List Number"/>
    <w:lsdException w:uiPriority="1" w:name="List 2"/>
    <w:lsdException w:uiPriority="1" w:name="List 3"/>
    <w:lsdException w:uiPriority="1" w:name="List 4"/>
    <w:lsdException w:uiPriority="1" w:name="List 5"/>
    <w:lsdException w:uiPriority="1" w:name="List Bullet 2"/>
    <w:lsdException w:uiPriority="1" w:name="List Bullet 3"/>
    <w:lsdException w:uiPriority="1" w:name="List Bullet 4"/>
    <w:lsdException w:uiPriority="1" w:name="List Bullet 5"/>
    <w:lsdException w:uiPriority="1" w:name="List Number 2"/>
    <w:lsdException w:uiPriority="1" w:name="List Number 3"/>
    <w:lsdException w:uiPriority="1" w:name="List Number 4"/>
    <w:lsdException w:uiPriority="1" w:name="List Number 5"/>
    <w:lsdException w:qFormat="1" w:unhideWhenUsed="0" w:uiPriority="1" w:semiHidden="0" w:name="Title"/>
    <w:lsdException w:uiPriority="1" w:name="Closing"/>
    <w:lsdException w:uiPriority="1" w:name="Signature"/>
    <w:lsdException w:qFormat="1" w:uiPriority="1" w:semiHidden="0" w:name="Default Paragraph Font"/>
    <w:lsdException w:qFormat="1" w:unhideWhenUsed="0" w:uiPriority="0" w:semiHidden="0" w:name="Body Text"/>
    <w:lsdException w:uiPriority="1" w:name="Body Text Indent"/>
    <w:lsdException w:uiPriority="1" w:name="List Continue"/>
    <w:lsdException w:uiPriority="1" w:name="List Continue 2"/>
    <w:lsdException w:uiPriority="1" w:name="List Continue 3"/>
    <w:lsdException w:uiPriority="1" w:name="List Continue 4"/>
    <w:lsdException w:uiPriority="1" w:name="List Continue 5"/>
    <w:lsdException w:uiPriority="1" w:name="Message Header"/>
    <w:lsdException w:qFormat="1" w:unhideWhenUsed="0" w:uiPriority="1" w:semiHidden="0" w:name="Subtitle"/>
    <w:lsdException w:uiPriority="1" w:name="Salutation"/>
    <w:lsdException w:uiPriority="1" w:name="Date"/>
    <w:lsdException w:uiPriority="1" w:name="Body Text First Indent"/>
    <w:lsdException w:uiPriority="1" w:name="Body Text First Indent 2"/>
    <w:lsdException w:uiPriority="1" w:name="Note Heading"/>
    <w:lsdException w:uiPriority="1" w:name="Body Text 2"/>
    <w:lsdException w:uiPriority="1" w:name="Body Text 3"/>
    <w:lsdException w:uiPriority="1" w:name="Body Text Indent 2"/>
    <w:lsdException w:uiPriority="1" w:name="Body Text Indent 3"/>
    <w:lsdException w:uiPriority="1" w:name="Block Text"/>
    <w:lsdException w:qFormat="1" w:uiPriority="99" w:semiHidden="0" w:name="Hyperlink"/>
    <w:lsdException w:uiPriority="1" w:name="FollowedHyperlink"/>
    <w:lsdException w:qFormat="1" w:unhideWhenUsed="0" w:uiPriority="1" w:semiHidden="0" w:name="Strong"/>
    <w:lsdException w:qFormat="1" w:unhideWhenUsed="0" w:uiPriority="1" w:semiHidden="0" w:name="Emphasis"/>
    <w:lsdException w:uiPriority="1" w:name="Document Map"/>
    <w:lsdException w:uiPriority="1" w:name="Plain Text"/>
    <w:lsdException w:uiPriority="1" w:name="E-mail Signature"/>
    <w:lsdException w:qFormat="1" w:uiPriority="1" w:semiHidden="0" w:name="Normal (Web)"/>
    <w:lsdException w:uiPriority="1" w:name="HTML Acronym"/>
    <w:lsdException w:uiPriority="1" w:name="HTML Address"/>
    <w:lsdException w:uiPriority="1" w:name="HTML Cite"/>
    <w:lsdException w:uiPriority="1" w:name="HTML Code"/>
    <w:lsdException w:uiPriority="1" w:name="HTML Definition"/>
    <w:lsdException w:uiPriority="1" w:name="HTML Keyboard"/>
    <w:lsdException w:uiPriority="1" w:name="HTML Preformatted"/>
    <w:lsdException w:uiPriority="1" w:name="HTML Sample"/>
    <w:lsdException w:uiPriority="1" w:name="HTML Typewriter"/>
    <w:lsdException w:uiPriority="1" w:name="HTML Variable"/>
    <w:lsdException w:qFormat="1" w:uiPriority="99" w:semiHidden="0" w:name="Normal Table"/>
    <w:lsdException w:qFormat="1" w:uiPriority="99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qFormat="1" w:uiPriority="99" w:semiHidden="0" w:name="Balloon Text"/>
    <w:lsdException w:qFormat="1" w:unhideWhenUsed="0" w:uiPriority="39" w:semiHidden="0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6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1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annotation subject"/>
    <w:basedOn w:val="4"/>
    <w:next w:val="4"/>
    <w:link w:val="21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Strong"/>
    <w:basedOn w:val="13"/>
    <w:qFormat/>
    <w:uiPriority w:val="1"/>
    <w:rPr>
      <w:b/>
    </w:rPr>
  </w:style>
  <w:style w:type="character" w:styleId="15">
    <w:name w:val="Hyperlink"/>
    <w:unhideWhenUsed/>
    <w:qFormat/>
    <w:uiPriority w:val="99"/>
    <w:rPr>
      <w:color w:val="467886"/>
      <w:u w:val="single"/>
    </w:r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页脚 字符"/>
    <w:link w:val="7"/>
    <w:qFormat/>
    <w:uiPriority w:val="99"/>
    <w:rPr>
      <w:kern w:val="2"/>
      <w:sz w:val="18"/>
      <w:szCs w:val="18"/>
    </w:rPr>
  </w:style>
  <w:style w:type="character" w:customStyle="1" w:styleId="18">
    <w:name w:val="批注文字 字符"/>
    <w:link w:val="4"/>
    <w:semiHidden/>
    <w:qFormat/>
    <w:uiPriority w:val="99"/>
    <w:rPr>
      <w:kern w:val="2"/>
      <w:sz w:val="21"/>
      <w:szCs w:val="22"/>
    </w:rPr>
  </w:style>
  <w:style w:type="character" w:customStyle="1" w:styleId="19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页眉 字符"/>
    <w:link w:val="8"/>
    <w:qFormat/>
    <w:uiPriority w:val="99"/>
    <w:rPr>
      <w:kern w:val="2"/>
      <w:sz w:val="18"/>
      <w:szCs w:val="18"/>
    </w:rPr>
  </w:style>
  <w:style w:type="character" w:customStyle="1" w:styleId="21">
    <w:name w:val="批注主题 字符"/>
    <w:link w:val="10"/>
    <w:semiHidden/>
    <w:qFormat/>
    <w:uiPriority w:val="99"/>
    <w:rPr>
      <w:b/>
      <w:bCs/>
      <w:kern w:val="2"/>
      <w:sz w:val="21"/>
      <w:szCs w:val="22"/>
    </w:rPr>
  </w:style>
  <w:style w:type="character" w:customStyle="1" w:styleId="22">
    <w:name w:val="批注框文本 字符"/>
    <w:link w:val="6"/>
    <w:semiHidden/>
    <w:qFormat/>
    <w:uiPriority w:val="99"/>
    <w:rPr>
      <w:kern w:val="2"/>
      <w:sz w:val="18"/>
      <w:szCs w:val="18"/>
    </w:rPr>
  </w:style>
  <w:style w:type="paragraph" w:customStyle="1" w:styleId="23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4">
    <w:name w:val="列表段落1"/>
    <w:basedOn w:val="1"/>
    <w:qFormat/>
    <w:uiPriority w:val="99"/>
    <w:pPr>
      <w:ind w:firstLine="420" w:firstLineChars="200"/>
    </w:pPr>
  </w:style>
  <w:style w:type="paragraph" w:customStyle="1" w:styleId="25">
    <w:name w:val="_Style 6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1260</Words>
  <Characters>1356</Characters>
  <Lines>17</Lines>
  <Paragraphs>4</Paragraphs>
  <TotalTime>15</TotalTime>
  <ScaleCrop>false</ScaleCrop>
  <LinksUpToDate>false</LinksUpToDate>
  <CharactersWithSpaces>1439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2025-04-14T05:24:00Z</dcterms:created>
  <dc:creator>Li Xiang</dc:creator>
  <cp:lastModifiedBy>YOUNGYEE</cp:lastModifiedBy>
  <dcterms:modified xsi:type="dcterms:W3CDTF">2025-07-25T08:22:16Z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171C83C498B84AAA92023A0A9E445448_13</vt:lpwstr>
  </property>
  <property fmtid="{D5CDD505-2E9C-101B-9397-08002B2CF9AE}" pid="4" name="KSOTemplateDocerSaveRecord">
    <vt:lpwstr>eyJoZGlkIjoiOTE2NmY0YTllNDc1MjY1ZDE1YjE2MTkyYmI5MjFiNzUiLCJ1c2VySWQiOiI1MDQwOTk1OTEifQ==</vt:lpwstr>
  </property>
</Properties>
</file>