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6F8E">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600939                             </w:t>
      </w:r>
      <w:r>
        <w:rPr>
          <w:rFonts w:hAnsi="宋体"/>
          <w:bCs/>
          <w:iCs/>
          <w:color w:val="000000"/>
          <w:sz w:val="24"/>
        </w:rPr>
        <w:t>证券简称：</w:t>
      </w:r>
      <w:r>
        <w:rPr>
          <w:color w:val="000000"/>
          <w:sz w:val="24"/>
        </w:rPr>
        <w:t>重庆建工</w:t>
      </w:r>
    </w:p>
    <w:p w14:paraId="2D351774">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重庆建工集团股份有限公司</w:t>
      </w:r>
      <w:r>
        <w:rPr>
          <w:rFonts w:hint="eastAsia" w:ascii="宋体" w:hAnsi="宋体"/>
          <w:b/>
          <w:bCs/>
          <w:iCs/>
          <w:color w:val="000000"/>
          <w:sz w:val="32"/>
          <w:szCs w:val="32"/>
        </w:rPr>
        <w:t>投资者关系活动记录表</w:t>
      </w:r>
    </w:p>
    <w:p w14:paraId="066833C9">
      <w:pPr>
        <w:spacing w:line="400" w:lineRule="exact"/>
        <w:rPr>
          <w:rFonts w:hint="default" w:eastAsia="宋体"/>
          <w:bCs/>
          <w:iCs/>
          <w:color w:val="000000"/>
          <w:sz w:val="24"/>
          <w:lang w:val="en-US" w:eastAsia="zh-CN"/>
        </w:rPr>
      </w:pPr>
      <w:r>
        <w:rPr>
          <w:rFonts w:hint="eastAsia" w:ascii="宋体" w:hAnsi="宋体"/>
          <w:bCs/>
          <w:iCs/>
          <w:color w:val="000000"/>
          <w:sz w:val="24"/>
        </w:rPr>
        <w:t xml:space="preserve">                                                   </w:t>
      </w:r>
    </w:p>
    <w:tbl>
      <w:tblPr>
        <w:tblStyle w:val="6"/>
        <w:tblW w:w="9384"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7434"/>
      </w:tblGrid>
      <w:tr w14:paraId="36EA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950" w:type="dxa"/>
            <w:tcBorders>
              <w:top w:val="single" w:color="auto" w:sz="4" w:space="0"/>
              <w:left w:val="single" w:color="auto" w:sz="4" w:space="0"/>
              <w:bottom w:val="single" w:color="auto" w:sz="4" w:space="0"/>
              <w:right w:val="single" w:color="auto" w:sz="4" w:space="0"/>
            </w:tcBorders>
            <w:noWrap w:val="0"/>
            <w:vAlign w:val="top"/>
          </w:tcPr>
          <w:p w14:paraId="67F9FCE8">
            <w:pPr>
              <w:spacing w:line="420" w:lineRule="exact"/>
              <w:rPr>
                <w:bCs/>
                <w:iCs/>
                <w:color w:val="000000"/>
                <w:kern w:val="0"/>
                <w:sz w:val="24"/>
              </w:rPr>
            </w:pPr>
            <w:r>
              <w:rPr>
                <w:rFonts w:hAnsi="宋体"/>
                <w:bCs/>
                <w:iCs/>
                <w:color w:val="000000"/>
                <w:kern w:val="0"/>
                <w:sz w:val="24"/>
              </w:rPr>
              <w:t>投资者关系活动类别</w:t>
            </w:r>
          </w:p>
          <w:p w14:paraId="2E951CB8">
            <w:pPr>
              <w:spacing w:line="420" w:lineRule="exact"/>
              <w:rPr>
                <w:bCs/>
                <w:iCs/>
                <w:color w:val="000000"/>
                <w:sz w:val="24"/>
              </w:rPr>
            </w:pPr>
          </w:p>
        </w:tc>
        <w:tc>
          <w:tcPr>
            <w:tcW w:w="7434" w:type="dxa"/>
            <w:tcBorders>
              <w:top w:val="single" w:color="auto" w:sz="4" w:space="0"/>
              <w:left w:val="single" w:color="auto" w:sz="4" w:space="0"/>
              <w:bottom w:val="single" w:color="auto" w:sz="4" w:space="0"/>
              <w:right w:val="single" w:color="auto" w:sz="4" w:space="0"/>
            </w:tcBorders>
            <w:noWrap w:val="0"/>
            <w:vAlign w:val="top"/>
          </w:tcPr>
          <w:p w14:paraId="17FB4B3D">
            <w:pPr>
              <w:keepNext w:val="0"/>
              <w:keepLines w:val="0"/>
              <w:pageBreakBefore w:val="0"/>
              <w:widowControl w:val="0"/>
              <w:kinsoku/>
              <w:wordWrap/>
              <w:overflowPunct/>
              <w:topLinePunct w:val="0"/>
              <w:autoSpaceDE/>
              <w:autoSpaceDN/>
              <w:bidi w:val="0"/>
              <w:adjustRightInd/>
              <w:snapToGrid/>
              <w:spacing w:line="360" w:lineRule="exact"/>
              <w:textAlignment w:val="auto"/>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rFonts w:hint="eastAsia"/>
                <w:kern w:val="0"/>
                <w:sz w:val="24"/>
                <w:lang w:val="en-US" w:eastAsia="zh-CN"/>
              </w:rPr>
              <w:t xml:space="preserve"> </w:t>
            </w:r>
            <w:r>
              <w:rPr>
                <w:rFonts w:hint="eastAsia"/>
                <w:bCs/>
                <w:iCs/>
                <w:color w:val="000000"/>
                <w:kern w:val="0"/>
                <w:sz w:val="24"/>
                <w:lang w:eastAsia="zh-CN"/>
              </w:rPr>
              <w:t>☑</w:t>
            </w:r>
            <w:r>
              <w:rPr>
                <w:rFonts w:hint="eastAsia"/>
                <w:bCs/>
                <w:iCs/>
                <w:color w:val="000000"/>
                <w:kern w:val="0"/>
                <w:sz w:val="24"/>
              </w:rPr>
              <w:t xml:space="preserve"> </w:t>
            </w:r>
            <w:r>
              <w:rPr>
                <w:kern w:val="0"/>
                <w:sz w:val="24"/>
              </w:rPr>
              <w:t xml:space="preserve"> </w:t>
            </w:r>
            <w:r>
              <w:rPr>
                <w:rFonts w:hAnsi="宋体"/>
                <w:kern w:val="0"/>
                <w:sz w:val="24"/>
              </w:rPr>
              <w:t>分析师</w:t>
            </w:r>
            <w:r>
              <w:rPr>
                <w:rFonts w:hint="eastAsia" w:hAnsi="宋体"/>
                <w:kern w:val="0"/>
                <w:sz w:val="24"/>
                <w:lang w:val="en-US" w:eastAsia="zh-CN"/>
              </w:rPr>
              <w:t>/投资者</w:t>
            </w:r>
            <w:r>
              <w:rPr>
                <w:rFonts w:hAnsi="宋体"/>
                <w:kern w:val="0"/>
                <w:sz w:val="24"/>
              </w:rPr>
              <w:t>会议</w:t>
            </w:r>
          </w:p>
          <w:p w14:paraId="6C4064EB">
            <w:pPr>
              <w:keepNext w:val="0"/>
              <w:keepLines w:val="0"/>
              <w:pageBreakBefore w:val="0"/>
              <w:widowControl w:val="0"/>
              <w:kinsoku/>
              <w:wordWrap/>
              <w:overflowPunct/>
              <w:topLinePunct w:val="0"/>
              <w:autoSpaceDE/>
              <w:autoSpaceDN/>
              <w:bidi w:val="0"/>
              <w:adjustRightInd/>
              <w:snapToGrid/>
              <w:spacing w:line="360" w:lineRule="exact"/>
              <w:textAlignment w:val="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79D73174">
            <w:pPr>
              <w:keepNext w:val="0"/>
              <w:keepLines w:val="0"/>
              <w:pageBreakBefore w:val="0"/>
              <w:widowControl w:val="0"/>
              <w:kinsoku/>
              <w:wordWrap/>
              <w:overflowPunct/>
              <w:topLinePunct w:val="0"/>
              <w:autoSpaceDE/>
              <w:autoSpaceDN/>
              <w:bidi w:val="0"/>
              <w:adjustRightInd/>
              <w:snapToGrid/>
              <w:spacing w:line="360" w:lineRule="exact"/>
              <w:textAlignment w:val="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3E72D0B">
            <w:pPr>
              <w:keepNext w:val="0"/>
              <w:keepLines w:val="0"/>
              <w:pageBreakBefore w:val="0"/>
              <w:widowControl w:val="0"/>
              <w:tabs>
                <w:tab w:val="left" w:pos="3045"/>
                <w:tab w:val="center" w:pos="3199"/>
              </w:tabs>
              <w:kinsoku/>
              <w:wordWrap/>
              <w:overflowPunct/>
              <w:topLinePunct w:val="0"/>
              <w:autoSpaceDE/>
              <w:autoSpaceDN/>
              <w:bidi w:val="0"/>
              <w:adjustRightInd/>
              <w:snapToGrid/>
              <w:spacing w:line="360" w:lineRule="exact"/>
              <w:textAlignment w:val="auto"/>
              <w:rPr>
                <w:bCs/>
                <w:iCs/>
                <w:color w:val="000000"/>
                <w:sz w:val="24"/>
              </w:rPr>
            </w:pPr>
            <w:r>
              <w:rPr>
                <w:bCs/>
                <w:iCs/>
                <w:color w:val="000000"/>
                <w:kern w:val="0"/>
                <w:sz w:val="24"/>
              </w:rPr>
              <w:t>□</w:t>
            </w:r>
            <w:r>
              <w:rPr>
                <w:rFonts w:hAnsi="宋体"/>
                <w:kern w:val="0"/>
                <w:sz w:val="24"/>
              </w:rPr>
              <w:t>现场参观</w:t>
            </w:r>
            <w:r>
              <w:rPr>
                <w:rFonts w:hint="eastAsia" w:hAnsi="宋体"/>
                <w:kern w:val="0"/>
                <w:sz w:val="24"/>
                <w:lang w:val="en-US" w:eastAsia="zh-CN"/>
              </w:rPr>
              <w:t xml:space="preserve">             </w:t>
            </w: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1E66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950" w:type="dxa"/>
            <w:tcBorders>
              <w:top w:val="single" w:color="auto" w:sz="4" w:space="0"/>
              <w:left w:val="single" w:color="auto" w:sz="4" w:space="0"/>
              <w:right w:val="single" w:color="auto" w:sz="4" w:space="0"/>
            </w:tcBorders>
            <w:noWrap w:val="0"/>
            <w:vAlign w:val="top"/>
          </w:tcPr>
          <w:p w14:paraId="213E8F19">
            <w:pPr>
              <w:spacing w:line="420" w:lineRule="exact"/>
              <w:rPr>
                <w:rFonts w:hAnsi="宋体"/>
                <w:bCs/>
                <w:iCs/>
                <w:color w:val="000000"/>
                <w:kern w:val="0"/>
                <w:sz w:val="24"/>
              </w:rPr>
            </w:pPr>
            <w:r>
              <w:rPr>
                <w:rFonts w:hAnsi="宋体"/>
                <w:bCs/>
                <w:iCs/>
                <w:color w:val="000000"/>
                <w:kern w:val="0"/>
                <w:sz w:val="24"/>
              </w:rPr>
              <w:t>时间</w:t>
            </w:r>
            <w:r>
              <w:rPr>
                <w:rFonts w:hint="eastAsia" w:hAnsi="宋体"/>
                <w:bCs/>
                <w:iCs/>
                <w:color w:val="000000"/>
                <w:kern w:val="0"/>
                <w:sz w:val="24"/>
                <w:lang w:val="en-US" w:eastAsia="zh-CN"/>
              </w:rPr>
              <w:t>/</w:t>
            </w:r>
            <w:r>
              <w:rPr>
                <w:rFonts w:hAnsi="宋体"/>
                <w:bCs/>
                <w:iCs/>
                <w:color w:val="000000"/>
                <w:kern w:val="0"/>
                <w:sz w:val="24"/>
              </w:rPr>
              <w:t>参与单位名称及人员姓名</w:t>
            </w:r>
          </w:p>
          <w:p w14:paraId="28C9EA67">
            <w:pPr>
              <w:spacing w:line="420" w:lineRule="exact"/>
              <w:rPr>
                <w:bCs/>
                <w:iCs/>
                <w:color w:val="000000"/>
                <w:kern w:val="0"/>
                <w:sz w:val="24"/>
              </w:rPr>
            </w:pPr>
          </w:p>
        </w:tc>
        <w:tc>
          <w:tcPr>
            <w:tcW w:w="7434" w:type="dxa"/>
            <w:tcBorders>
              <w:top w:val="single" w:color="auto" w:sz="4" w:space="0"/>
              <w:left w:val="single" w:color="auto" w:sz="4" w:space="0"/>
              <w:bottom w:val="single" w:color="auto" w:sz="4" w:space="0"/>
              <w:right w:val="single" w:color="auto" w:sz="4" w:space="0"/>
            </w:tcBorders>
            <w:noWrap w:val="0"/>
            <w:vAlign w:val="top"/>
          </w:tcPr>
          <w:p w14:paraId="02C420E1">
            <w:pPr>
              <w:keepNext w:val="0"/>
              <w:keepLines w:val="0"/>
              <w:pageBreakBefore w:val="0"/>
              <w:widowControl w:val="0"/>
              <w:tabs>
                <w:tab w:val="left" w:pos="1525"/>
                <w:tab w:val="center" w:pos="4153"/>
              </w:tabs>
              <w:kinsoku/>
              <w:wordWrap/>
              <w:overflowPunct/>
              <w:topLinePunct w:val="0"/>
              <w:autoSpaceDE/>
              <w:autoSpaceDN/>
              <w:bidi w:val="0"/>
              <w:adjustRightInd/>
              <w:snapToGrid/>
              <w:spacing w:line="500" w:lineRule="exact"/>
              <w:jc w:val="left"/>
              <w:textAlignment w:val="auto"/>
              <w:rPr>
                <w:rFonts w:hint="eastAsia" w:ascii="宋体" w:hAnsi="宋体" w:eastAsia="宋体" w:cs="宋体"/>
                <w:bCs/>
                <w:iCs/>
                <w:color w:val="000000"/>
                <w:sz w:val="24"/>
                <w:lang w:val="en-US" w:eastAsia="zh-CN"/>
              </w:rPr>
            </w:pPr>
            <w:r>
              <w:rPr>
                <w:rFonts w:hint="eastAsia" w:ascii="宋体" w:hAnsi="宋体" w:eastAsia="宋体" w:cs="宋体"/>
                <w:bCs/>
                <w:iCs/>
                <w:color w:val="000000"/>
                <w:sz w:val="24"/>
              </w:rPr>
              <w:t>202</w:t>
            </w:r>
            <w:r>
              <w:rPr>
                <w:rFonts w:hint="eastAsia" w:ascii="宋体" w:hAnsi="宋体" w:eastAsia="宋体" w:cs="宋体"/>
                <w:bCs/>
                <w:iCs/>
                <w:color w:val="000000"/>
                <w:sz w:val="24"/>
                <w:lang w:val="en-US" w:eastAsia="zh-CN"/>
              </w:rPr>
              <w:t>5</w:t>
            </w:r>
            <w:r>
              <w:rPr>
                <w:rFonts w:hint="eastAsia" w:ascii="宋体" w:hAnsi="宋体" w:eastAsia="宋体" w:cs="宋体"/>
                <w:bCs/>
                <w:iCs/>
                <w:color w:val="000000"/>
                <w:sz w:val="24"/>
              </w:rPr>
              <w:t>年</w:t>
            </w:r>
            <w:r>
              <w:rPr>
                <w:rFonts w:hint="eastAsia" w:ascii="宋体" w:hAnsi="宋体" w:eastAsia="宋体" w:cs="宋体"/>
                <w:bCs/>
                <w:iCs/>
                <w:color w:val="000000"/>
                <w:sz w:val="24"/>
                <w:lang w:val="en-US" w:eastAsia="zh-CN"/>
              </w:rPr>
              <w:t>7</w:t>
            </w:r>
            <w:r>
              <w:rPr>
                <w:rFonts w:hint="eastAsia" w:ascii="宋体" w:hAnsi="宋体" w:eastAsia="宋体" w:cs="宋体"/>
                <w:bCs/>
                <w:iCs/>
                <w:color w:val="000000"/>
                <w:sz w:val="24"/>
              </w:rPr>
              <w:t>月</w:t>
            </w:r>
            <w:r>
              <w:rPr>
                <w:rFonts w:hint="eastAsia" w:ascii="宋体" w:hAnsi="宋体" w:cs="宋体"/>
                <w:bCs/>
                <w:iCs/>
                <w:color w:val="000000"/>
                <w:sz w:val="24"/>
                <w:lang w:val="en-US" w:eastAsia="zh-CN"/>
              </w:rPr>
              <w:t>23</w:t>
            </w:r>
            <w:r>
              <w:rPr>
                <w:rFonts w:hint="eastAsia" w:ascii="宋体" w:hAnsi="宋体" w:eastAsia="宋体" w:cs="宋体"/>
                <w:bCs/>
                <w:iCs/>
                <w:color w:val="000000"/>
                <w:sz w:val="24"/>
              </w:rPr>
              <w:t>日 (周</w:t>
            </w:r>
            <w:r>
              <w:rPr>
                <w:rFonts w:hint="eastAsia" w:ascii="宋体" w:hAnsi="宋体" w:cs="宋体"/>
                <w:bCs/>
                <w:iCs/>
                <w:color w:val="000000"/>
                <w:sz w:val="24"/>
                <w:lang w:val="en-US" w:eastAsia="zh-CN"/>
              </w:rPr>
              <w:t>三</w:t>
            </w:r>
            <w:r>
              <w:rPr>
                <w:rFonts w:hint="eastAsia" w:ascii="宋体" w:hAnsi="宋体" w:eastAsia="宋体" w:cs="宋体"/>
                <w:bCs/>
                <w:iCs/>
                <w:color w:val="000000"/>
                <w:sz w:val="24"/>
              </w:rPr>
              <w:t>)</w:t>
            </w:r>
            <w:r>
              <w:rPr>
                <w:rFonts w:hint="eastAsia" w:ascii="宋体" w:hAnsi="宋体" w:eastAsia="宋体" w:cs="宋体"/>
                <w:bCs/>
                <w:iCs/>
                <w:color w:val="000000"/>
                <w:sz w:val="24"/>
                <w:lang w:val="en-US" w:eastAsia="zh-CN"/>
              </w:rPr>
              <w:t>上午10点-11点</w:t>
            </w:r>
          </w:p>
          <w:p w14:paraId="0908CD23">
            <w:pPr>
              <w:keepNext w:val="0"/>
              <w:keepLines w:val="0"/>
              <w:pageBreakBefore w:val="0"/>
              <w:widowControl w:val="0"/>
              <w:tabs>
                <w:tab w:val="left" w:pos="1525"/>
                <w:tab w:val="center" w:pos="4153"/>
              </w:tabs>
              <w:kinsoku/>
              <w:wordWrap/>
              <w:overflowPunct/>
              <w:topLinePunct w:val="0"/>
              <w:autoSpaceDE/>
              <w:autoSpaceDN/>
              <w:bidi w:val="0"/>
              <w:adjustRightInd/>
              <w:snapToGrid/>
              <w:spacing w:line="500" w:lineRule="exact"/>
              <w:jc w:val="left"/>
              <w:textAlignment w:val="auto"/>
              <w:rPr>
                <w:rFonts w:hint="default" w:ascii="宋体" w:hAnsi="宋体" w:eastAsia="宋体" w:cs="宋体"/>
                <w:bCs/>
                <w:iCs/>
                <w:color w:val="000000"/>
                <w:sz w:val="24"/>
                <w:lang w:val="en-US" w:eastAsia="zh-CN"/>
              </w:rPr>
            </w:pPr>
            <w:r>
              <w:rPr>
                <w:rFonts w:hint="eastAsia" w:ascii="宋体" w:hAnsi="宋体" w:cs="宋体"/>
                <w:bCs/>
                <w:iCs/>
                <w:color w:val="000000"/>
                <w:sz w:val="24"/>
                <w:lang w:val="en-US" w:eastAsia="zh-CN"/>
              </w:rPr>
              <w:t>天风证券-鲍荣富</w:t>
            </w:r>
          </w:p>
          <w:p w14:paraId="43093E53">
            <w:pPr>
              <w:keepNext w:val="0"/>
              <w:keepLines w:val="0"/>
              <w:pageBreakBefore w:val="0"/>
              <w:widowControl w:val="0"/>
              <w:tabs>
                <w:tab w:val="left" w:pos="1525"/>
                <w:tab w:val="center" w:pos="4153"/>
              </w:tabs>
              <w:kinsoku/>
              <w:wordWrap/>
              <w:overflowPunct/>
              <w:topLinePunct w:val="0"/>
              <w:autoSpaceDE/>
              <w:autoSpaceDN/>
              <w:bidi w:val="0"/>
              <w:adjustRightInd/>
              <w:snapToGrid/>
              <w:spacing w:line="500" w:lineRule="exact"/>
              <w:jc w:val="left"/>
              <w:textAlignment w:val="auto"/>
              <w:rPr>
                <w:rFonts w:hint="eastAsia" w:ascii="宋体" w:hAnsi="宋体" w:eastAsia="宋体" w:cs="宋体"/>
                <w:bCs/>
                <w:iCs/>
                <w:color w:val="000000"/>
                <w:sz w:val="24"/>
                <w:lang w:val="en-US" w:eastAsia="zh-CN"/>
              </w:rPr>
            </w:pPr>
            <w:r>
              <w:rPr>
                <w:rFonts w:hint="eastAsia" w:ascii="宋体" w:hAnsi="宋体" w:eastAsia="宋体" w:cs="宋体"/>
                <w:bCs/>
                <w:iCs/>
                <w:color w:val="000000"/>
                <w:sz w:val="24"/>
              </w:rPr>
              <w:t>202</w:t>
            </w:r>
            <w:r>
              <w:rPr>
                <w:rFonts w:hint="eastAsia" w:ascii="宋体" w:hAnsi="宋体" w:eastAsia="宋体" w:cs="宋体"/>
                <w:bCs/>
                <w:iCs/>
                <w:color w:val="000000"/>
                <w:sz w:val="24"/>
                <w:lang w:val="en-US" w:eastAsia="zh-CN"/>
              </w:rPr>
              <w:t>5</w:t>
            </w:r>
            <w:r>
              <w:rPr>
                <w:rFonts w:hint="eastAsia" w:ascii="宋体" w:hAnsi="宋体" w:eastAsia="宋体" w:cs="宋体"/>
                <w:bCs/>
                <w:iCs/>
                <w:color w:val="000000"/>
                <w:sz w:val="24"/>
              </w:rPr>
              <w:t>年</w:t>
            </w:r>
            <w:r>
              <w:rPr>
                <w:rFonts w:hint="eastAsia" w:ascii="宋体" w:hAnsi="宋体" w:eastAsia="宋体" w:cs="宋体"/>
                <w:bCs/>
                <w:iCs/>
                <w:color w:val="000000"/>
                <w:sz w:val="24"/>
                <w:lang w:val="en-US" w:eastAsia="zh-CN"/>
              </w:rPr>
              <w:t>7</w:t>
            </w:r>
            <w:r>
              <w:rPr>
                <w:rFonts w:hint="eastAsia" w:ascii="宋体" w:hAnsi="宋体" w:eastAsia="宋体" w:cs="宋体"/>
                <w:bCs/>
                <w:iCs/>
                <w:color w:val="000000"/>
                <w:sz w:val="24"/>
              </w:rPr>
              <w:t>月</w:t>
            </w:r>
            <w:r>
              <w:rPr>
                <w:rFonts w:hint="eastAsia" w:ascii="宋体" w:hAnsi="宋体" w:cs="宋体"/>
                <w:bCs/>
                <w:iCs/>
                <w:color w:val="000000"/>
                <w:sz w:val="24"/>
                <w:lang w:val="en-US" w:eastAsia="zh-CN"/>
              </w:rPr>
              <w:t>23</w:t>
            </w:r>
            <w:r>
              <w:rPr>
                <w:rFonts w:hint="eastAsia" w:ascii="宋体" w:hAnsi="宋体" w:eastAsia="宋体" w:cs="宋体"/>
                <w:bCs/>
                <w:iCs/>
                <w:color w:val="000000"/>
                <w:sz w:val="24"/>
              </w:rPr>
              <w:t>日 (周</w:t>
            </w:r>
            <w:r>
              <w:rPr>
                <w:rFonts w:hint="eastAsia" w:ascii="宋体" w:hAnsi="宋体" w:cs="宋体"/>
                <w:bCs/>
                <w:iCs/>
                <w:color w:val="000000"/>
                <w:sz w:val="24"/>
                <w:lang w:val="en-US" w:eastAsia="zh-CN"/>
              </w:rPr>
              <w:t>三</w:t>
            </w:r>
            <w:r>
              <w:rPr>
                <w:rFonts w:hint="eastAsia" w:ascii="宋体" w:hAnsi="宋体" w:eastAsia="宋体" w:cs="宋体"/>
                <w:bCs/>
                <w:iCs/>
                <w:color w:val="000000"/>
                <w:sz w:val="24"/>
              </w:rPr>
              <w:t>)</w:t>
            </w:r>
            <w:r>
              <w:rPr>
                <w:rFonts w:hint="eastAsia" w:ascii="宋体" w:hAnsi="宋体" w:eastAsia="宋体" w:cs="宋体"/>
                <w:bCs/>
                <w:iCs/>
                <w:color w:val="000000"/>
                <w:sz w:val="24"/>
                <w:lang w:val="en-US" w:eastAsia="zh-CN"/>
              </w:rPr>
              <w:t>下午</w:t>
            </w:r>
            <w:r>
              <w:rPr>
                <w:rFonts w:hint="eastAsia" w:ascii="宋体" w:hAnsi="宋体" w:cs="宋体"/>
                <w:bCs/>
                <w:iCs/>
                <w:color w:val="000000"/>
                <w:sz w:val="24"/>
                <w:lang w:val="en-US" w:eastAsia="zh-CN"/>
              </w:rPr>
              <w:t>3</w:t>
            </w:r>
            <w:r>
              <w:rPr>
                <w:rFonts w:hint="eastAsia" w:ascii="宋体" w:hAnsi="宋体" w:eastAsia="宋体" w:cs="宋体"/>
                <w:bCs/>
                <w:iCs/>
                <w:color w:val="000000"/>
                <w:sz w:val="24"/>
                <w:lang w:val="en-US" w:eastAsia="zh-CN"/>
              </w:rPr>
              <w:t>点半-</w:t>
            </w:r>
            <w:r>
              <w:rPr>
                <w:rFonts w:hint="eastAsia" w:ascii="宋体" w:hAnsi="宋体" w:cs="宋体"/>
                <w:bCs/>
                <w:iCs/>
                <w:color w:val="000000"/>
                <w:sz w:val="24"/>
                <w:lang w:val="en-US" w:eastAsia="zh-CN"/>
              </w:rPr>
              <w:t>5</w:t>
            </w:r>
            <w:r>
              <w:rPr>
                <w:rFonts w:hint="eastAsia" w:ascii="宋体" w:hAnsi="宋体" w:eastAsia="宋体" w:cs="宋体"/>
                <w:bCs/>
                <w:iCs/>
                <w:color w:val="000000"/>
                <w:sz w:val="24"/>
                <w:lang w:val="en-US" w:eastAsia="zh-CN"/>
              </w:rPr>
              <w:t>点</w:t>
            </w:r>
          </w:p>
          <w:p w14:paraId="0B2A367D">
            <w:pPr>
              <w:keepNext w:val="0"/>
              <w:keepLines w:val="0"/>
              <w:pageBreakBefore w:val="0"/>
              <w:widowControl w:val="0"/>
              <w:tabs>
                <w:tab w:val="left" w:pos="1525"/>
                <w:tab w:val="center" w:pos="4153"/>
              </w:tabs>
              <w:kinsoku/>
              <w:wordWrap/>
              <w:overflowPunct/>
              <w:topLinePunct w:val="0"/>
              <w:autoSpaceDE/>
              <w:autoSpaceDN/>
              <w:bidi w:val="0"/>
              <w:adjustRightInd/>
              <w:snapToGrid/>
              <w:spacing w:line="500" w:lineRule="exact"/>
              <w:jc w:val="left"/>
              <w:textAlignment w:val="auto"/>
              <w:rPr>
                <w:rFonts w:hint="default" w:eastAsia="宋体"/>
                <w:bCs/>
                <w:iCs/>
                <w:color w:val="000000"/>
                <w:sz w:val="24"/>
                <w:lang w:val="en-US" w:eastAsia="zh-CN"/>
              </w:rPr>
            </w:pPr>
            <w:r>
              <w:rPr>
                <w:rFonts w:hint="eastAsia" w:ascii="宋体" w:hAnsi="宋体" w:cs="宋体"/>
                <w:bCs/>
                <w:iCs/>
                <w:color w:val="000000"/>
                <w:sz w:val="24"/>
                <w:lang w:val="en-US" w:eastAsia="zh-CN"/>
              </w:rPr>
              <w:t>华泰</w:t>
            </w:r>
            <w:r>
              <w:rPr>
                <w:rFonts w:hint="eastAsia" w:ascii="宋体" w:hAnsi="宋体" w:eastAsia="宋体" w:cs="宋体"/>
                <w:bCs/>
                <w:iCs/>
                <w:color w:val="000000"/>
                <w:sz w:val="24"/>
                <w:lang w:val="en-US" w:eastAsia="zh-CN"/>
              </w:rPr>
              <w:t>证券-</w:t>
            </w:r>
            <w:r>
              <w:rPr>
                <w:rFonts w:hint="eastAsia" w:ascii="宋体" w:hAnsi="宋体" w:cs="宋体"/>
                <w:bCs/>
                <w:iCs/>
                <w:color w:val="000000"/>
                <w:sz w:val="24"/>
                <w:lang w:val="en-US" w:eastAsia="zh-CN"/>
              </w:rPr>
              <w:t>方晏荷</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华安基金</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李振兴</w:t>
            </w:r>
          </w:p>
        </w:tc>
      </w:tr>
      <w:tr w14:paraId="4741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tcBorders>
              <w:top w:val="single" w:color="auto" w:sz="4" w:space="0"/>
              <w:left w:val="single" w:color="auto" w:sz="4" w:space="0"/>
              <w:bottom w:val="single" w:color="auto" w:sz="4" w:space="0"/>
              <w:right w:val="single" w:color="auto" w:sz="4" w:space="0"/>
            </w:tcBorders>
            <w:noWrap w:val="0"/>
            <w:vAlign w:val="top"/>
          </w:tcPr>
          <w:p w14:paraId="7F802379">
            <w:pPr>
              <w:spacing w:line="420" w:lineRule="exact"/>
              <w:rPr>
                <w:bCs/>
                <w:iCs/>
                <w:color w:val="000000"/>
                <w:kern w:val="0"/>
                <w:sz w:val="24"/>
              </w:rPr>
            </w:pPr>
            <w:r>
              <w:rPr>
                <w:rFonts w:hAnsi="宋体"/>
                <w:bCs/>
                <w:iCs/>
                <w:color w:val="000000"/>
                <w:kern w:val="0"/>
                <w:sz w:val="24"/>
              </w:rPr>
              <w:t>地点</w:t>
            </w:r>
          </w:p>
        </w:tc>
        <w:tc>
          <w:tcPr>
            <w:tcW w:w="7434" w:type="dxa"/>
            <w:tcBorders>
              <w:top w:val="single" w:color="auto" w:sz="4" w:space="0"/>
              <w:left w:val="single" w:color="auto" w:sz="4" w:space="0"/>
              <w:bottom w:val="single" w:color="auto" w:sz="4" w:space="0"/>
              <w:right w:val="single" w:color="auto" w:sz="4" w:space="0"/>
            </w:tcBorders>
            <w:noWrap w:val="0"/>
            <w:vAlign w:val="top"/>
          </w:tcPr>
          <w:p w14:paraId="646871A6">
            <w:pPr>
              <w:spacing w:line="420" w:lineRule="exact"/>
              <w:rPr>
                <w:rFonts w:hint="default"/>
                <w:lang w:val="en-US" w:eastAsia="zh-CN"/>
              </w:rPr>
            </w:pPr>
            <w:r>
              <w:rPr>
                <w:rFonts w:hint="eastAsia"/>
                <w:bCs/>
                <w:iCs/>
                <w:color w:val="000000"/>
                <w:sz w:val="24"/>
                <w:lang w:val="en-US" w:eastAsia="zh-CN"/>
              </w:rPr>
              <w:t>重庆市两江新区建工产业大厦20楼会议室</w:t>
            </w:r>
          </w:p>
        </w:tc>
      </w:tr>
      <w:tr w14:paraId="7D63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950" w:type="dxa"/>
            <w:tcBorders>
              <w:top w:val="single" w:color="auto" w:sz="4" w:space="0"/>
              <w:left w:val="single" w:color="auto" w:sz="4" w:space="0"/>
              <w:bottom w:val="single" w:color="auto" w:sz="4" w:space="0"/>
              <w:right w:val="single" w:color="auto" w:sz="4" w:space="0"/>
            </w:tcBorders>
            <w:noWrap w:val="0"/>
            <w:vAlign w:val="top"/>
          </w:tcPr>
          <w:p w14:paraId="66F0AE11">
            <w:pPr>
              <w:spacing w:line="420" w:lineRule="exact"/>
              <w:rPr>
                <w:bCs/>
                <w:iCs/>
                <w:color w:val="000000"/>
                <w:kern w:val="0"/>
                <w:sz w:val="24"/>
              </w:rPr>
            </w:pPr>
            <w:r>
              <w:rPr>
                <w:rFonts w:hAnsi="宋体"/>
                <w:bCs/>
                <w:iCs/>
                <w:color w:val="000000"/>
                <w:kern w:val="0"/>
                <w:sz w:val="24"/>
              </w:rPr>
              <w:t>上市公司接待人员姓名</w:t>
            </w:r>
          </w:p>
        </w:tc>
        <w:tc>
          <w:tcPr>
            <w:tcW w:w="7434" w:type="dxa"/>
            <w:tcBorders>
              <w:top w:val="single" w:color="auto" w:sz="4" w:space="0"/>
              <w:left w:val="single" w:color="auto" w:sz="4" w:space="0"/>
              <w:bottom w:val="single" w:color="auto" w:sz="4" w:space="0"/>
              <w:right w:val="single" w:color="auto" w:sz="4" w:space="0"/>
            </w:tcBorders>
            <w:noWrap w:val="0"/>
            <w:vAlign w:val="center"/>
          </w:tcPr>
          <w:p w14:paraId="7040BBA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bCs/>
                <w:sz w:val="24"/>
                <w:lang w:val="en-US" w:eastAsia="zh-CN"/>
              </w:rPr>
              <w:t>董事会秘书窦波先生、证券事务代表吴亦非先生、证券部、市场营销中心相关人员</w:t>
            </w:r>
          </w:p>
        </w:tc>
      </w:tr>
      <w:tr w14:paraId="53D0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0" w:hRule="atLeast"/>
        </w:trPr>
        <w:tc>
          <w:tcPr>
            <w:tcW w:w="1950" w:type="dxa"/>
            <w:tcBorders>
              <w:top w:val="single" w:color="auto" w:sz="4" w:space="0"/>
              <w:left w:val="single" w:color="auto" w:sz="4" w:space="0"/>
              <w:bottom w:val="single" w:color="auto" w:sz="4" w:space="0"/>
              <w:right w:val="single" w:color="auto" w:sz="4" w:space="0"/>
            </w:tcBorders>
            <w:noWrap w:val="0"/>
            <w:vAlign w:val="top"/>
          </w:tcPr>
          <w:p w14:paraId="44F14747">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415A485D">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30CF824A">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09F2B167">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7118DFFB">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1F9CD7BB">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6584C26E">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716654F2">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6EC5C962">
            <w:pPr>
              <w:keepNext w:val="0"/>
              <w:keepLines w:val="0"/>
              <w:pageBreakBefore w:val="0"/>
              <w:widowControl w:val="0"/>
              <w:kinsoku/>
              <w:wordWrap/>
              <w:overflowPunct/>
              <w:topLinePunct w:val="0"/>
              <w:autoSpaceDE/>
              <w:autoSpaceDN/>
              <w:bidi w:val="0"/>
              <w:adjustRightInd/>
              <w:snapToGrid/>
              <w:spacing w:line="240" w:lineRule="auto"/>
              <w:textAlignment w:val="auto"/>
              <w:rPr>
                <w:bCs/>
                <w:iCs/>
                <w:color w:val="000000"/>
                <w:kern w:val="0"/>
                <w:sz w:val="24"/>
              </w:rPr>
            </w:pPr>
            <w:r>
              <w:rPr>
                <w:rFonts w:hAnsi="宋体"/>
                <w:bCs/>
                <w:iCs/>
                <w:color w:val="000000"/>
                <w:kern w:val="0"/>
                <w:sz w:val="24"/>
              </w:rPr>
              <w:t>投资者关系活动主要内容介绍</w:t>
            </w:r>
          </w:p>
          <w:p w14:paraId="132D6B14">
            <w:pPr>
              <w:spacing w:line="420" w:lineRule="exact"/>
              <w:rPr>
                <w:rFonts w:hAnsi="宋体"/>
                <w:bCs/>
                <w:iCs/>
                <w:color w:val="000000"/>
                <w:kern w:val="0"/>
                <w:sz w:val="24"/>
              </w:rPr>
            </w:pPr>
          </w:p>
        </w:tc>
        <w:tc>
          <w:tcPr>
            <w:tcW w:w="7434" w:type="dxa"/>
            <w:tcBorders>
              <w:top w:val="single" w:color="auto" w:sz="4" w:space="0"/>
              <w:left w:val="single" w:color="auto" w:sz="4" w:space="0"/>
              <w:bottom w:val="single" w:color="auto" w:sz="4" w:space="0"/>
              <w:right w:val="single" w:color="auto" w:sz="4" w:space="0"/>
            </w:tcBorders>
            <w:noWrap w:val="0"/>
            <w:vAlign w:val="center"/>
          </w:tcPr>
          <w:p w14:paraId="6F84F050">
            <w:pPr>
              <w:pStyle w:val="15"/>
              <w:ind w:firstLine="482" w:firstLineChars="200"/>
              <w:rPr>
                <w:rFonts w:ascii="宋体" w:hAnsi="宋体" w:cs="宋体"/>
                <w:b/>
                <w:bCs/>
                <w:sz w:val="24"/>
                <w:szCs w:val="24"/>
              </w:rPr>
            </w:pPr>
            <w:r>
              <w:rPr>
                <w:rFonts w:hint="eastAsia" w:ascii="宋体" w:hAnsi="宋体" w:cs="宋体"/>
                <w:b/>
                <w:bCs/>
                <w:sz w:val="24"/>
                <w:szCs w:val="24"/>
                <w:lang w:val="en-US" w:eastAsia="zh-CN"/>
              </w:rPr>
              <w:t>当日2场</w:t>
            </w:r>
            <w:r>
              <w:rPr>
                <w:rFonts w:hint="eastAsia" w:ascii="宋体" w:hAnsi="宋体" w:cs="宋体"/>
                <w:b/>
                <w:bCs/>
                <w:sz w:val="24"/>
                <w:szCs w:val="24"/>
              </w:rPr>
              <w:t>交流的主要问题及公司回复要点：</w:t>
            </w:r>
          </w:p>
          <w:p w14:paraId="79096450">
            <w:pPr>
              <w:pStyle w:val="2"/>
              <w:pageBreakBefore w:val="0"/>
              <w:kinsoku/>
              <w:wordWrap/>
              <w:overflowPunct/>
              <w:topLinePunct w:val="0"/>
              <w:autoSpaceDE/>
              <w:autoSpaceDN/>
              <w:bidi w:val="0"/>
              <w:adjustRightInd/>
              <w:snapToGrid/>
              <w:spacing w:before="0" w:after="0" w:line="500" w:lineRule="exact"/>
              <w:ind w:firstLine="482" w:firstLineChars="200"/>
              <w:textAlignment w:val="auto"/>
              <w:rPr>
                <w:rFonts w:hint="eastAsia" w:ascii="宋体" w:hAnsi="宋体" w:eastAsia="宋体" w:cs="宋体"/>
                <w:sz w:val="28"/>
                <w:szCs w:val="28"/>
                <w:highlight w:val="none"/>
              </w:rPr>
            </w:pPr>
            <w:r>
              <w:rPr>
                <w:rFonts w:hint="eastAsia" w:ascii="宋体" w:hAnsi="宋体" w:eastAsia="宋体" w:cs="Times New Roman"/>
                <w:b/>
                <w:bCs w:val="0"/>
                <w:kern w:val="2"/>
                <w:sz w:val="24"/>
                <w:szCs w:val="24"/>
                <w:highlight w:val="none"/>
                <w:lang w:val="en-US" w:eastAsia="zh-CN" w:bidi="ar-SA"/>
              </w:rPr>
              <w:t>1.未来订单规模如何展望？</w:t>
            </w:r>
          </w:p>
          <w:p w14:paraId="526A5B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公司年初制定的年度总体经营指标计划是我们奋斗的目标，是结合战略发展规划，在分析判断宏观经济、市场环境、行业形势和公司自身发展的基础上，按照“稳中求进、以进促稳”工作总基调推进的。后续，公司将立足重庆，通过研判宏观环境和行业情况，有针对性地调整业务布局和市场拓展计划，积极参与政府及重点区域重大项目建设，努力承接更多优质订单。特别是在重庆市委市政府和市国资委的大力支持下，公司对未来订单规模的稳定增长保持积极乐观态度。</w:t>
            </w:r>
          </w:p>
          <w:p w14:paraId="4F4F03B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Times New Roman"/>
                <w:b/>
                <w:bCs w:val="0"/>
                <w:kern w:val="2"/>
                <w:sz w:val="24"/>
                <w:szCs w:val="24"/>
                <w:highlight w:val="none"/>
                <w:lang w:val="en-US" w:eastAsia="zh-CN" w:bidi="ar-SA"/>
              </w:rPr>
            </w:pPr>
            <w:r>
              <w:rPr>
                <w:rFonts w:hint="eastAsia" w:ascii="Times New Roman" w:hAnsi="Times New Roman" w:eastAsia="宋体" w:cs="Times New Roman"/>
                <w:b/>
                <w:bCs/>
                <w:sz w:val="24"/>
                <w:szCs w:val="28"/>
                <w:highlight w:val="none"/>
                <w:lang w:val="en-US" w:eastAsia="zh-CN"/>
              </w:rPr>
              <w:t>2</w:t>
            </w:r>
            <w:r>
              <w:rPr>
                <w:rFonts w:hint="eastAsia" w:ascii="宋体" w:hAnsi="宋体" w:cs="Times New Roman"/>
                <w:b/>
                <w:bCs/>
                <w:kern w:val="2"/>
                <w:sz w:val="24"/>
                <w:szCs w:val="24"/>
                <w:highlight w:val="none"/>
                <w:lang w:val="en-US" w:eastAsia="zh-CN" w:bidi="ar-SA"/>
              </w:rPr>
              <w:t>.</w:t>
            </w:r>
            <w:r>
              <w:rPr>
                <w:rFonts w:hint="eastAsia" w:ascii="宋体" w:hAnsi="宋体" w:cs="宋体"/>
                <w:b/>
                <w:bCs/>
                <w:kern w:val="2"/>
                <w:sz w:val="24"/>
                <w:szCs w:val="24"/>
                <w:highlight w:val="none"/>
                <w:shd w:val="clear" w:color="auto" w:fill="FFFFFF"/>
                <w:lang w:val="en-US" w:eastAsia="zh-CN" w:bidi="ar-SA"/>
              </w:rPr>
              <w:t>区域内投标毛利率是否有变化</w:t>
            </w:r>
            <w:r>
              <w:rPr>
                <w:rFonts w:hint="eastAsia" w:ascii="宋体" w:hAnsi="宋体" w:eastAsia="宋体" w:cs="Times New Roman"/>
                <w:b/>
                <w:bCs w:val="0"/>
                <w:kern w:val="2"/>
                <w:sz w:val="24"/>
                <w:szCs w:val="24"/>
                <w:highlight w:val="none"/>
                <w:lang w:val="en-US" w:eastAsia="zh-CN" w:bidi="ar-SA"/>
              </w:rPr>
              <w:t>？</w:t>
            </w:r>
          </w:p>
          <w:p w14:paraId="10D51FAB">
            <w:pPr>
              <w:pStyle w:val="2"/>
              <w:keepNext/>
              <w:keepLines/>
              <w:pageBreakBefore w:val="0"/>
              <w:widowControl w:val="0"/>
              <w:numPr>
                <w:ilvl w:val="0"/>
                <w:numId w:val="0"/>
              </w:numPr>
              <w:kinsoku/>
              <w:wordWrap/>
              <w:overflowPunct/>
              <w:topLinePunct w:val="0"/>
              <w:autoSpaceDE/>
              <w:autoSpaceDN/>
              <w:bidi w:val="0"/>
              <w:adjustRightInd/>
              <w:snapToGrid/>
              <w:spacing w:before="0" w:after="0" w:line="500" w:lineRule="exact"/>
              <w:ind w:firstLine="480" w:firstLineChars="200"/>
              <w:textAlignment w:val="auto"/>
              <w:rPr>
                <w:rFonts w:hint="eastAsia" w:ascii="宋体" w:hAnsi="宋体" w:cs="Times New Roman"/>
                <w:b/>
                <w:bCs w:val="0"/>
                <w:kern w:val="2"/>
                <w:sz w:val="24"/>
                <w:szCs w:val="24"/>
                <w:lang w:val="en-US" w:eastAsia="zh-CN" w:bidi="ar-SA"/>
              </w:rPr>
            </w:pPr>
            <w:r>
              <w:rPr>
                <w:rFonts w:hint="eastAsia" w:ascii="宋体" w:hAnsi="宋体" w:eastAsia="宋体" w:cs="宋体"/>
                <w:b w:val="0"/>
                <w:bCs w:val="0"/>
                <w:kern w:val="2"/>
                <w:sz w:val="24"/>
                <w:szCs w:val="24"/>
                <w:shd w:val="clear" w:color="auto" w:fill="FFFFFF"/>
                <w:lang w:val="en-US" w:eastAsia="zh-CN" w:bidi="ar-SA"/>
              </w:rPr>
              <w:t>截至上半年的投标毛利率基本持平，但随着新修订的《重庆市招标投标条例》已经发布，自2025年8月1日起施行，对重庆区域内近五年较多采用经评审的最低投标价法的机制有较大调整。重庆建工将坚持立足重庆，充分把握不断完善的政策环境和市场秩序，继续加大高品质重大项目订单的承接力度，将对公司投标毛利率的提升带来积极影响。</w:t>
            </w:r>
          </w:p>
          <w:p w14:paraId="709EDDC4">
            <w:pPr>
              <w:pStyle w:val="2"/>
              <w:keepNext/>
              <w:keepLines/>
              <w:pageBreakBefore w:val="0"/>
              <w:widowControl w:val="0"/>
              <w:numPr>
                <w:ilvl w:val="0"/>
                <w:numId w:val="1"/>
              </w:numPr>
              <w:kinsoku/>
              <w:wordWrap/>
              <w:overflowPunct/>
              <w:topLinePunct w:val="0"/>
              <w:autoSpaceDE/>
              <w:autoSpaceDN/>
              <w:bidi w:val="0"/>
              <w:adjustRightInd/>
              <w:snapToGrid/>
              <w:spacing w:before="0" w:after="0" w:line="500" w:lineRule="exact"/>
              <w:ind w:firstLine="482" w:firstLineChars="200"/>
              <w:textAlignment w:val="auto"/>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公司身处传统建筑行业，是否有布局培育发展新质生产力？</w:t>
            </w:r>
          </w:p>
          <w:p w14:paraId="7B76BF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lang w:val="en-US" w:eastAsia="zh-CN"/>
              </w:rPr>
            </w:pPr>
            <w:r>
              <w:rPr>
                <w:rFonts w:hint="eastAsia"/>
                <w:lang w:val="en-US" w:eastAsia="zh-CN"/>
              </w:rPr>
              <w:t xml:space="preserve">   </w:t>
            </w:r>
            <w:r>
              <w:rPr>
                <w:rFonts w:hint="eastAsia"/>
                <w:sz w:val="24"/>
                <w:szCs w:val="24"/>
                <w:lang w:val="en-US" w:eastAsia="zh-CN"/>
              </w:rPr>
              <w:t xml:space="preserve">  </w:t>
            </w:r>
            <w:r>
              <w:rPr>
                <w:rFonts w:hint="eastAsia" w:ascii="宋体" w:hAnsi="宋体" w:eastAsia="宋体" w:cs="宋体"/>
                <w:b w:val="0"/>
                <w:bCs w:val="0"/>
                <w:kern w:val="2"/>
                <w:sz w:val="24"/>
                <w:szCs w:val="24"/>
                <w:shd w:val="clear" w:color="auto" w:fill="FFFFFF"/>
                <w:lang w:val="en-US" w:eastAsia="zh-CN" w:bidi="ar-SA"/>
              </w:rPr>
              <w:t>公司在巩固传统优势的同时，积极支持开展绿色建筑、装配式建筑、BIM建筑信息模型、节能降碳、大数据智能化等项目科研攻关，为企业转型升级提供全方位技术支撑及优化方案。目前，正积极推进“5G+智慧建工”数字化工程，推广桥梁智慧建造体系，建设数字钢筋加工厂、数字梁场，推动项目施工智能化管理，构建公司风险、内控、合规数字化管理体系。</w:t>
            </w:r>
            <w:r>
              <w:rPr>
                <w:rFonts w:hint="eastAsia" w:ascii="宋体" w:hAnsi="宋体" w:cs="宋体"/>
                <w:b w:val="0"/>
                <w:bCs w:val="0"/>
                <w:kern w:val="2"/>
                <w:sz w:val="24"/>
                <w:szCs w:val="24"/>
                <w:shd w:val="clear" w:color="auto" w:fill="FFFFFF"/>
                <w:lang w:val="en-US" w:eastAsia="zh-CN" w:bidi="ar-SA"/>
              </w:rPr>
              <w:t>今后</w:t>
            </w:r>
            <w:r>
              <w:rPr>
                <w:rFonts w:hint="eastAsia" w:ascii="宋体" w:hAnsi="宋体" w:eastAsia="宋体" w:cs="宋体"/>
                <w:b w:val="0"/>
                <w:bCs w:val="0"/>
                <w:kern w:val="2"/>
                <w:sz w:val="24"/>
                <w:szCs w:val="24"/>
                <w:shd w:val="clear" w:color="auto" w:fill="FFFFFF"/>
                <w:lang w:val="en-US" w:eastAsia="zh-CN" w:bidi="ar-SA"/>
              </w:rPr>
              <w:t>公司将积极跟踪行业动向，瞄准产业发展方向，对自身产业链及业务结构不断进行战略调整，促进业务向智能化、绿色化、品牌化发展。</w:t>
            </w:r>
          </w:p>
          <w:p w14:paraId="3362CC76">
            <w:pPr>
              <w:pStyle w:val="2"/>
              <w:keepNext/>
              <w:keepLines/>
              <w:pageBreakBefore w:val="0"/>
              <w:widowControl w:val="0"/>
              <w:kinsoku/>
              <w:wordWrap/>
              <w:overflowPunct/>
              <w:topLinePunct w:val="0"/>
              <w:autoSpaceDE/>
              <w:autoSpaceDN/>
              <w:bidi w:val="0"/>
              <w:adjustRightInd/>
              <w:snapToGrid/>
              <w:spacing w:before="0" w:after="0" w:line="500" w:lineRule="exact"/>
              <w:ind w:firstLine="482" w:firstLineChars="200"/>
              <w:textAlignment w:val="auto"/>
              <w:rPr>
                <w:rFonts w:hint="default"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4.可转债后续打算，是否考虑继续下修？</w:t>
            </w:r>
          </w:p>
          <w:p w14:paraId="38113373">
            <w:pPr>
              <w:pStyle w:val="2"/>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auto"/>
              <w:rPr>
                <w:rFonts w:hint="default" w:ascii="宋体" w:hAnsi="宋体" w:cs="宋体"/>
                <w:b w:val="0"/>
                <w:bCs w:val="0"/>
                <w:kern w:val="2"/>
                <w:sz w:val="24"/>
                <w:szCs w:val="24"/>
                <w:shd w:val="clear" w:color="auto" w:fill="FFFFFF"/>
                <w:lang w:val="en-US" w:eastAsia="zh-CN" w:bidi="ar-SA"/>
              </w:rPr>
            </w:pPr>
            <w:r>
              <w:rPr>
                <w:rFonts w:hint="eastAsia" w:ascii="宋体" w:hAnsi="宋体" w:cs="宋体"/>
                <w:b w:val="0"/>
                <w:bCs w:val="0"/>
                <w:kern w:val="2"/>
                <w:sz w:val="24"/>
                <w:szCs w:val="24"/>
                <w:shd w:val="clear" w:color="auto" w:fill="FFFFFF"/>
                <w:lang w:val="en-US" w:eastAsia="zh-CN" w:bidi="ar-SA"/>
              </w:rPr>
              <w:t>公司已适时采取调整转股价格的相关措施积极促进转股。2025年6月27日，公司已就建工转债转股价格再次实施了向下修正，截至目前，建工转债的转股价格为4.07元/股。7月16日，“建工转债”转股价格已再次触发向下修正条款。公司决定本次不向下修正“建工转债”转股价格，同时在未来五个月内亦不提出向下修正方案。</w:t>
            </w:r>
          </w:p>
          <w:p w14:paraId="5A2FD111">
            <w:pPr>
              <w:pStyle w:val="2"/>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auto"/>
              <w:rPr>
                <w:rFonts w:hint="eastAsia" w:ascii="宋体" w:hAnsi="宋体" w:cs="宋体"/>
                <w:b w:val="0"/>
                <w:bCs w:val="0"/>
                <w:kern w:val="2"/>
                <w:sz w:val="24"/>
                <w:szCs w:val="24"/>
                <w:shd w:val="clear" w:color="auto" w:fill="FFFFFF"/>
                <w:lang w:val="en-US" w:eastAsia="zh-CN" w:bidi="ar-SA"/>
              </w:rPr>
            </w:pPr>
            <w:r>
              <w:rPr>
                <w:rFonts w:hint="eastAsia" w:ascii="宋体" w:hAnsi="宋体" w:cs="宋体"/>
                <w:b w:val="0"/>
                <w:bCs w:val="0"/>
                <w:kern w:val="2"/>
                <w:sz w:val="24"/>
                <w:szCs w:val="24"/>
                <w:shd w:val="clear" w:color="auto" w:fill="FFFFFF"/>
                <w:lang w:val="en-US" w:eastAsia="zh-CN" w:bidi="ar-SA"/>
              </w:rPr>
              <w:t>公司将合理统筹调</w:t>
            </w:r>
            <w:bookmarkStart w:id="0" w:name="_GoBack"/>
            <w:bookmarkEnd w:id="0"/>
            <w:r>
              <w:rPr>
                <w:rFonts w:hint="eastAsia" w:ascii="宋体" w:hAnsi="宋体" w:cs="宋体"/>
                <w:b w:val="0"/>
                <w:bCs w:val="0"/>
                <w:kern w:val="2"/>
                <w:sz w:val="24"/>
                <w:szCs w:val="24"/>
                <w:shd w:val="clear" w:color="auto" w:fill="FFFFFF"/>
                <w:lang w:val="en-US" w:eastAsia="zh-CN" w:bidi="ar-SA"/>
              </w:rPr>
              <w:t>配资金，通过存量资产的盘活、参股公司股权的变现以及融资工具的运用等多种渠道作好到期偿付的资金安排。</w:t>
            </w:r>
          </w:p>
          <w:p w14:paraId="43AF03E5">
            <w:pPr>
              <w:keepNext w:val="0"/>
              <w:keepLines w:val="0"/>
              <w:pageBreakBefore w:val="0"/>
              <w:widowControl w:val="0"/>
              <w:tabs>
                <w:tab w:val="left" w:pos="1525"/>
                <w:tab w:val="center" w:pos="4153"/>
              </w:tabs>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5</w:t>
            </w:r>
            <w:r>
              <w:rPr>
                <w:rFonts w:hint="eastAsia" w:ascii="宋体" w:hAnsi="宋体" w:eastAsia="宋体" w:cs="Times New Roman"/>
                <w:b/>
                <w:bCs w:val="0"/>
                <w:kern w:val="2"/>
                <w:sz w:val="24"/>
                <w:szCs w:val="24"/>
                <w:lang w:val="en-US" w:eastAsia="zh-CN" w:bidi="ar-SA"/>
              </w:rPr>
              <w:t>.公司是否有围绕主业或者第二曲线相关的收并购计划？</w:t>
            </w:r>
          </w:p>
          <w:p w14:paraId="4789209D">
            <w:pPr>
              <w:pStyle w:val="2"/>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auto"/>
              <w:rPr>
                <w:rFonts w:hint="eastAsia"/>
                <w:lang w:val="en-US" w:eastAsia="zh-CN"/>
              </w:rPr>
            </w:pPr>
            <w:r>
              <w:rPr>
                <w:rFonts w:hint="eastAsia" w:ascii="宋体" w:hAnsi="宋体" w:eastAsia="宋体" w:cs="宋体"/>
                <w:b w:val="0"/>
                <w:bCs w:val="0"/>
                <w:kern w:val="2"/>
                <w:sz w:val="24"/>
                <w:szCs w:val="24"/>
                <w:shd w:val="clear" w:color="auto" w:fill="FFFFFF"/>
                <w:lang w:val="en-US" w:eastAsia="zh-CN" w:bidi="ar-SA"/>
              </w:rPr>
              <w:t>公司除做好传统建筑施工主业外，将积极围绕新质生产力布局谋篇，努力</w:t>
            </w:r>
            <w:r>
              <w:rPr>
                <w:rFonts w:hint="eastAsia" w:ascii="宋体" w:hAnsi="宋体" w:cs="宋体"/>
                <w:b w:val="0"/>
                <w:bCs w:val="0"/>
                <w:kern w:val="2"/>
                <w:sz w:val="24"/>
                <w:szCs w:val="24"/>
                <w:shd w:val="clear" w:color="auto" w:fill="FFFFFF"/>
                <w:lang w:val="en-US" w:eastAsia="zh-CN" w:bidi="ar-SA"/>
              </w:rPr>
              <w:t>加快</w:t>
            </w:r>
            <w:r>
              <w:rPr>
                <w:rFonts w:hint="eastAsia" w:ascii="宋体" w:hAnsi="宋体" w:eastAsia="宋体" w:cs="宋体"/>
                <w:b w:val="0"/>
                <w:bCs w:val="0"/>
                <w:kern w:val="2"/>
                <w:sz w:val="24"/>
                <w:szCs w:val="24"/>
                <w:shd w:val="clear" w:color="auto" w:fill="FFFFFF"/>
                <w:lang w:val="en-US" w:eastAsia="zh-CN" w:bidi="ar-SA"/>
              </w:rPr>
              <w:t>传统产业数字化、智能化转型升级步伐</w:t>
            </w:r>
            <w:r>
              <w:rPr>
                <w:rFonts w:hint="eastAsia" w:ascii="宋体" w:hAnsi="宋体" w:cs="宋体"/>
                <w:b w:val="0"/>
                <w:bCs w:val="0"/>
                <w:kern w:val="2"/>
                <w:sz w:val="24"/>
                <w:szCs w:val="24"/>
                <w:shd w:val="clear" w:color="auto" w:fill="FFFFFF"/>
                <w:lang w:val="en-US" w:eastAsia="zh-CN" w:bidi="ar-SA"/>
              </w:rPr>
              <w:t>，提升</w:t>
            </w:r>
            <w:r>
              <w:rPr>
                <w:rFonts w:hint="eastAsia" w:ascii="宋体" w:hAnsi="宋体" w:eastAsia="宋体" w:cs="宋体"/>
                <w:b w:val="0"/>
                <w:bCs w:val="0"/>
                <w:kern w:val="2"/>
                <w:sz w:val="24"/>
                <w:szCs w:val="24"/>
                <w:shd w:val="clear" w:color="auto" w:fill="FFFFFF"/>
                <w:lang w:val="en-US" w:eastAsia="zh-CN" w:bidi="ar-SA"/>
              </w:rPr>
              <w:t>公司发展</w:t>
            </w:r>
            <w:r>
              <w:rPr>
                <w:rFonts w:hint="eastAsia" w:ascii="宋体" w:hAnsi="宋体" w:cs="宋体"/>
                <w:b w:val="0"/>
                <w:bCs w:val="0"/>
                <w:kern w:val="2"/>
                <w:sz w:val="24"/>
                <w:szCs w:val="24"/>
                <w:shd w:val="clear" w:color="auto" w:fill="FFFFFF"/>
                <w:lang w:val="en-US" w:eastAsia="zh-CN" w:bidi="ar-SA"/>
              </w:rPr>
              <w:t>质量</w:t>
            </w:r>
            <w:r>
              <w:rPr>
                <w:rFonts w:hint="eastAsia" w:ascii="宋体" w:hAnsi="宋体" w:eastAsia="宋体" w:cs="宋体"/>
                <w:b w:val="0"/>
                <w:bCs w:val="0"/>
                <w:kern w:val="2"/>
                <w:sz w:val="24"/>
                <w:szCs w:val="24"/>
                <w:shd w:val="clear" w:color="auto" w:fill="FFFFFF"/>
                <w:lang w:val="en-US" w:eastAsia="zh-CN" w:bidi="ar-SA"/>
              </w:rPr>
              <w:t>。</w:t>
            </w:r>
            <w:r>
              <w:rPr>
                <w:rFonts w:hint="eastAsia" w:ascii="宋体" w:hAnsi="宋体" w:cs="宋体"/>
                <w:b w:val="0"/>
                <w:bCs w:val="0"/>
                <w:kern w:val="2"/>
                <w:sz w:val="24"/>
                <w:szCs w:val="24"/>
                <w:shd w:val="clear" w:color="auto" w:fill="FFFFFF"/>
                <w:lang w:val="en-US" w:eastAsia="zh-CN" w:bidi="ar-SA"/>
              </w:rPr>
              <w:t>同时</w:t>
            </w:r>
            <w:r>
              <w:rPr>
                <w:rFonts w:hint="eastAsia" w:ascii="宋体" w:hAnsi="宋体" w:eastAsia="宋体" w:cs="宋体"/>
                <w:b w:val="0"/>
                <w:bCs w:val="0"/>
                <w:kern w:val="2"/>
                <w:sz w:val="24"/>
                <w:szCs w:val="24"/>
                <w:shd w:val="clear" w:color="auto" w:fill="FFFFFF"/>
                <w:lang w:val="en-US" w:eastAsia="zh-CN" w:bidi="ar-SA"/>
              </w:rPr>
              <w:t>积极关注产业机会，未来如有相关</w:t>
            </w:r>
            <w:r>
              <w:rPr>
                <w:rFonts w:hint="eastAsia" w:ascii="宋体" w:hAnsi="宋体" w:cs="宋体"/>
                <w:b w:val="0"/>
                <w:bCs w:val="0"/>
                <w:kern w:val="2"/>
                <w:sz w:val="24"/>
                <w:szCs w:val="24"/>
                <w:shd w:val="clear" w:color="auto" w:fill="FFFFFF"/>
                <w:lang w:val="en-US" w:eastAsia="zh-CN" w:bidi="ar-SA"/>
              </w:rPr>
              <w:t>事项</w:t>
            </w:r>
            <w:r>
              <w:rPr>
                <w:rFonts w:hint="eastAsia" w:ascii="宋体" w:hAnsi="宋体" w:eastAsia="宋体" w:cs="宋体"/>
                <w:b w:val="0"/>
                <w:bCs w:val="0"/>
                <w:kern w:val="2"/>
                <w:sz w:val="24"/>
                <w:szCs w:val="24"/>
                <w:shd w:val="clear" w:color="auto" w:fill="FFFFFF"/>
                <w:lang w:val="en-US" w:eastAsia="zh-CN" w:bidi="ar-SA"/>
              </w:rPr>
              <w:t>，将根据相关法律法规及时履行信息披露义务。</w:t>
            </w:r>
          </w:p>
        </w:tc>
      </w:tr>
      <w:tr w14:paraId="17A6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0" w:type="dxa"/>
            <w:tcBorders>
              <w:top w:val="single" w:color="auto" w:sz="4" w:space="0"/>
              <w:left w:val="single" w:color="auto" w:sz="4" w:space="0"/>
              <w:bottom w:val="single" w:color="auto" w:sz="4" w:space="0"/>
              <w:right w:val="single" w:color="auto" w:sz="4" w:space="0"/>
            </w:tcBorders>
            <w:noWrap w:val="0"/>
            <w:vAlign w:val="center"/>
          </w:tcPr>
          <w:p w14:paraId="1EB5F997">
            <w:pPr>
              <w:spacing w:line="420" w:lineRule="exact"/>
              <w:rPr>
                <w:bCs/>
                <w:iCs/>
                <w:color w:val="000000"/>
                <w:kern w:val="0"/>
                <w:sz w:val="24"/>
              </w:rPr>
            </w:pPr>
            <w:r>
              <w:rPr>
                <w:rFonts w:hAnsi="宋体"/>
                <w:bCs/>
                <w:iCs/>
                <w:color w:val="000000"/>
                <w:kern w:val="0"/>
                <w:sz w:val="24"/>
              </w:rPr>
              <w:t>附件清单（如有）</w:t>
            </w:r>
          </w:p>
        </w:tc>
        <w:tc>
          <w:tcPr>
            <w:tcW w:w="7434" w:type="dxa"/>
            <w:tcBorders>
              <w:top w:val="single" w:color="auto" w:sz="4" w:space="0"/>
              <w:left w:val="single" w:color="auto" w:sz="4" w:space="0"/>
              <w:bottom w:val="single" w:color="auto" w:sz="4" w:space="0"/>
              <w:right w:val="single" w:color="auto" w:sz="4" w:space="0"/>
            </w:tcBorders>
            <w:noWrap w:val="0"/>
            <w:vAlign w:val="top"/>
          </w:tcPr>
          <w:p w14:paraId="21E74A49">
            <w:pPr>
              <w:spacing w:line="420" w:lineRule="exact"/>
              <w:rPr>
                <w:rFonts w:hint="eastAsia" w:eastAsia="宋体"/>
                <w:bCs/>
                <w:iCs/>
                <w:color w:val="000000"/>
                <w:sz w:val="24"/>
                <w:lang w:val="en-US" w:eastAsia="zh-CN"/>
              </w:rPr>
            </w:pPr>
            <w:r>
              <w:rPr>
                <w:rFonts w:hint="eastAsia"/>
                <w:bCs/>
                <w:iCs/>
                <w:color w:val="000000"/>
                <w:sz w:val="24"/>
                <w:lang w:val="en-US" w:eastAsia="zh-CN"/>
              </w:rPr>
              <w:t>无</w:t>
            </w:r>
          </w:p>
        </w:tc>
      </w:tr>
      <w:tr w14:paraId="503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950" w:type="dxa"/>
            <w:tcBorders>
              <w:top w:val="single" w:color="auto" w:sz="4" w:space="0"/>
              <w:left w:val="single" w:color="auto" w:sz="4" w:space="0"/>
              <w:bottom w:val="single" w:color="auto" w:sz="4" w:space="0"/>
              <w:right w:val="single" w:color="auto" w:sz="4" w:space="0"/>
            </w:tcBorders>
            <w:noWrap w:val="0"/>
            <w:vAlign w:val="center"/>
          </w:tcPr>
          <w:p w14:paraId="5ED44862">
            <w:pPr>
              <w:spacing w:line="420" w:lineRule="exact"/>
              <w:rPr>
                <w:rFonts w:hint="eastAsia" w:hAnsi="宋体" w:eastAsia="宋体"/>
                <w:bCs/>
                <w:iCs/>
                <w:color w:val="000000"/>
                <w:kern w:val="0"/>
                <w:sz w:val="24"/>
                <w:lang w:val="en-US" w:eastAsia="zh-CN"/>
              </w:rPr>
            </w:pPr>
            <w:r>
              <w:rPr>
                <w:rFonts w:hint="eastAsia" w:hAnsi="宋体"/>
                <w:bCs/>
                <w:iCs/>
                <w:color w:val="000000"/>
                <w:kern w:val="0"/>
                <w:sz w:val="24"/>
                <w:lang w:val="en-US" w:eastAsia="zh-CN"/>
              </w:rPr>
              <w:t>备 注</w:t>
            </w:r>
          </w:p>
        </w:tc>
        <w:tc>
          <w:tcPr>
            <w:tcW w:w="7434" w:type="dxa"/>
            <w:tcBorders>
              <w:top w:val="single" w:color="auto" w:sz="4" w:space="0"/>
              <w:left w:val="single" w:color="auto" w:sz="4" w:space="0"/>
              <w:bottom w:val="single" w:color="auto" w:sz="4" w:space="0"/>
              <w:right w:val="single" w:color="auto" w:sz="4" w:space="0"/>
            </w:tcBorders>
            <w:noWrap w:val="0"/>
            <w:vAlign w:val="top"/>
          </w:tcPr>
          <w:p w14:paraId="044B3305">
            <w:pPr>
              <w:spacing w:line="420" w:lineRule="exact"/>
              <w:rPr>
                <w:rFonts w:hint="eastAsia" w:eastAsia="宋体"/>
                <w:bCs/>
                <w:iCs/>
                <w:color w:val="000000"/>
                <w:sz w:val="24"/>
                <w:lang w:val="en-US" w:eastAsia="zh-CN"/>
              </w:rPr>
            </w:pPr>
            <w:r>
              <w:rPr>
                <w:rFonts w:hint="eastAsia"/>
                <w:bCs/>
                <w:iCs/>
                <w:color w:val="000000"/>
                <w:sz w:val="24"/>
              </w:rPr>
              <w:t>本次活动不涉及应当披露重大信息的情形</w:t>
            </w:r>
            <w:r>
              <w:rPr>
                <w:rFonts w:hint="eastAsia"/>
                <w:bCs/>
                <w:iCs/>
                <w:color w:val="000000"/>
                <w:sz w:val="24"/>
                <w:lang w:eastAsia="zh-CN"/>
              </w:rPr>
              <w:t>。</w:t>
            </w:r>
          </w:p>
        </w:tc>
      </w:tr>
    </w:tbl>
    <w:p w14:paraId="0D22EC0D"/>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MicrosoftYaHei">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275C">
    <w:pPr>
      <w:pStyle w:val="3"/>
      <w:jc w:val="both"/>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BDD4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0BDD4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532C">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338D6"/>
    <w:multiLevelType w:val="singleLevel"/>
    <w:tmpl w:val="15D338D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NjYxMGFkZjY0YjI3NDU0MTRkYzVlMmE5NDYwY2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D5314"/>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7E6F26"/>
    <w:rsid w:val="02851531"/>
    <w:rsid w:val="033262AA"/>
    <w:rsid w:val="034B20E7"/>
    <w:rsid w:val="03991042"/>
    <w:rsid w:val="050D65F7"/>
    <w:rsid w:val="068A095C"/>
    <w:rsid w:val="08B321EC"/>
    <w:rsid w:val="09CC7C34"/>
    <w:rsid w:val="0A656ED5"/>
    <w:rsid w:val="0B9C1B14"/>
    <w:rsid w:val="0C8B665C"/>
    <w:rsid w:val="0E58760D"/>
    <w:rsid w:val="0E9F4B6A"/>
    <w:rsid w:val="0EC1061B"/>
    <w:rsid w:val="0F752722"/>
    <w:rsid w:val="10EC115C"/>
    <w:rsid w:val="126B2A34"/>
    <w:rsid w:val="12A7355D"/>
    <w:rsid w:val="12CF0B76"/>
    <w:rsid w:val="1399101A"/>
    <w:rsid w:val="13A046AA"/>
    <w:rsid w:val="14E37E2E"/>
    <w:rsid w:val="151F2569"/>
    <w:rsid w:val="16CB4564"/>
    <w:rsid w:val="18A300D5"/>
    <w:rsid w:val="1B2418A5"/>
    <w:rsid w:val="1B4A2560"/>
    <w:rsid w:val="1B696EAE"/>
    <w:rsid w:val="1BBE01F3"/>
    <w:rsid w:val="1F1C4C07"/>
    <w:rsid w:val="1F893838"/>
    <w:rsid w:val="1FBFC074"/>
    <w:rsid w:val="232C0D56"/>
    <w:rsid w:val="25060276"/>
    <w:rsid w:val="258C430E"/>
    <w:rsid w:val="28C52BC1"/>
    <w:rsid w:val="29F40FE5"/>
    <w:rsid w:val="2A1B7E98"/>
    <w:rsid w:val="2ABF7AE4"/>
    <w:rsid w:val="2B4B7A27"/>
    <w:rsid w:val="2B7D2C5A"/>
    <w:rsid w:val="2C855CE0"/>
    <w:rsid w:val="2CD930DF"/>
    <w:rsid w:val="2DDD275B"/>
    <w:rsid w:val="308C2216"/>
    <w:rsid w:val="32816197"/>
    <w:rsid w:val="32FD6629"/>
    <w:rsid w:val="348B3866"/>
    <w:rsid w:val="34EF2124"/>
    <w:rsid w:val="36C57148"/>
    <w:rsid w:val="36D47E8E"/>
    <w:rsid w:val="36FB9E1F"/>
    <w:rsid w:val="376D37FF"/>
    <w:rsid w:val="38056671"/>
    <w:rsid w:val="399527B9"/>
    <w:rsid w:val="3ADB0AE7"/>
    <w:rsid w:val="3BFA3B96"/>
    <w:rsid w:val="3CEF3472"/>
    <w:rsid w:val="3E792842"/>
    <w:rsid w:val="3EC46392"/>
    <w:rsid w:val="3EFF16E9"/>
    <w:rsid w:val="3F871CA4"/>
    <w:rsid w:val="41DF489C"/>
    <w:rsid w:val="45C41B4C"/>
    <w:rsid w:val="471548BC"/>
    <w:rsid w:val="477B5933"/>
    <w:rsid w:val="479A2633"/>
    <w:rsid w:val="47C13E35"/>
    <w:rsid w:val="48CF3C43"/>
    <w:rsid w:val="4A1E617D"/>
    <w:rsid w:val="4A9E1A39"/>
    <w:rsid w:val="4C5E0D3E"/>
    <w:rsid w:val="4D516B4A"/>
    <w:rsid w:val="4D9A0AFF"/>
    <w:rsid w:val="4E8973EE"/>
    <w:rsid w:val="4F1F09CE"/>
    <w:rsid w:val="4F913633"/>
    <w:rsid w:val="4FAB04B3"/>
    <w:rsid w:val="500A2FF2"/>
    <w:rsid w:val="52C638CF"/>
    <w:rsid w:val="53EB3094"/>
    <w:rsid w:val="53FD6B17"/>
    <w:rsid w:val="54A019B1"/>
    <w:rsid w:val="55347222"/>
    <w:rsid w:val="55403F22"/>
    <w:rsid w:val="554F34EA"/>
    <w:rsid w:val="56D50752"/>
    <w:rsid w:val="577C630B"/>
    <w:rsid w:val="591E631F"/>
    <w:rsid w:val="597559F5"/>
    <w:rsid w:val="598F49A2"/>
    <w:rsid w:val="59E25AA7"/>
    <w:rsid w:val="5A9B6C3A"/>
    <w:rsid w:val="5AA52027"/>
    <w:rsid w:val="5ED30E8D"/>
    <w:rsid w:val="607A7236"/>
    <w:rsid w:val="61385524"/>
    <w:rsid w:val="63861E15"/>
    <w:rsid w:val="63CC5849"/>
    <w:rsid w:val="64E8140A"/>
    <w:rsid w:val="653D52B2"/>
    <w:rsid w:val="6638520C"/>
    <w:rsid w:val="67641E00"/>
    <w:rsid w:val="676F2A11"/>
    <w:rsid w:val="677376B1"/>
    <w:rsid w:val="689E69AF"/>
    <w:rsid w:val="68AF1BCF"/>
    <w:rsid w:val="68C648CA"/>
    <w:rsid w:val="697F6E4E"/>
    <w:rsid w:val="6AC63FF9"/>
    <w:rsid w:val="6B085CB7"/>
    <w:rsid w:val="6B6F1F3D"/>
    <w:rsid w:val="6D756752"/>
    <w:rsid w:val="6EDD4906"/>
    <w:rsid w:val="6FEB2F45"/>
    <w:rsid w:val="71974262"/>
    <w:rsid w:val="730C09AF"/>
    <w:rsid w:val="739142C1"/>
    <w:rsid w:val="743708F7"/>
    <w:rsid w:val="74C257D4"/>
    <w:rsid w:val="75756AD4"/>
    <w:rsid w:val="75E83A27"/>
    <w:rsid w:val="76DC45E7"/>
    <w:rsid w:val="77C24CFB"/>
    <w:rsid w:val="77CF73AC"/>
    <w:rsid w:val="77FA34D6"/>
    <w:rsid w:val="78FF0116"/>
    <w:rsid w:val="797C69C1"/>
    <w:rsid w:val="79B36FD8"/>
    <w:rsid w:val="7AA13FA2"/>
    <w:rsid w:val="7B2D1359"/>
    <w:rsid w:val="7B700C8C"/>
    <w:rsid w:val="7C7B3DF5"/>
    <w:rsid w:val="7D0C1CE2"/>
    <w:rsid w:val="7E916CC8"/>
    <w:rsid w:val="7EF74B39"/>
    <w:rsid w:val="7EFD1B1C"/>
    <w:rsid w:val="7FB04FCC"/>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_Style 6"/>
    <w:basedOn w:val="1"/>
    <w:qFormat/>
    <w:uiPriority w:val="34"/>
    <w:pPr>
      <w:ind w:firstLine="420" w:firstLineChars="200"/>
    </w:pPr>
    <w:rPr>
      <w:rFonts w:ascii="Calibri" w:hAnsi="Calibri" w:eastAsia="宋体" w:cs="Times New Roman"/>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 Char Char Char"/>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 w:type="paragraph" w:styleId="14">
    <w:name w:val="List Paragraph"/>
    <w:basedOn w:val="1"/>
    <w:qFormat/>
    <w:uiPriority w:val="34"/>
    <w:pPr>
      <w:ind w:firstLine="420" w:firstLineChars="200"/>
    </w:pPr>
  </w:style>
  <w:style w:type="paragraph" w:customStyle="1" w:styleId="15">
    <w:name w:val="正文1"/>
    <w:qFormat/>
    <w:uiPriority w:val="0"/>
    <w:pPr>
      <w:jc w:val="both"/>
    </w:pPr>
    <w:rPr>
      <w:rFonts w:ascii="Calibri" w:hAnsi="Calibri" w:eastAsia="宋体" w:cs="Calibri"/>
      <w:kern w:val="2"/>
      <w:sz w:val="21"/>
      <w:szCs w:val="21"/>
      <w:lang w:val="en-US" w:eastAsia="zh-CN" w:bidi="ar-SA"/>
    </w:rPr>
  </w:style>
  <w:style w:type="paragraph" w:customStyle="1" w:styleId="16">
    <w:name w:val="石墨文档正文"/>
    <w:basedOn w:val="1"/>
    <w:qFormat/>
    <w:uiPriority w:val="0"/>
    <w:pPr>
      <w:widowControl/>
      <w:jc w:val="left"/>
    </w:pPr>
    <w:rPr>
      <w:rFonts w:ascii="Arial Unicode MS" w:hAnsi="Arial Unicode MS" w:eastAsia="MicrosoftYaHei" w:cs="宋体"/>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1282</Words>
  <Characters>1319</Characters>
  <Lines>60</Lines>
  <Paragraphs>17</Paragraphs>
  <TotalTime>21</TotalTime>
  <ScaleCrop>false</ScaleCrop>
  <LinksUpToDate>false</LinksUpToDate>
  <CharactersWithSpaces>1460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ZUM</cp:lastModifiedBy>
  <cp:lastPrinted>2025-07-25T06:28:00Z</cp:lastPrinted>
  <dcterms:modified xsi:type="dcterms:W3CDTF">2025-07-28T08:48:00Z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CE3B9FD8677C47EDA011B5BB04BD1A37_13</vt:lpwstr>
  </property>
  <property fmtid="{D5CDD505-2E9C-101B-9397-08002B2CF9AE}" pid="4" name="KSOTemplateDocerSaveRecord">
    <vt:lpwstr>eyJoZGlkIjoiMGViNjYxMGFkZjY0YjI3NDU0MTRkYzVlMmE5NDYwY2QiLCJ1c2VySWQiOiIzMjUyMTUwMTQifQ==</vt:lpwstr>
  </property>
</Properties>
</file>