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特定对象调研        </w:t>
            </w:r>
            <w:r>
              <w:rPr>
                <w:rFonts w:hint="eastAsia" w:ascii="宋体" w:hAnsi="宋体" w:cs="宋体"/>
                <w:sz w:val="24"/>
              </w:rPr>
              <w:sym w:font="Wingdings 2" w:char="00A3"/>
            </w:r>
            <w:r>
              <w:rPr>
                <w:rFonts w:hint="eastAsia" w:ascii="宋体" w:hAnsi="宋体" w:cs="宋体"/>
                <w:sz w:val="24"/>
              </w:rPr>
              <w:t xml:space="preserve"> 分析师会议</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线上交流</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pPr>
              <w:rPr>
                <w:rFonts w:hint="default" w:eastAsia="宋体"/>
                <w:bCs/>
                <w:iCs/>
                <w:color w:val="000000"/>
                <w:sz w:val="24"/>
                <w:lang w:val="en-US" w:eastAsia="zh-CN"/>
              </w:rPr>
            </w:pPr>
            <w:r>
              <w:rPr>
                <w:rFonts w:hint="eastAsia"/>
                <w:bCs/>
                <w:iCs/>
                <w:color w:val="000000"/>
                <w:sz w:val="24"/>
              </w:rPr>
              <w:t>易方达基金、华夏基金、富国基金、兴证全球基金、国投瑞银、平安基金、勤辰基金、合远基金、国泰君安资管、华泰资管、永诚资产、淡水泉投资、前海人寿保险、长江证</w:t>
            </w:r>
            <w:bookmarkStart w:id="0" w:name="_GoBack"/>
            <w:bookmarkEnd w:id="0"/>
            <w:r>
              <w:rPr>
                <w:rFonts w:hint="eastAsia"/>
                <w:bCs/>
                <w:iCs/>
                <w:color w:val="000000"/>
                <w:sz w:val="24"/>
              </w:rPr>
              <w:t>券、中银证券、方正证券、华福证券、国联民生证券、中邮证券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pPr>
              <w:rPr>
                <w:bCs/>
                <w:iCs/>
                <w:color w:val="000000"/>
                <w:sz w:val="24"/>
              </w:rPr>
            </w:pPr>
            <w:r>
              <w:rPr>
                <w:rFonts w:hint="eastAsia" w:ascii="宋体" w:hAnsi="宋体" w:cs="宋体"/>
                <w:sz w:val="24"/>
              </w:rPr>
              <w:t>2025年7月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wordWrap w:val="0"/>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现场：青岛市市北区郑州路43号</w:t>
            </w:r>
            <w:r>
              <w:rPr>
                <w:rFonts w:hint="eastAsia" w:ascii="宋体" w:hAnsi="宋体" w:cs="宋体"/>
                <w:sz w:val="24"/>
                <w:lang w:val="en-US" w:eastAsia="zh-CN"/>
              </w:rPr>
              <w:t>橡胶新材料大楼</w:t>
            </w:r>
            <w:r>
              <w:rPr>
                <w:rFonts w:hint="eastAsia" w:ascii="宋体" w:hAnsi="宋体" w:cs="宋体"/>
                <w:sz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董事、董事会秘书</w:t>
            </w:r>
            <w:r>
              <w:rPr>
                <w:rFonts w:hint="eastAsia" w:ascii="宋体" w:hAnsi="宋体" w:cs="宋体"/>
                <w:sz w:val="24"/>
                <w:lang w:eastAsia="zh-CN"/>
              </w:rPr>
              <w:t>：</w:t>
            </w:r>
            <w:r>
              <w:rPr>
                <w:rFonts w:hint="eastAsia" w:ascii="宋体" w:hAnsi="宋体" w:cs="宋体"/>
                <w:sz w:val="24"/>
              </w:rPr>
              <w:t>李吉庆</w:t>
            </w:r>
          </w:p>
          <w:p>
            <w:pPr>
              <w:rPr>
                <w:rFonts w:ascii="宋体" w:hAnsi="宋体" w:cs="宋体"/>
                <w:sz w:val="24"/>
              </w:rPr>
            </w:pPr>
            <w:r>
              <w:rPr>
                <w:rFonts w:hint="eastAsia" w:ascii="宋体" w:hAnsi="宋体" w:cs="宋体"/>
                <w:sz w:val="24"/>
              </w:rPr>
              <w:t>投资者关系主管</w:t>
            </w:r>
            <w:r>
              <w:rPr>
                <w:rFonts w:hint="eastAsia" w:ascii="宋体" w:hAnsi="宋体" w:cs="宋体"/>
                <w:sz w:val="24"/>
                <w:lang w:eastAsia="zh-CN"/>
              </w:rPr>
              <w:t>：</w:t>
            </w:r>
            <w:r>
              <w:rPr>
                <w:rFonts w:hint="eastAsia" w:ascii="宋体" w:hAnsi="宋体" w:cs="宋体"/>
                <w:sz w:val="24"/>
              </w:rPr>
              <w:t>曲蕾</w:t>
            </w:r>
          </w:p>
          <w:p>
            <w:pPr>
              <w:rPr>
                <w:rFonts w:ascii="宋体" w:hAnsi="宋体"/>
                <w:bCs/>
                <w:sz w:val="24"/>
              </w:rPr>
            </w:pPr>
            <w:r>
              <w:rPr>
                <w:rFonts w:hint="eastAsia" w:ascii="宋体" w:hAnsi="宋体" w:cs="宋体"/>
                <w:sz w:val="24"/>
              </w:rPr>
              <w:t>监事会主席</w:t>
            </w:r>
            <w:r>
              <w:rPr>
                <w:rFonts w:hint="eastAsia" w:ascii="宋体" w:hAnsi="宋体" w:cs="宋体"/>
                <w:sz w:val="24"/>
                <w:lang w:eastAsia="zh-CN"/>
              </w:rPr>
              <w:t>：</w:t>
            </w:r>
            <w:r>
              <w:rPr>
                <w:rFonts w:hint="eastAsia" w:ascii="宋体" w:hAnsi="宋体" w:cs="宋体"/>
                <w:sz w:val="24"/>
              </w:rPr>
              <w:t>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firstLine="0" w:firstLineChars="0"/>
              <w:rPr>
                <w:rFonts w:ascii="宋体" w:hAnsi="宋体"/>
                <w:b/>
                <w:bCs/>
                <w:sz w:val="24"/>
                <w:szCs w:val="24"/>
              </w:rPr>
            </w:pPr>
            <w:r>
              <w:rPr>
                <w:rFonts w:hint="eastAsia" w:ascii="宋体" w:hAnsi="宋体"/>
                <w:b/>
                <w:bCs/>
                <w:sz w:val="24"/>
                <w:szCs w:val="24"/>
              </w:rPr>
              <w:t>一、公司简介：</w:t>
            </w:r>
          </w:p>
          <w:p>
            <w:pPr>
              <w:pStyle w:val="13"/>
              <w:spacing w:line="460" w:lineRule="exact"/>
              <w:ind w:firstLine="480"/>
              <w:rPr>
                <w:rFonts w:ascii="宋体" w:hAnsi="宋体"/>
                <w:sz w:val="24"/>
                <w:szCs w:val="24"/>
              </w:rPr>
            </w:pPr>
            <w:r>
              <w:rPr>
                <w:rFonts w:hint="eastAsia" w:ascii="宋体" w:hAnsi="宋体"/>
                <w:sz w:val="24"/>
                <w:szCs w:val="24"/>
              </w:rPr>
              <w:t>赛轮集团股份有限公司创建于2002年，是中国第一家A股上市民营轮胎企业，也是中国第一家“走出去”在海外建厂的轮胎企业。</w:t>
            </w:r>
          </w:p>
          <w:p>
            <w:pPr>
              <w:pStyle w:val="13"/>
              <w:spacing w:line="460" w:lineRule="exact"/>
              <w:ind w:firstLine="480"/>
              <w:rPr>
                <w:rFonts w:ascii="宋体" w:hAnsi="宋体"/>
                <w:sz w:val="24"/>
                <w:szCs w:val="24"/>
              </w:rPr>
            </w:pPr>
            <w:r>
              <w:rPr>
                <w:rFonts w:hint="eastAsia" w:ascii="宋体" w:hAnsi="宋体"/>
                <w:sz w:val="24"/>
                <w:szCs w:val="24"/>
              </w:rPr>
              <w:t>根据美国《轮胎商业》发布</w:t>
            </w:r>
            <w:r>
              <w:rPr>
                <w:rFonts w:hint="eastAsia" w:ascii="宋体" w:hAnsi="宋体"/>
                <w:sz w:val="24"/>
                <w:szCs w:val="24"/>
                <w:lang w:val="en-US" w:eastAsia="zh-CN"/>
              </w:rPr>
              <w:t>的</w:t>
            </w:r>
            <w:r>
              <w:rPr>
                <w:rFonts w:hint="eastAsia" w:ascii="宋体" w:hAnsi="宋体"/>
                <w:sz w:val="24"/>
                <w:szCs w:val="24"/>
              </w:rPr>
              <w:t>2024年全球轮胎企业75强排行榜，公司位居第</w:t>
            </w:r>
            <w:r>
              <w:rPr>
                <w:rFonts w:hint="eastAsia" w:ascii="宋体" w:hAnsi="宋体"/>
                <w:sz w:val="24"/>
                <w:szCs w:val="24"/>
                <w:lang w:val="en-US" w:eastAsia="zh-CN"/>
              </w:rPr>
              <w:t>10位</w:t>
            </w:r>
            <w:r>
              <w:rPr>
                <w:rFonts w:hint="eastAsia" w:ascii="宋体" w:hAnsi="宋体"/>
                <w:sz w:val="24"/>
                <w:szCs w:val="24"/>
              </w:rPr>
              <w:t>。根据Brand Finance品牌价值评估机构发布的《2025年全球最具价值轮胎品牌榜单》，公司位列第10位，</w:t>
            </w:r>
            <w:r>
              <w:rPr>
                <w:rFonts w:hint="eastAsia" w:ascii="宋体" w:hAnsi="宋体"/>
                <w:sz w:val="24"/>
                <w:szCs w:val="24"/>
                <w:lang w:val="en-US" w:eastAsia="zh-CN"/>
              </w:rPr>
              <w:t>是</w:t>
            </w:r>
            <w:r>
              <w:rPr>
                <w:rFonts w:hint="eastAsia" w:ascii="宋体" w:hAnsi="宋体"/>
                <w:sz w:val="24"/>
                <w:szCs w:val="24"/>
              </w:rPr>
              <w:t>中国最具价值的轮胎品牌。公司还以1,128.96亿元品牌价值位列2025年“中国500最具价值品牌”第105位，品牌价值连续八年持续</w:t>
            </w:r>
            <w:r>
              <w:rPr>
                <w:rFonts w:hint="eastAsia" w:ascii="宋体" w:hAnsi="宋体"/>
                <w:sz w:val="24"/>
                <w:szCs w:val="24"/>
                <w:lang w:val="en-US" w:eastAsia="zh-CN"/>
              </w:rPr>
              <w:t>提升</w:t>
            </w:r>
            <w:r>
              <w:rPr>
                <w:rFonts w:hint="eastAsia" w:ascii="宋体" w:hAnsi="宋体"/>
                <w:sz w:val="24"/>
                <w:szCs w:val="24"/>
              </w:rPr>
              <w:t>。</w:t>
            </w:r>
          </w:p>
          <w:p>
            <w:pPr>
              <w:pStyle w:val="13"/>
              <w:spacing w:line="460" w:lineRule="exact"/>
              <w:ind w:firstLine="480"/>
              <w:rPr>
                <w:rFonts w:ascii="宋体" w:hAnsi="宋体"/>
                <w:sz w:val="24"/>
                <w:szCs w:val="24"/>
              </w:rPr>
            </w:pPr>
            <w:r>
              <w:rPr>
                <w:rFonts w:hint="eastAsia" w:ascii="宋体" w:hAnsi="宋体"/>
                <w:sz w:val="24"/>
                <w:szCs w:val="24"/>
              </w:rPr>
              <w:t>公司已在中国的青岛、东营、沈阳、潍坊及</w:t>
            </w:r>
            <w:r>
              <w:rPr>
                <w:rFonts w:hint="eastAsia" w:ascii="宋体" w:hAnsi="宋体"/>
                <w:sz w:val="24"/>
                <w:szCs w:val="24"/>
                <w:lang w:val="en-US" w:eastAsia="zh-CN"/>
              </w:rPr>
              <w:t>海外的</w:t>
            </w:r>
            <w:r>
              <w:rPr>
                <w:rFonts w:hint="eastAsia" w:ascii="宋体" w:hAnsi="宋体"/>
                <w:sz w:val="24"/>
                <w:szCs w:val="24"/>
              </w:rPr>
              <w:t>越南、柬埔寨、墨西哥、印度尼西亚建有轮胎生产基地。公司在中国青岛、加拿大多伦多、德国法兰克福、越南胡志明建有四大研发中心，在各地工厂也建立了属地化的技术研究部门，搭建起了全球技术研发与试验体系。公司产品销售已涵盖中国、北美、欧洲、亚洲、非洲等全球180多个国家和地区。截止目前，公司共规划年产2,765万条全钢子午线轮胎、1.06亿条半钢子午线轮胎和44.7万吨非公路轮胎的生产能力。</w:t>
            </w:r>
          </w:p>
          <w:p>
            <w:pPr>
              <w:pStyle w:val="13"/>
              <w:spacing w:line="460" w:lineRule="exact"/>
              <w:ind w:firstLine="0" w:firstLineChars="0"/>
              <w:rPr>
                <w:rFonts w:ascii="宋体" w:hAnsi="宋体"/>
                <w:sz w:val="24"/>
                <w:szCs w:val="24"/>
              </w:rPr>
            </w:pPr>
            <w:r>
              <w:rPr>
                <w:rFonts w:hint="eastAsia" w:ascii="宋体" w:hAnsi="宋体"/>
                <w:b/>
                <w:bCs/>
                <w:sz w:val="24"/>
                <w:szCs w:val="24"/>
              </w:rPr>
              <w:t>二、投资者提出的主要问题及公司回复情况:</w:t>
            </w:r>
          </w:p>
          <w:p>
            <w:pPr>
              <w:pStyle w:val="13"/>
              <w:spacing w:line="460" w:lineRule="exact"/>
              <w:ind w:left="-2" w:leftChars="-1" w:firstLine="482"/>
              <w:rPr>
                <w:rFonts w:ascii="宋体" w:hAnsi="宋体"/>
                <w:b/>
                <w:bCs/>
                <w:sz w:val="24"/>
                <w:szCs w:val="24"/>
              </w:rPr>
            </w:pPr>
            <w:r>
              <w:rPr>
                <w:rFonts w:hint="eastAsia" w:ascii="宋体" w:hAnsi="宋体"/>
                <w:b/>
                <w:bCs/>
                <w:sz w:val="24"/>
                <w:szCs w:val="24"/>
              </w:rPr>
              <w:t>1、公司今年预计分几次红？</w:t>
            </w:r>
          </w:p>
          <w:p>
            <w:pPr>
              <w:pStyle w:val="13"/>
              <w:spacing w:line="460" w:lineRule="exact"/>
              <w:ind w:left="-2" w:leftChars="-1" w:firstLine="480"/>
              <w:rPr>
                <w:rFonts w:ascii="宋体" w:hAnsi="宋体"/>
                <w:sz w:val="24"/>
                <w:szCs w:val="24"/>
              </w:rPr>
            </w:pPr>
            <w:r>
              <w:rPr>
                <w:rFonts w:hint="eastAsia" w:ascii="宋体" w:hAnsi="宋体"/>
                <w:sz w:val="24"/>
                <w:szCs w:val="24"/>
              </w:rPr>
              <w:t>答：公司一直重视对投资者的回报，上市以来每年均进行现金红利分配。公司2024年全年现金分红总额12.49亿元（</w:t>
            </w:r>
            <w:r>
              <w:rPr>
                <w:rFonts w:hint="eastAsia" w:ascii="宋体" w:hAnsi="宋体"/>
                <w:sz w:val="24"/>
                <w:szCs w:val="24"/>
                <w:lang w:val="en-US" w:eastAsia="zh-CN"/>
              </w:rPr>
              <w:t>含</w:t>
            </w:r>
            <w:r>
              <w:rPr>
                <w:rFonts w:hint="eastAsia" w:ascii="宋体" w:hAnsi="宋体"/>
                <w:sz w:val="24"/>
                <w:szCs w:val="24"/>
              </w:rPr>
              <w:t>2024年前三季度现金分红</w:t>
            </w:r>
            <w:r>
              <w:rPr>
                <w:rFonts w:hint="eastAsia" w:ascii="宋体" w:hAnsi="宋体"/>
                <w:sz w:val="24"/>
                <w:szCs w:val="24"/>
                <w:lang w:val="en-US" w:eastAsia="zh-CN"/>
              </w:rPr>
              <w:t>金额</w:t>
            </w:r>
            <w:r>
              <w:rPr>
                <w:rFonts w:hint="eastAsia" w:ascii="宋体" w:hAnsi="宋体"/>
                <w:sz w:val="24"/>
                <w:szCs w:val="24"/>
              </w:rPr>
              <w:t>）。关于 2025 年分红计划，公司将严格按照《公司章程》《股东回报规划》等要求，结合</w:t>
            </w:r>
            <w:r>
              <w:rPr>
                <w:rFonts w:hint="eastAsia" w:ascii="宋体" w:hAnsi="宋体"/>
                <w:sz w:val="24"/>
                <w:szCs w:val="24"/>
                <w:lang w:val="en-US" w:eastAsia="zh-CN"/>
              </w:rPr>
              <w:t>实际</w:t>
            </w:r>
            <w:r>
              <w:rPr>
                <w:rFonts w:hint="eastAsia" w:ascii="宋体" w:hAnsi="宋体"/>
                <w:sz w:val="24"/>
                <w:szCs w:val="24"/>
              </w:rPr>
              <w:t>经营情况、现金流状况等因素综合制定，具体分红次数及方案将以届时披露的公告为准。</w:t>
            </w:r>
          </w:p>
          <w:p>
            <w:pPr>
              <w:pStyle w:val="13"/>
              <w:spacing w:line="460" w:lineRule="exact"/>
              <w:ind w:left="-2" w:leftChars="-1" w:firstLine="482"/>
              <w:rPr>
                <w:rFonts w:ascii="宋体" w:hAnsi="宋体"/>
                <w:b/>
                <w:bCs/>
                <w:sz w:val="24"/>
                <w:szCs w:val="24"/>
              </w:rPr>
            </w:pPr>
            <w:r>
              <w:rPr>
                <w:rFonts w:hint="eastAsia" w:ascii="宋体" w:hAnsi="宋体"/>
                <w:b/>
                <w:bCs/>
                <w:sz w:val="24"/>
                <w:szCs w:val="24"/>
              </w:rPr>
              <w:t>2</w:t>
            </w:r>
            <w:r>
              <w:rPr>
                <w:rFonts w:ascii="宋体" w:hAnsi="宋体"/>
                <w:b/>
                <w:bCs/>
                <w:sz w:val="24"/>
                <w:szCs w:val="24"/>
              </w:rPr>
              <w:t>、</w:t>
            </w:r>
            <w:r>
              <w:rPr>
                <w:rFonts w:hint="eastAsia" w:ascii="宋体" w:hAnsi="宋体"/>
                <w:b/>
                <w:bCs/>
                <w:sz w:val="24"/>
                <w:szCs w:val="24"/>
              </w:rPr>
              <w:t>公司目前配套的车企名单？</w:t>
            </w:r>
          </w:p>
          <w:p>
            <w:pPr>
              <w:pStyle w:val="13"/>
              <w:spacing w:line="460" w:lineRule="exact"/>
              <w:ind w:left="-2" w:leftChars="-1" w:firstLine="482"/>
              <w:rPr>
                <w:rFonts w:ascii="宋体" w:hAnsi="宋体"/>
                <w:sz w:val="24"/>
              </w:rPr>
            </w:pPr>
            <w:r>
              <w:rPr>
                <w:rFonts w:hint="eastAsia" w:ascii="宋体" w:hAnsi="宋体" w:cs="Times New Roman"/>
                <w:b w:val="0"/>
                <w:bCs w:val="0"/>
                <w:sz w:val="24"/>
                <w:szCs w:val="24"/>
              </w:rPr>
              <w:t>答：公司已为多家卡车、轿车、工程机械生产企业配套全钢、半钢和非公路轮胎产品，公司全钢和半钢轮胎产品</w:t>
            </w:r>
            <w:r>
              <w:rPr>
                <w:rFonts w:hint="eastAsia" w:ascii="宋体" w:hAnsi="宋体" w:cs="宋体"/>
                <w:sz w:val="24"/>
              </w:rPr>
              <w:t>已成功配套一汽解放、中国重汽、宇通客车、比亚迪、三一重工、东风汽车、北汽福田、奇瑞、吉利、长安、蔚来、北汽、越南Vinfast等国内外汽车企业。公司非公路轮胎产品已成功配套卡特彼勒、约翰迪尔、凯斯纽荷兰、英国JCB、爱科、道依茨法尔、</w:t>
            </w:r>
            <w:r>
              <w:rPr>
                <w:rFonts w:hint="eastAsia" w:ascii="宋体" w:hAnsi="宋体" w:cs="宋体"/>
                <w:sz w:val="24"/>
                <w:lang w:val="en-US" w:eastAsia="zh-CN"/>
              </w:rPr>
              <w:t>小松、</w:t>
            </w:r>
            <w:r>
              <w:rPr>
                <w:rFonts w:hint="eastAsia" w:ascii="宋体" w:hAnsi="宋体" w:cs="宋体"/>
                <w:sz w:val="24"/>
              </w:rPr>
              <w:t>徐工集团、柳工集团、北方重工、三一重工、同力重工、山东临工、潍柴雷沃、</w:t>
            </w:r>
            <w:r>
              <w:rPr>
                <w:rFonts w:hint="eastAsia" w:ascii="宋体" w:hAnsi="宋体" w:cs="宋体"/>
                <w:sz w:val="24"/>
                <w:lang w:val="en-US" w:eastAsia="zh-CN"/>
              </w:rPr>
              <w:t>中联重科、</w:t>
            </w:r>
            <w:r>
              <w:rPr>
                <w:rFonts w:hint="eastAsia" w:ascii="宋体" w:hAnsi="宋体" w:cs="宋体"/>
                <w:sz w:val="24"/>
              </w:rPr>
              <w:t>中国一拖等国内外知名企业。未来，公司将凭借优异的产品性能及良好的服务持续推进与相关车企的合作。</w:t>
            </w:r>
          </w:p>
          <w:p>
            <w:pPr>
              <w:pStyle w:val="13"/>
              <w:spacing w:line="460" w:lineRule="exact"/>
              <w:ind w:left="-2" w:leftChars="-1" w:firstLine="482"/>
              <w:rPr>
                <w:rFonts w:ascii="宋体" w:hAnsi="宋体"/>
                <w:b/>
                <w:bCs/>
                <w:sz w:val="24"/>
                <w:szCs w:val="24"/>
              </w:rPr>
            </w:pPr>
            <w:r>
              <w:rPr>
                <w:rFonts w:hint="eastAsia" w:ascii="宋体" w:hAnsi="宋体"/>
                <w:b/>
                <w:bCs/>
                <w:sz w:val="24"/>
                <w:szCs w:val="24"/>
              </w:rPr>
              <w:t>3、公司的品牌力如何打造？</w:t>
            </w:r>
          </w:p>
          <w:p>
            <w:pPr>
              <w:pStyle w:val="13"/>
              <w:spacing w:line="460" w:lineRule="exact"/>
              <w:ind w:left="-2" w:leftChars="-1" w:firstLine="480"/>
              <w:rPr>
                <w:rFonts w:ascii="宋体" w:hAnsi="宋体"/>
                <w:sz w:val="24"/>
                <w:szCs w:val="24"/>
              </w:rPr>
            </w:pPr>
            <w:r>
              <w:rPr>
                <w:rFonts w:ascii="宋体" w:hAnsi="宋体"/>
                <w:sz w:val="24"/>
                <w:szCs w:val="24"/>
              </w:rPr>
              <w:t>答:公司在品牌建设方面持续深化战略布局，通过加强与权威媒体合作，不断开展创新活动、赛事活动及展会活动，全面提升品牌形象。目前</w:t>
            </w:r>
            <w:r>
              <w:rPr>
                <w:rFonts w:hint="eastAsia" w:ascii="宋体" w:hAnsi="宋体"/>
                <w:sz w:val="24"/>
                <w:szCs w:val="24"/>
              </w:rPr>
              <w:t>公司</w:t>
            </w:r>
            <w:r>
              <w:rPr>
                <w:rFonts w:ascii="宋体" w:hAnsi="宋体"/>
                <w:sz w:val="24"/>
                <w:szCs w:val="24"/>
              </w:rPr>
              <w:t>已形成覆盖全球75个国家及地区的传播矩阵，有效拓展了海外市场影响力。根据Brand  Finance品牌价值评估机构发布的“2025年全球最具价值轮胎品牌榜单”，公司</w:t>
            </w:r>
            <w:r>
              <w:rPr>
                <w:rFonts w:hint="eastAsia" w:ascii="宋体" w:hAnsi="宋体"/>
                <w:sz w:val="24"/>
                <w:szCs w:val="24"/>
                <w:lang w:val="en-US" w:eastAsia="zh-CN"/>
              </w:rPr>
              <w:t>位列第10位</w:t>
            </w:r>
            <w:r>
              <w:rPr>
                <w:rFonts w:ascii="宋体" w:hAnsi="宋体"/>
                <w:sz w:val="24"/>
                <w:szCs w:val="24"/>
              </w:rPr>
              <w:t>，是中国最具价值的轮胎品牌；公司品牌价值位居世界品牌实验室发布的</w:t>
            </w:r>
            <w:r>
              <w:rPr>
                <w:rFonts w:hint="eastAsia" w:ascii="宋体" w:hAnsi="宋体"/>
                <w:sz w:val="24"/>
                <w:szCs w:val="24"/>
              </w:rPr>
              <w:t>2025年“中国500最具价值品牌”第105位，品牌价值连续八年持续</w:t>
            </w:r>
            <w:r>
              <w:rPr>
                <w:rFonts w:hint="eastAsia" w:ascii="宋体" w:hAnsi="宋体"/>
                <w:sz w:val="24"/>
                <w:szCs w:val="24"/>
                <w:lang w:val="en-US" w:eastAsia="zh-CN"/>
              </w:rPr>
              <w:t>提升</w:t>
            </w:r>
            <w:r>
              <w:rPr>
                <w:rFonts w:hint="eastAsia" w:ascii="宋体" w:hAnsi="宋体"/>
                <w:sz w:val="24"/>
                <w:szCs w:val="24"/>
                <w:lang w:eastAsia="zh-CN"/>
              </w:rPr>
              <w:t>。</w:t>
            </w:r>
          </w:p>
          <w:p>
            <w:pPr>
              <w:pStyle w:val="13"/>
              <w:spacing w:line="460" w:lineRule="exact"/>
              <w:ind w:left="-2" w:leftChars="-1" w:firstLine="482"/>
              <w:rPr>
                <w:rFonts w:ascii="宋体" w:hAnsi="宋体"/>
                <w:b/>
                <w:bCs/>
                <w:sz w:val="24"/>
                <w:szCs w:val="24"/>
              </w:rPr>
            </w:pPr>
            <w:r>
              <w:rPr>
                <w:rFonts w:hint="eastAsia" w:ascii="宋体" w:hAnsi="宋体"/>
                <w:b/>
                <w:bCs/>
                <w:sz w:val="24"/>
                <w:szCs w:val="24"/>
              </w:rPr>
              <w:t>4、公司非公路业务开展的如何？</w:t>
            </w:r>
          </w:p>
          <w:p>
            <w:pPr>
              <w:pStyle w:val="13"/>
              <w:spacing w:line="460" w:lineRule="exact"/>
              <w:ind w:left="-2" w:leftChars="-1" w:firstLine="480"/>
              <w:rPr>
                <w:rFonts w:ascii="宋体" w:hAnsi="宋体"/>
                <w:sz w:val="24"/>
                <w:szCs w:val="24"/>
              </w:rPr>
            </w:pPr>
            <w:r>
              <w:rPr>
                <w:rFonts w:ascii="宋体" w:hAnsi="宋体"/>
                <w:sz w:val="24"/>
                <w:szCs w:val="24"/>
              </w:rPr>
              <w:t>答:公司非公路轮胎产品经过长期的市场验证，得到市场的广泛认可。目前已成功配套</w:t>
            </w:r>
            <w:r>
              <w:rPr>
                <w:rFonts w:hint="eastAsia" w:ascii="宋体" w:hAnsi="宋体"/>
                <w:sz w:val="24"/>
                <w:szCs w:val="24"/>
              </w:rPr>
              <w:t>卡特彼勒、约翰迪尔、凯斯纽荷兰、英国JCB、爱科、道依茨法尔、</w:t>
            </w:r>
            <w:r>
              <w:rPr>
                <w:rFonts w:hint="eastAsia" w:ascii="宋体" w:hAnsi="宋体"/>
                <w:sz w:val="24"/>
                <w:szCs w:val="24"/>
                <w:lang w:val="en-US" w:eastAsia="zh-CN"/>
              </w:rPr>
              <w:t>小松、</w:t>
            </w:r>
            <w:r>
              <w:rPr>
                <w:rFonts w:hint="eastAsia" w:ascii="宋体" w:hAnsi="宋体"/>
                <w:sz w:val="24"/>
                <w:szCs w:val="24"/>
              </w:rPr>
              <w:t>徐工集团、柳工集团、北方重工、三一重工、同力重工、山东临工、潍柴雷沃、</w:t>
            </w:r>
            <w:r>
              <w:rPr>
                <w:rFonts w:hint="eastAsia" w:ascii="宋体" w:hAnsi="宋体"/>
                <w:sz w:val="24"/>
                <w:szCs w:val="24"/>
                <w:lang w:val="en-US" w:eastAsia="zh-CN"/>
              </w:rPr>
              <w:t>中联重科、</w:t>
            </w:r>
            <w:r>
              <w:rPr>
                <w:rFonts w:hint="eastAsia" w:ascii="宋体" w:hAnsi="宋体"/>
                <w:sz w:val="24"/>
                <w:szCs w:val="24"/>
              </w:rPr>
              <w:t>中国一拖</w:t>
            </w:r>
            <w:r>
              <w:rPr>
                <w:rFonts w:ascii="宋体" w:hAnsi="宋体"/>
                <w:sz w:val="24"/>
                <w:szCs w:val="24"/>
              </w:rPr>
              <w:t>等国内外知名企业。</w:t>
            </w:r>
            <w:r>
              <w:rPr>
                <w:rFonts w:hint="eastAsia" w:ascii="宋体" w:hAnsi="宋体"/>
                <w:sz w:val="24"/>
                <w:szCs w:val="24"/>
                <w:lang w:val="en-US" w:eastAsia="zh-CN"/>
              </w:rPr>
              <w:t>今年以来，</w:t>
            </w:r>
            <w:r>
              <w:rPr>
                <w:rFonts w:ascii="宋体" w:hAnsi="宋体"/>
                <w:sz w:val="24"/>
                <w:szCs w:val="24"/>
              </w:rPr>
              <w:t>公司</w:t>
            </w:r>
            <w:r>
              <w:rPr>
                <w:rFonts w:hint="eastAsia" w:ascii="宋体" w:hAnsi="宋体"/>
                <w:sz w:val="24"/>
                <w:szCs w:val="24"/>
                <w:lang w:val="en-US" w:eastAsia="zh-CN"/>
              </w:rPr>
              <w:t>不断推进</w:t>
            </w:r>
            <w:r>
              <w:rPr>
                <w:rFonts w:ascii="宋体" w:hAnsi="宋体"/>
                <w:sz w:val="24"/>
                <w:szCs w:val="24"/>
              </w:rPr>
              <w:t>非公路轮胎</w:t>
            </w:r>
            <w:r>
              <w:rPr>
                <w:rFonts w:hint="eastAsia" w:ascii="宋体" w:hAnsi="宋体"/>
                <w:sz w:val="24"/>
                <w:szCs w:val="24"/>
                <w:lang w:val="en-US" w:eastAsia="zh-CN"/>
              </w:rPr>
              <w:t>业务的</w:t>
            </w:r>
            <w:r>
              <w:rPr>
                <w:rFonts w:ascii="宋体" w:hAnsi="宋体"/>
                <w:sz w:val="24"/>
                <w:szCs w:val="24"/>
              </w:rPr>
              <w:t>拓展，与全球头部矿企力拓集团签订了几内亚西芒杜项目2025-2030五年供应协议暨全球框架协议</w:t>
            </w:r>
            <w:r>
              <w:rPr>
                <w:rFonts w:hint="eastAsia" w:ascii="宋体" w:hAnsi="宋体"/>
                <w:sz w:val="24"/>
                <w:szCs w:val="24"/>
              </w:rPr>
              <w:t>，</w:t>
            </w:r>
            <w:r>
              <w:rPr>
                <w:rFonts w:hint="eastAsia" w:ascii="宋体" w:hAnsi="宋体"/>
                <w:sz w:val="24"/>
                <w:szCs w:val="24"/>
                <w:lang w:val="en-US" w:eastAsia="zh-CN"/>
              </w:rPr>
              <w:t>还</w:t>
            </w:r>
            <w:r>
              <w:rPr>
                <w:rFonts w:hint="eastAsia" w:ascii="宋体" w:hAnsi="宋体"/>
                <w:sz w:val="24"/>
                <w:szCs w:val="24"/>
              </w:rPr>
              <w:t>与全球领先的矿业企业广晟矿业集团下属泛奥公司签订了老挝普巴矿业的巨型工程子午线轮胎年度长协。</w:t>
            </w:r>
            <w:r>
              <w:rPr>
                <w:rFonts w:hint="eastAsia" w:ascii="宋体" w:hAnsi="宋体" w:cs="宋体"/>
                <w:sz w:val="24"/>
                <w:szCs w:val="24"/>
              </w:rPr>
              <w:t>未来，公司将凭借优异的产品性能及良好的服务持续推进与相关企业的合作</w:t>
            </w:r>
            <w:r>
              <w:rPr>
                <w:rFonts w:hint="eastAsia" w:ascii="宋体" w:hAnsi="宋体" w:cs="宋体"/>
                <w:sz w:val="24"/>
                <w:szCs w:val="24"/>
                <w:lang w:eastAsia="zh-CN"/>
              </w:rPr>
              <w:t>，</w:t>
            </w:r>
            <w:r>
              <w:rPr>
                <w:rFonts w:hint="eastAsia" w:ascii="宋体" w:hAnsi="宋体" w:cs="宋体"/>
                <w:sz w:val="24"/>
                <w:szCs w:val="24"/>
                <w:lang w:val="en-US" w:eastAsia="zh-CN"/>
              </w:rPr>
              <w:t>不断提升公司竞争力</w:t>
            </w:r>
            <w:r>
              <w:rPr>
                <w:rFonts w:hint="eastAsia" w:ascii="宋体" w:hAnsi="宋体" w:cs="宋体"/>
                <w:sz w:val="24"/>
                <w:szCs w:val="24"/>
              </w:rPr>
              <w:t>。</w:t>
            </w:r>
          </w:p>
          <w:p>
            <w:pPr>
              <w:pStyle w:val="13"/>
              <w:spacing w:line="460" w:lineRule="exact"/>
              <w:ind w:left="-2" w:leftChars="-1" w:firstLine="482"/>
              <w:rPr>
                <w:rFonts w:ascii="宋体" w:hAnsi="宋体"/>
                <w:b/>
                <w:bCs/>
                <w:sz w:val="24"/>
                <w:szCs w:val="24"/>
              </w:rPr>
            </w:pPr>
            <w:r>
              <w:rPr>
                <w:rFonts w:hint="eastAsia" w:ascii="宋体" w:hAnsi="宋体"/>
                <w:b/>
                <w:bCs/>
                <w:sz w:val="24"/>
                <w:szCs w:val="24"/>
              </w:rPr>
              <w:t>5、公司</w:t>
            </w:r>
            <w:r>
              <w:rPr>
                <w:rFonts w:hint="eastAsia" w:ascii="宋体" w:hAnsi="宋体"/>
                <w:b/>
                <w:bCs/>
                <w:sz w:val="24"/>
                <w:szCs w:val="24"/>
                <w:lang w:val="en-US" w:eastAsia="zh-CN"/>
              </w:rPr>
              <w:t>6月28日推出了</w:t>
            </w:r>
            <w:r>
              <w:rPr>
                <w:rFonts w:hint="eastAsia" w:ascii="宋体" w:hAnsi="宋体"/>
                <w:b/>
                <w:bCs/>
                <w:sz w:val="24"/>
                <w:szCs w:val="24"/>
              </w:rPr>
              <w:t>液体黄金彩边胎</w:t>
            </w:r>
            <w:r>
              <w:rPr>
                <w:rFonts w:hint="eastAsia" w:ascii="宋体" w:hAnsi="宋体"/>
                <w:b/>
                <w:bCs/>
                <w:sz w:val="24"/>
                <w:szCs w:val="24"/>
                <w:lang w:eastAsia="zh-CN"/>
              </w:rPr>
              <w:t>，</w:t>
            </w:r>
            <w:r>
              <w:rPr>
                <w:rFonts w:hint="eastAsia" w:ascii="宋体" w:hAnsi="宋体"/>
                <w:b/>
                <w:bCs/>
                <w:sz w:val="24"/>
                <w:szCs w:val="24"/>
                <w:lang w:val="en-US" w:eastAsia="zh-CN"/>
              </w:rPr>
              <w:t>有哪些</w:t>
            </w:r>
            <w:r>
              <w:rPr>
                <w:rFonts w:hint="eastAsia" w:ascii="宋体" w:hAnsi="宋体"/>
                <w:b/>
                <w:bCs/>
                <w:sz w:val="24"/>
                <w:szCs w:val="24"/>
              </w:rPr>
              <w:t>技术优势？</w:t>
            </w:r>
          </w:p>
          <w:p>
            <w:pPr>
              <w:pStyle w:val="13"/>
              <w:keepNext w:val="0"/>
              <w:keepLines w:val="0"/>
              <w:widowControl/>
              <w:suppressLineNumbers w:val="0"/>
              <w:spacing w:line="460" w:lineRule="exact"/>
              <w:ind w:left="-2" w:leftChars="-1" w:firstLine="482"/>
              <w:jc w:val="left"/>
              <w:rPr>
                <w:rFonts w:ascii="宋体" w:hAnsi="宋体"/>
                <w:b w:val="0"/>
                <w:bCs w:val="0"/>
                <w:sz w:val="24"/>
                <w:szCs w:val="24"/>
              </w:rPr>
            </w:pPr>
            <w:r>
              <w:rPr>
                <w:rFonts w:ascii="宋体" w:hAnsi="宋体"/>
                <w:b w:val="0"/>
                <w:bCs w:val="0"/>
                <w:sz w:val="24"/>
                <w:szCs w:val="24"/>
              </w:rPr>
              <w:t>答:</w:t>
            </w:r>
            <w:r>
              <w:rPr>
                <w:rFonts w:hint="default" w:ascii="宋体" w:hAnsi="宋体"/>
                <w:b w:val="0"/>
                <w:bCs w:val="0"/>
                <w:sz w:val="24"/>
                <w:szCs w:val="24"/>
                <w:lang w:val="en-US" w:eastAsia="zh-CN"/>
              </w:rPr>
              <w:t>公司推出的</w:t>
            </w:r>
            <w:r>
              <w:rPr>
                <w:rFonts w:ascii="宋体" w:hAnsi="宋体" w:eastAsia="宋体" w:cs="Times New Roman"/>
                <w:b w:val="0"/>
                <w:bCs w:val="0"/>
                <w:kern w:val="2"/>
                <w:sz w:val="24"/>
                <w:szCs w:val="24"/>
                <w:lang w:val="en-US" w:eastAsia="zh-CN" w:bidi="ar-SA"/>
              </w:rPr>
              <w:t>液体黄金轮胎时尚</w:t>
            </w:r>
            <w:r>
              <w:rPr>
                <w:rFonts w:hint="eastAsia" w:ascii="宋体" w:hAnsi="宋体" w:cs="Times New Roman"/>
                <w:b w:val="0"/>
                <w:bCs w:val="0"/>
                <w:kern w:val="2"/>
                <w:sz w:val="24"/>
                <w:szCs w:val="24"/>
                <w:lang w:val="en-US" w:eastAsia="zh-CN" w:bidi="ar-SA"/>
              </w:rPr>
              <w:t>系列产品</w:t>
            </w:r>
            <w:r>
              <w:rPr>
                <w:rFonts w:ascii="宋体" w:hAnsi="宋体" w:eastAsia="宋体" w:cs="Times New Roman"/>
                <w:b w:val="0"/>
                <w:bCs w:val="0"/>
                <w:kern w:val="2"/>
                <w:sz w:val="24"/>
                <w:szCs w:val="24"/>
                <w:lang w:val="en-US" w:eastAsia="zh-CN" w:bidi="ar-SA"/>
              </w:rPr>
              <w:t>不仅拥有绚丽多彩的外观，更延续了液体黄金轮胎在性能上的硬核实力，更节能、更安全、更耐磨，除了液体黄金技术，时尚系列还搭载了多项赛轮独家的“黑科技”：采用ARMOR SEAL自密封胶技术，能在轮胎被扎的瞬间自动包裹刺扎物，牢牢锁住漏气点；赛轮SILENT TREAD专利静音绵，最高可以把空腔噪音降低9分贝，营造更为静谧舒适的驾乘体验。此外，液体黄金轮胎时尚系列还搭载了RFID芯片，相当于为每条轮胎配备“电子身份证”，注入了“智慧基因”。</w:t>
            </w:r>
            <w:r>
              <w:rPr>
                <w:rFonts w:ascii="宋体" w:hAnsi="宋体"/>
                <w:b w:val="0"/>
                <w:bCs w:val="0"/>
                <w:sz w:val="24"/>
                <w:szCs w:val="24"/>
              </w:rPr>
              <w:t>未来，</w:t>
            </w:r>
            <w:r>
              <w:rPr>
                <w:rFonts w:hint="default" w:ascii="宋体" w:hAnsi="宋体"/>
                <w:b w:val="0"/>
                <w:bCs w:val="0"/>
                <w:sz w:val="24"/>
                <w:szCs w:val="24"/>
              </w:rPr>
              <w:t>公司</w:t>
            </w:r>
            <w:r>
              <w:rPr>
                <w:rFonts w:ascii="宋体" w:hAnsi="宋体"/>
                <w:b w:val="0"/>
                <w:bCs w:val="0"/>
                <w:sz w:val="24"/>
                <w:szCs w:val="24"/>
              </w:rPr>
              <w:t>将坚守长期主义，坚持科技创新，秉承“做一条好轮胎”的使命，为用户创造更加美好的出行体验！</w:t>
            </w:r>
          </w:p>
          <w:p>
            <w:pPr>
              <w:pStyle w:val="13"/>
              <w:spacing w:line="460" w:lineRule="exact"/>
              <w:ind w:left="-2" w:leftChars="-1" w:firstLine="482"/>
              <w:rPr>
                <w:rFonts w:ascii="宋体" w:hAnsi="宋体"/>
                <w:b/>
                <w:bCs/>
                <w:sz w:val="24"/>
                <w:szCs w:val="24"/>
              </w:rPr>
            </w:pPr>
            <w:r>
              <w:rPr>
                <w:rFonts w:hint="eastAsia" w:ascii="宋体" w:hAnsi="宋体"/>
                <w:b/>
                <w:bCs/>
                <w:sz w:val="24"/>
                <w:szCs w:val="24"/>
              </w:rPr>
              <w:t>6、欧盟对中国出口的半钢胎双反调查对公司的影响？</w:t>
            </w:r>
          </w:p>
          <w:p>
            <w:pPr>
              <w:pStyle w:val="13"/>
              <w:spacing w:line="460" w:lineRule="exact"/>
              <w:ind w:left="-2" w:leftChars="-1" w:firstLine="480"/>
              <w:rPr>
                <w:rFonts w:hint="default" w:ascii="宋体" w:hAnsi="宋体" w:eastAsia="宋体"/>
                <w:sz w:val="24"/>
                <w:szCs w:val="24"/>
                <w:lang w:val="en-US" w:eastAsia="zh-CN"/>
              </w:rPr>
            </w:pPr>
            <w:r>
              <w:rPr>
                <w:rFonts w:ascii="宋体" w:hAnsi="宋体"/>
                <w:sz w:val="24"/>
                <w:szCs w:val="24"/>
              </w:rPr>
              <w:t>答:</w:t>
            </w:r>
            <w:r>
              <w:rPr>
                <w:rFonts w:hint="eastAsia" w:ascii="宋体" w:hAnsi="宋体"/>
                <w:sz w:val="24"/>
                <w:szCs w:val="24"/>
              </w:rPr>
              <w:t>公司</w:t>
            </w:r>
            <w:r>
              <w:rPr>
                <w:rFonts w:ascii="宋体" w:hAnsi="宋体" w:cs="Times New Roman"/>
                <w:sz w:val="24"/>
                <w:szCs w:val="24"/>
                <w:shd w:val="clear" w:color="auto" w:fill="auto"/>
              </w:rPr>
              <w:t>目前主要通过</w:t>
            </w:r>
            <w:r>
              <w:rPr>
                <w:rFonts w:hint="eastAsia" w:ascii="宋体" w:hAnsi="宋体" w:cs="Times New Roman"/>
                <w:sz w:val="24"/>
                <w:szCs w:val="24"/>
                <w:shd w:val="clear" w:color="auto" w:fill="auto"/>
                <w:lang w:val="en-US" w:eastAsia="zh-CN"/>
              </w:rPr>
              <w:t>海外的生产</w:t>
            </w:r>
            <w:r>
              <w:rPr>
                <w:rFonts w:ascii="宋体" w:hAnsi="宋体" w:cs="Times New Roman"/>
                <w:sz w:val="24"/>
                <w:szCs w:val="24"/>
                <w:shd w:val="clear" w:color="auto" w:fill="auto"/>
              </w:rPr>
              <w:t>基地出口</w:t>
            </w:r>
            <w:r>
              <w:rPr>
                <w:rFonts w:hint="eastAsia" w:ascii="宋体" w:hAnsi="宋体" w:cs="Times New Roman"/>
                <w:sz w:val="24"/>
                <w:szCs w:val="24"/>
                <w:shd w:val="clear" w:color="auto" w:fill="auto"/>
                <w:lang w:val="en-US" w:eastAsia="zh-CN"/>
              </w:rPr>
              <w:t>半钢胎到</w:t>
            </w:r>
            <w:r>
              <w:rPr>
                <w:rFonts w:ascii="宋体" w:hAnsi="宋体" w:cs="Times New Roman"/>
                <w:sz w:val="24"/>
                <w:szCs w:val="24"/>
                <w:shd w:val="clear" w:color="auto" w:fill="auto"/>
              </w:rPr>
              <w:t>欧盟市场</w:t>
            </w:r>
            <w:r>
              <w:rPr>
                <w:rFonts w:hint="eastAsia" w:ascii="宋体" w:hAnsi="宋体"/>
                <w:sz w:val="24"/>
                <w:szCs w:val="24"/>
              </w:rPr>
              <w:t>。</w:t>
            </w:r>
            <w:r>
              <w:rPr>
                <w:rFonts w:hint="eastAsia" w:ascii="宋体" w:hAnsi="宋体"/>
                <w:sz w:val="24"/>
                <w:szCs w:val="24"/>
                <w:lang w:val="en-US" w:eastAsia="zh-CN"/>
              </w:rPr>
              <w:t>若欧盟后期对中国生产的半钢胎采取贸易保护措施，则公司可以凭借已在海外多个国家建立生产基地的优势调整欧盟产品定单的具体生产工厂。</w:t>
            </w:r>
          </w:p>
          <w:p>
            <w:pPr>
              <w:pStyle w:val="13"/>
              <w:spacing w:line="460" w:lineRule="exact"/>
              <w:ind w:left="-2" w:leftChars="-1" w:firstLine="482"/>
              <w:rPr>
                <w:rFonts w:hint="eastAsia" w:ascii="宋体" w:hAnsi="宋体"/>
                <w:b/>
                <w:bCs/>
                <w:sz w:val="24"/>
                <w:szCs w:val="24"/>
              </w:rPr>
            </w:pPr>
            <w:r>
              <w:rPr>
                <w:rFonts w:hint="default" w:ascii="宋体" w:hAnsi="宋体"/>
                <w:b/>
                <w:bCs/>
                <w:sz w:val="24"/>
                <w:szCs w:val="24"/>
              </w:rPr>
              <w:t>7、最近泰柬冲突，对公司生产是否有影响？</w:t>
            </w:r>
          </w:p>
          <w:p>
            <w:pPr>
              <w:pStyle w:val="13"/>
              <w:spacing w:line="460" w:lineRule="exact"/>
              <w:ind w:left="-2" w:leftChars="-1"/>
              <w:rPr>
                <w:rFonts w:ascii="宋体" w:hAnsi="宋体"/>
                <w:sz w:val="24"/>
                <w:szCs w:val="24"/>
              </w:rPr>
            </w:pPr>
            <w:r>
              <w:rPr>
                <w:rFonts w:ascii="宋体" w:hAnsi="宋体"/>
                <w:sz w:val="24"/>
                <w:szCs w:val="24"/>
              </w:rPr>
              <w:t>答:截至目前，公司位于越南和柬埔寨的生产工厂生产经营正常。公司将密切关注国际形势变化，并与供应商及客户保持积极沟通，以尽量减少国际形势变动对公司的负面影响。</w:t>
            </w:r>
          </w:p>
          <w:p>
            <w:pPr>
              <w:pStyle w:val="13"/>
              <w:spacing w:line="460" w:lineRule="exact"/>
              <w:ind w:left="-2" w:leftChars="-1" w:firstLine="482"/>
              <w:rPr>
                <w:rFonts w:ascii="宋体" w:hAnsi="宋体"/>
                <w:b/>
                <w:bCs/>
                <w:sz w:val="24"/>
                <w:szCs w:val="24"/>
              </w:rPr>
            </w:pPr>
            <w:r>
              <w:rPr>
                <w:rFonts w:hint="eastAsia" w:ascii="宋体" w:hAnsi="宋体"/>
                <w:b/>
                <w:bCs/>
                <w:sz w:val="24"/>
                <w:szCs w:val="24"/>
              </w:rPr>
              <w:t>8</w:t>
            </w:r>
            <w:r>
              <w:rPr>
                <w:rFonts w:ascii="宋体" w:hAnsi="宋体"/>
                <w:b/>
                <w:bCs/>
                <w:sz w:val="24"/>
                <w:szCs w:val="24"/>
              </w:rPr>
              <w:t>、</w:t>
            </w:r>
            <w:r>
              <w:rPr>
                <w:rFonts w:hint="eastAsia" w:ascii="宋体" w:hAnsi="宋体"/>
                <w:b/>
                <w:bCs/>
                <w:sz w:val="24"/>
                <w:szCs w:val="24"/>
              </w:rPr>
              <w:t>公司实控人的增持进展</w:t>
            </w:r>
            <w:r>
              <w:rPr>
                <w:rFonts w:ascii="宋体" w:hAnsi="宋体"/>
                <w:b/>
                <w:bCs/>
                <w:sz w:val="24"/>
                <w:szCs w:val="24"/>
              </w:rPr>
              <w:t>？</w:t>
            </w:r>
          </w:p>
          <w:p>
            <w:pPr>
              <w:pStyle w:val="13"/>
              <w:spacing w:line="460" w:lineRule="exact"/>
              <w:ind w:left="-2" w:leftChars="-1" w:firstLine="480"/>
              <w:rPr>
                <w:rFonts w:ascii="宋体" w:hAnsi="宋体"/>
                <w:sz w:val="24"/>
                <w:szCs w:val="24"/>
              </w:rPr>
            </w:pPr>
            <w:r>
              <w:rPr>
                <w:rFonts w:ascii="宋体" w:hAnsi="宋体"/>
                <w:sz w:val="24"/>
                <w:szCs w:val="24"/>
              </w:rPr>
              <w:t>答：公司于2025年6月21日披露了《详式权益变动报告书》，</w:t>
            </w:r>
            <w:r>
              <w:rPr>
                <w:rFonts w:hint="eastAsia" w:ascii="宋体" w:hAnsi="宋体"/>
                <w:sz w:val="24"/>
                <w:szCs w:val="24"/>
              </w:rPr>
              <w:t>实控人控制的</w:t>
            </w:r>
            <w:r>
              <w:rPr>
                <w:rFonts w:ascii="宋体" w:hAnsi="宋体"/>
                <w:sz w:val="24"/>
                <w:szCs w:val="24"/>
              </w:rPr>
              <w:t>瑞元鼎实投资有限公司已增持约1%公司股份，后续公司将根据《上海证券交易所股票上市规则》等相关规定，持续关注增持的进展情况，</w:t>
            </w:r>
            <w:r>
              <w:rPr>
                <w:rFonts w:hint="eastAsia" w:ascii="宋体" w:hAnsi="宋体"/>
                <w:sz w:val="24"/>
                <w:szCs w:val="24"/>
                <w:lang w:val="en-US" w:eastAsia="zh-CN"/>
              </w:rPr>
              <w:t>并</w:t>
            </w:r>
            <w:r>
              <w:rPr>
                <w:rFonts w:ascii="宋体" w:hAnsi="宋体"/>
                <w:sz w:val="24"/>
                <w:szCs w:val="24"/>
              </w:rPr>
              <w:t>提醒</w:t>
            </w:r>
            <w:r>
              <w:rPr>
                <w:rFonts w:hint="eastAsia" w:ascii="宋体" w:hAnsi="宋体"/>
                <w:sz w:val="24"/>
                <w:szCs w:val="24"/>
              </w:rPr>
              <w:t>实控人</w:t>
            </w:r>
            <w:r>
              <w:rPr>
                <w:rFonts w:ascii="宋体" w:hAnsi="宋体"/>
                <w:sz w:val="24"/>
                <w:szCs w:val="24"/>
              </w:rPr>
              <w:t>按监管要求履行信息告知义务。</w:t>
            </w:r>
          </w:p>
          <w:p>
            <w:pPr>
              <w:pStyle w:val="13"/>
              <w:spacing w:line="460" w:lineRule="exact"/>
              <w:ind w:left="-2" w:leftChars="-1"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firstLine="0" w:firstLineChars="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rFonts w:hint="eastAsia"/>
                <w:bCs/>
                <w:iCs/>
                <w:color w:val="000000"/>
                <w:sz w:val="24"/>
              </w:rPr>
              <w:t>无</w:t>
            </w:r>
          </w:p>
        </w:tc>
      </w:tr>
    </w:tbl>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30EE"/>
    <w:rsid w:val="002549E6"/>
    <w:rsid w:val="00256602"/>
    <w:rsid w:val="00271C8D"/>
    <w:rsid w:val="00273B53"/>
    <w:rsid w:val="0028080C"/>
    <w:rsid w:val="00295257"/>
    <w:rsid w:val="00297703"/>
    <w:rsid w:val="002A0826"/>
    <w:rsid w:val="002A0984"/>
    <w:rsid w:val="002A589B"/>
    <w:rsid w:val="002A5CE1"/>
    <w:rsid w:val="002B1184"/>
    <w:rsid w:val="002B71B8"/>
    <w:rsid w:val="002B7469"/>
    <w:rsid w:val="002C22C6"/>
    <w:rsid w:val="002C23FC"/>
    <w:rsid w:val="002C6568"/>
    <w:rsid w:val="002C723B"/>
    <w:rsid w:val="002D2151"/>
    <w:rsid w:val="002D39BC"/>
    <w:rsid w:val="002D5E38"/>
    <w:rsid w:val="002E1B15"/>
    <w:rsid w:val="002E1D3A"/>
    <w:rsid w:val="003005F0"/>
    <w:rsid w:val="00300E73"/>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61C7"/>
    <w:rsid w:val="00686DDF"/>
    <w:rsid w:val="00697B12"/>
    <w:rsid w:val="006A55BB"/>
    <w:rsid w:val="006A7613"/>
    <w:rsid w:val="006B661A"/>
    <w:rsid w:val="006B7D00"/>
    <w:rsid w:val="006B7EA0"/>
    <w:rsid w:val="006C6BC5"/>
    <w:rsid w:val="006D61A2"/>
    <w:rsid w:val="006E1DB4"/>
    <w:rsid w:val="00714059"/>
    <w:rsid w:val="00716833"/>
    <w:rsid w:val="00726DC9"/>
    <w:rsid w:val="00753DB6"/>
    <w:rsid w:val="00763847"/>
    <w:rsid w:val="00771FE3"/>
    <w:rsid w:val="00776BDE"/>
    <w:rsid w:val="007816EC"/>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659D1"/>
    <w:rsid w:val="00DA26A9"/>
    <w:rsid w:val="00DB01FF"/>
    <w:rsid w:val="00DC7778"/>
    <w:rsid w:val="00DE7391"/>
    <w:rsid w:val="00DF2DB5"/>
    <w:rsid w:val="00DF361E"/>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7743"/>
    <w:rsid w:val="00FA64EF"/>
    <w:rsid w:val="00FA6DAF"/>
    <w:rsid w:val="00FC6884"/>
    <w:rsid w:val="00FE62F3"/>
    <w:rsid w:val="00FF71D2"/>
    <w:rsid w:val="014E47A4"/>
    <w:rsid w:val="02F43955"/>
    <w:rsid w:val="03872335"/>
    <w:rsid w:val="04CD4E0D"/>
    <w:rsid w:val="04E5152E"/>
    <w:rsid w:val="053F335C"/>
    <w:rsid w:val="05F30D52"/>
    <w:rsid w:val="07E84685"/>
    <w:rsid w:val="07F43921"/>
    <w:rsid w:val="0837350B"/>
    <w:rsid w:val="08582CB3"/>
    <w:rsid w:val="08964C8B"/>
    <w:rsid w:val="08E5231F"/>
    <w:rsid w:val="090360D7"/>
    <w:rsid w:val="093D3C5E"/>
    <w:rsid w:val="099B29F9"/>
    <w:rsid w:val="0A63192C"/>
    <w:rsid w:val="0C493B9B"/>
    <w:rsid w:val="0C93758E"/>
    <w:rsid w:val="0D4D0B5F"/>
    <w:rsid w:val="0D4D2354"/>
    <w:rsid w:val="0DC47F11"/>
    <w:rsid w:val="0E1D5BD4"/>
    <w:rsid w:val="0E207A31"/>
    <w:rsid w:val="10A61842"/>
    <w:rsid w:val="110F4875"/>
    <w:rsid w:val="12DF0C65"/>
    <w:rsid w:val="13313537"/>
    <w:rsid w:val="13706BF0"/>
    <w:rsid w:val="13C4450D"/>
    <w:rsid w:val="141B6967"/>
    <w:rsid w:val="147565DF"/>
    <w:rsid w:val="14E70151"/>
    <w:rsid w:val="16975FB0"/>
    <w:rsid w:val="17B3729E"/>
    <w:rsid w:val="17E96DCA"/>
    <w:rsid w:val="180F7009"/>
    <w:rsid w:val="18D93A98"/>
    <w:rsid w:val="19277BC7"/>
    <w:rsid w:val="19E37083"/>
    <w:rsid w:val="1A442861"/>
    <w:rsid w:val="1A816DFF"/>
    <w:rsid w:val="1B1D2492"/>
    <w:rsid w:val="1B2418A5"/>
    <w:rsid w:val="1B263D19"/>
    <w:rsid w:val="1E1A6F96"/>
    <w:rsid w:val="1FBFC074"/>
    <w:rsid w:val="204B02F6"/>
    <w:rsid w:val="2052439D"/>
    <w:rsid w:val="22B65ABC"/>
    <w:rsid w:val="241C2252"/>
    <w:rsid w:val="244A38CE"/>
    <w:rsid w:val="24E80350"/>
    <w:rsid w:val="25AC38D5"/>
    <w:rsid w:val="261D2E7F"/>
    <w:rsid w:val="26492CDC"/>
    <w:rsid w:val="26C339D5"/>
    <w:rsid w:val="27486743"/>
    <w:rsid w:val="27E94D39"/>
    <w:rsid w:val="27FC492A"/>
    <w:rsid w:val="28B03A1C"/>
    <w:rsid w:val="29167E25"/>
    <w:rsid w:val="293272A7"/>
    <w:rsid w:val="29A71DB7"/>
    <w:rsid w:val="29AC03B5"/>
    <w:rsid w:val="29FA2D3E"/>
    <w:rsid w:val="2A9422A9"/>
    <w:rsid w:val="2B620922"/>
    <w:rsid w:val="2B734E9D"/>
    <w:rsid w:val="2BA7533C"/>
    <w:rsid w:val="2C177530"/>
    <w:rsid w:val="2C253D8E"/>
    <w:rsid w:val="2CF14F20"/>
    <w:rsid w:val="2E256BC7"/>
    <w:rsid w:val="2E592F1A"/>
    <w:rsid w:val="2EF06807"/>
    <w:rsid w:val="2F3A1C8E"/>
    <w:rsid w:val="2F8A1FFE"/>
    <w:rsid w:val="2FF91C3F"/>
    <w:rsid w:val="31B85A3E"/>
    <w:rsid w:val="31F54A45"/>
    <w:rsid w:val="31FD161E"/>
    <w:rsid w:val="327645E7"/>
    <w:rsid w:val="32CC663E"/>
    <w:rsid w:val="33645CC3"/>
    <w:rsid w:val="3488335F"/>
    <w:rsid w:val="349E052A"/>
    <w:rsid w:val="34FD33C1"/>
    <w:rsid w:val="359B46F3"/>
    <w:rsid w:val="35B61405"/>
    <w:rsid w:val="35DC7F6D"/>
    <w:rsid w:val="36160449"/>
    <w:rsid w:val="36FB9E1F"/>
    <w:rsid w:val="3741073C"/>
    <w:rsid w:val="381D5949"/>
    <w:rsid w:val="38DA69D3"/>
    <w:rsid w:val="39590076"/>
    <w:rsid w:val="39C443D2"/>
    <w:rsid w:val="3AE95412"/>
    <w:rsid w:val="3B517531"/>
    <w:rsid w:val="3BFA3B96"/>
    <w:rsid w:val="3CE226B1"/>
    <w:rsid w:val="3CEF3472"/>
    <w:rsid w:val="3D834ACE"/>
    <w:rsid w:val="3EFF16E9"/>
    <w:rsid w:val="3F6825F3"/>
    <w:rsid w:val="3F7D54CC"/>
    <w:rsid w:val="419210A2"/>
    <w:rsid w:val="43FB5176"/>
    <w:rsid w:val="448156A1"/>
    <w:rsid w:val="450A4511"/>
    <w:rsid w:val="46947ED0"/>
    <w:rsid w:val="478712AE"/>
    <w:rsid w:val="490B575C"/>
    <w:rsid w:val="499D4576"/>
    <w:rsid w:val="4AD9315C"/>
    <w:rsid w:val="4B0D7215"/>
    <w:rsid w:val="4B0F5A0D"/>
    <w:rsid w:val="4DE91E71"/>
    <w:rsid w:val="4E2F3499"/>
    <w:rsid w:val="4EBA27E3"/>
    <w:rsid w:val="4F9323C9"/>
    <w:rsid w:val="50E41142"/>
    <w:rsid w:val="515458B0"/>
    <w:rsid w:val="51F4195F"/>
    <w:rsid w:val="53BF706C"/>
    <w:rsid w:val="54994F4D"/>
    <w:rsid w:val="55286314"/>
    <w:rsid w:val="56611B3C"/>
    <w:rsid w:val="56D604B0"/>
    <w:rsid w:val="57AA7B05"/>
    <w:rsid w:val="57E4165B"/>
    <w:rsid w:val="581157B6"/>
    <w:rsid w:val="592C42F5"/>
    <w:rsid w:val="59E542B1"/>
    <w:rsid w:val="5A650D5A"/>
    <w:rsid w:val="5B7E2B2B"/>
    <w:rsid w:val="5CAA57DD"/>
    <w:rsid w:val="5CBC0AC3"/>
    <w:rsid w:val="5CD76845"/>
    <w:rsid w:val="5D350B78"/>
    <w:rsid w:val="5D3A0B7D"/>
    <w:rsid w:val="5D464695"/>
    <w:rsid w:val="5DAE4E34"/>
    <w:rsid w:val="5DD82899"/>
    <w:rsid w:val="5F314559"/>
    <w:rsid w:val="5FE72FC9"/>
    <w:rsid w:val="601257DB"/>
    <w:rsid w:val="60D46992"/>
    <w:rsid w:val="61D01DD2"/>
    <w:rsid w:val="62D83CB7"/>
    <w:rsid w:val="646C3068"/>
    <w:rsid w:val="64BA262A"/>
    <w:rsid w:val="64CC5BCB"/>
    <w:rsid w:val="653A410A"/>
    <w:rsid w:val="657E5B22"/>
    <w:rsid w:val="66AA5270"/>
    <w:rsid w:val="67587146"/>
    <w:rsid w:val="683A2C86"/>
    <w:rsid w:val="68751207"/>
    <w:rsid w:val="68D56618"/>
    <w:rsid w:val="6ADE0725"/>
    <w:rsid w:val="6B527023"/>
    <w:rsid w:val="6B925083"/>
    <w:rsid w:val="6BFA733C"/>
    <w:rsid w:val="6C737CFB"/>
    <w:rsid w:val="6E072310"/>
    <w:rsid w:val="6EA665E1"/>
    <w:rsid w:val="70236471"/>
    <w:rsid w:val="70426DA6"/>
    <w:rsid w:val="70766666"/>
    <w:rsid w:val="71333506"/>
    <w:rsid w:val="718D24AC"/>
    <w:rsid w:val="71905711"/>
    <w:rsid w:val="728B6EC5"/>
    <w:rsid w:val="734E202F"/>
    <w:rsid w:val="7468238A"/>
    <w:rsid w:val="74E03D43"/>
    <w:rsid w:val="755F2B0A"/>
    <w:rsid w:val="75760AE5"/>
    <w:rsid w:val="75F436FE"/>
    <w:rsid w:val="77CF73AC"/>
    <w:rsid w:val="78FF0116"/>
    <w:rsid w:val="79B24925"/>
    <w:rsid w:val="7A3157EF"/>
    <w:rsid w:val="7C656439"/>
    <w:rsid w:val="7D5E7E3F"/>
    <w:rsid w:val="7DD84285"/>
    <w:rsid w:val="7E2471D6"/>
    <w:rsid w:val="7E737D2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1"/>
    <w:semiHidden/>
    <w:unhideWhenUsed/>
    <w:qFormat/>
    <w:uiPriority w:val="0"/>
    <w:rPr>
      <w:b/>
      <w:bCs/>
    </w:rPr>
  </w:style>
  <w:style w:type="character" w:styleId="10">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paragraph" w:customStyle="1" w:styleId="13">
    <w:name w:val="_Style 6"/>
    <w:basedOn w:val="1"/>
    <w:qFormat/>
    <w:uiPriority w:val="34"/>
    <w:pPr>
      <w:ind w:firstLine="420" w:firstLineChars="200"/>
    </w:pPr>
    <w:rPr>
      <w:rFonts w:ascii="Calibri" w:hAnsi="Calibri"/>
      <w:szCs w:val="22"/>
    </w:rPr>
  </w:style>
  <w:style w:type="paragraph" w:customStyle="1" w:styleId="14">
    <w:name w:val="Char Char Char"/>
    <w:basedOn w:val="1"/>
    <w:qFormat/>
    <w:uiPriority w:val="0"/>
    <w:rPr>
      <w:szCs w:val="21"/>
    </w:rPr>
  </w:style>
  <w:style w:type="paragraph" w:customStyle="1" w:styleId="15">
    <w:name w:val="Char Char Char Char Char Char Char Char Char Char Char Char Char Char Char Char"/>
    <w:basedOn w:val="1"/>
    <w:qFormat/>
    <w:uiPriority w:val="0"/>
  </w:style>
  <w:style w:type="paragraph" w:customStyle="1" w:styleId="16">
    <w:name w:val="Char Char Char1"/>
    <w:basedOn w:val="1"/>
    <w:qFormat/>
    <w:uiPriority w:val="0"/>
  </w:style>
  <w:style w:type="character" w:customStyle="1" w:styleId="17">
    <w:name w:val="页脚 字符"/>
    <w:basedOn w:val="9"/>
    <w:link w:val="4"/>
    <w:qFormat/>
    <w:uiPriority w:val="0"/>
    <w:rPr>
      <w:kern w:val="2"/>
      <w:sz w:val="18"/>
      <w:szCs w:val="18"/>
    </w:rPr>
  </w:style>
  <w:style w:type="character" w:customStyle="1" w:styleId="18">
    <w:name w:val="页眉 字符"/>
    <w:basedOn w:val="9"/>
    <w:link w:val="5"/>
    <w:qFormat/>
    <w:uiPriority w:val="0"/>
    <w:rPr>
      <w:kern w:val="2"/>
      <w:sz w:val="18"/>
      <w:szCs w:val="18"/>
    </w:rPr>
  </w:style>
  <w:style w:type="character" w:customStyle="1" w:styleId="19">
    <w:name w:val="批注框文本 字符"/>
    <w:basedOn w:val="9"/>
    <w:link w:val="3"/>
    <w:qFormat/>
    <w:uiPriority w:val="0"/>
    <w:rPr>
      <w:kern w:val="2"/>
      <w:sz w:val="18"/>
      <w:szCs w:val="18"/>
    </w:rPr>
  </w:style>
  <w:style w:type="character" w:customStyle="1" w:styleId="20">
    <w:name w:val="批注文字 字符"/>
    <w:basedOn w:val="9"/>
    <w:link w:val="2"/>
    <w:qFormat/>
    <w:uiPriority w:val="0"/>
    <w:rPr>
      <w:kern w:val="2"/>
      <w:sz w:val="21"/>
      <w:szCs w:val="24"/>
    </w:rPr>
  </w:style>
  <w:style w:type="character" w:customStyle="1" w:styleId="21">
    <w:name w:val="批注主题 字符"/>
    <w:basedOn w:val="20"/>
    <w:link w:val="7"/>
    <w:semiHidden/>
    <w:qFormat/>
    <w:uiPriority w:val="0"/>
    <w:rPr>
      <w:b/>
      <w:bCs/>
      <w:kern w:val="2"/>
      <w:sz w:val="21"/>
      <w:szCs w:val="2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416</Words>
  <Characters>2377</Characters>
  <Lines>19</Lines>
  <Paragraphs>5</Paragraphs>
  <TotalTime>213</TotalTime>
  <ScaleCrop>false</ScaleCrop>
  <LinksUpToDate>false</LinksUpToDate>
  <CharactersWithSpaces>2788</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2025-07-31T07:00:55Z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551BA10BE3E44B739D75810B8C83C31F</vt:lpwstr>
  </property>
</Properties>
</file>