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AD22E">
      <w:pPr>
        <w:autoSpaceDE w:val="0"/>
        <w:autoSpaceDN w:val="0"/>
        <w:spacing w:before="77"/>
        <w:ind w:left="120" w:firstLine="240" w:firstLineChars="100"/>
        <w:rPr>
          <w:rFonts w:ascii="宋体" w:hAnsi="宋体"/>
          <w:sz w:val="24"/>
          <w:lang w:val="zh-CN" w:bidi="zh-CN"/>
        </w:rPr>
      </w:pPr>
      <w:r>
        <w:rPr>
          <w:rFonts w:ascii="宋体" w:hAnsi="宋体"/>
          <w:sz w:val="24"/>
          <w:lang w:val="zh-CN" w:bidi="zh-CN"/>
        </w:rPr>
        <w:t>证券代码</w:t>
      </w:r>
      <w:r>
        <w:rPr>
          <w:rFonts w:hint="eastAsia" w:ascii="宋体" w:hAnsi="宋体"/>
          <w:sz w:val="24"/>
          <w:lang w:val="zh-CN" w:bidi="zh-CN"/>
        </w:rPr>
        <w:t>：</w:t>
      </w:r>
      <w:r>
        <w:rPr>
          <w:rFonts w:ascii="宋体" w:hAnsi="宋体"/>
          <w:sz w:val="24"/>
          <w:lang w:val="zh-CN" w:bidi="zh-CN"/>
        </w:rPr>
        <w:t>60</w:t>
      </w:r>
      <w:r>
        <w:rPr>
          <w:rFonts w:hint="eastAsia" w:ascii="宋体" w:hAnsi="宋体"/>
          <w:sz w:val="24"/>
          <w:lang w:bidi="zh-CN"/>
        </w:rPr>
        <w:t xml:space="preserve">0528                                </w:t>
      </w:r>
      <w:r>
        <w:rPr>
          <w:rFonts w:ascii="宋体" w:hAnsi="宋体"/>
          <w:sz w:val="24"/>
          <w:lang w:val="zh-CN" w:bidi="zh-CN"/>
        </w:rPr>
        <w:t>证券简称：</w:t>
      </w:r>
      <w:r>
        <w:rPr>
          <w:rFonts w:hint="eastAsia" w:ascii="宋体" w:hAnsi="宋体"/>
          <w:sz w:val="24"/>
          <w:lang w:val="zh-CN" w:bidi="zh-CN"/>
        </w:rPr>
        <w:t>中铁工业</w:t>
      </w:r>
      <w:r>
        <w:rPr>
          <w:rFonts w:ascii="宋体" w:hAnsi="宋体"/>
          <w:sz w:val="24"/>
          <w:lang w:val="zh-CN" w:bidi="zh-CN"/>
        </w:rPr>
        <w:t xml:space="preserve"> </w:t>
      </w:r>
    </w:p>
    <w:p w14:paraId="1EAE088D">
      <w:pPr>
        <w:autoSpaceDE w:val="0"/>
        <w:autoSpaceDN w:val="0"/>
        <w:ind w:firstLine="402"/>
        <w:rPr>
          <w:rFonts w:ascii="宋体" w:hAnsi="宋体"/>
          <w:sz w:val="20"/>
          <w:lang w:val="zh-CN" w:bidi="zh-CN"/>
        </w:rPr>
      </w:pPr>
    </w:p>
    <w:p w14:paraId="158ADAE6">
      <w:pPr>
        <w:autoSpaceDE w:val="0"/>
        <w:autoSpaceDN w:val="0"/>
        <w:spacing w:before="7"/>
        <w:ind w:firstLine="341"/>
        <w:rPr>
          <w:rFonts w:ascii="宋体" w:hAnsi="宋体"/>
          <w:sz w:val="17"/>
          <w:lang w:val="zh-CN" w:bidi="zh-CN"/>
        </w:rPr>
      </w:pPr>
    </w:p>
    <w:p w14:paraId="0AFC5C96">
      <w:pPr>
        <w:autoSpaceDE w:val="0"/>
        <w:autoSpaceDN w:val="0"/>
        <w:spacing w:line="429" w:lineRule="exact"/>
        <w:jc w:val="center"/>
        <w:rPr>
          <w:rFonts w:ascii="Microsoft JhengHei" w:hAnsi="宋体" w:eastAsia="Microsoft JhengHei"/>
          <w:b/>
          <w:kern w:val="0"/>
          <w:sz w:val="24"/>
          <w:szCs w:val="22"/>
          <w:lang w:val="zh-CN" w:bidi="zh-CN"/>
        </w:rPr>
      </w:pPr>
      <w:r>
        <w:rPr>
          <w:rFonts w:hint="eastAsia" w:ascii="方正小标宋简体" w:hAnsi="方正小标宋简体" w:eastAsia="方正小标宋简体" w:cs="方正小标宋简体"/>
          <w:bCs/>
          <w:kern w:val="0"/>
          <w:sz w:val="36"/>
          <w:szCs w:val="36"/>
          <w:lang w:val="zh-CN" w:bidi="zh-CN"/>
        </w:rPr>
        <w:t>中铁高新工业股份有限公司投资者关系活动记录表</w:t>
      </w:r>
    </w:p>
    <w:p w14:paraId="0E788E5B">
      <w:pPr>
        <w:autoSpaceDE w:val="0"/>
        <w:autoSpaceDN w:val="0"/>
        <w:spacing w:before="194" w:after="15"/>
        <w:ind w:left="2"/>
        <w:jc w:val="center"/>
        <w:rPr>
          <w:rFonts w:ascii="宋体" w:hAnsi="宋体"/>
          <w:sz w:val="24"/>
          <w:lang w:bidi="zh-CN"/>
        </w:rPr>
      </w:pPr>
      <w:r>
        <w:rPr>
          <w:rFonts w:ascii="宋体" w:hAnsi="宋体"/>
          <w:sz w:val="24"/>
          <w:lang w:val="zh-CN" w:bidi="zh-CN"/>
        </w:rPr>
        <w:t xml:space="preserve">                                                       编号：202</w:t>
      </w:r>
      <w:r>
        <w:rPr>
          <w:rFonts w:hint="eastAsia" w:ascii="宋体" w:hAnsi="宋体"/>
          <w:sz w:val="24"/>
          <w:lang w:bidi="zh-CN"/>
        </w:rPr>
        <w:t>5</w:t>
      </w:r>
      <w:r>
        <w:rPr>
          <w:rFonts w:ascii="宋体" w:hAnsi="宋体"/>
          <w:sz w:val="24"/>
          <w:lang w:val="zh-CN" w:bidi="zh-CN"/>
        </w:rPr>
        <w:t>-</w:t>
      </w:r>
      <w:r>
        <w:rPr>
          <w:rFonts w:hint="eastAsia" w:ascii="宋体" w:hAnsi="宋体"/>
          <w:sz w:val="24"/>
          <w:lang w:bidi="zh-CN"/>
        </w:rPr>
        <w:t>0</w:t>
      </w:r>
      <w:r>
        <w:rPr>
          <w:rFonts w:ascii="宋体" w:hAnsi="宋体"/>
          <w:sz w:val="24"/>
          <w:lang w:bidi="zh-CN"/>
        </w:rPr>
        <w:t>3</w:t>
      </w:r>
    </w:p>
    <w:p w14:paraId="41FA04D0">
      <w:pPr>
        <w:autoSpaceDE w:val="0"/>
        <w:autoSpaceDN w:val="0"/>
        <w:spacing w:before="194" w:after="15"/>
        <w:ind w:left="2"/>
        <w:jc w:val="center"/>
        <w:rPr>
          <w:rFonts w:ascii="宋体" w:hAnsi="宋体"/>
          <w:sz w:val="24"/>
          <w:lang w:val="zh-CN" w:bidi="zh-CN"/>
        </w:rPr>
      </w:pPr>
    </w:p>
    <w:tbl>
      <w:tblPr>
        <w:tblStyle w:val="2"/>
        <w:tblW w:w="8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6997"/>
      </w:tblGrid>
      <w:tr w14:paraId="6E5A6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4" w:hRule="atLeast"/>
          <w:jc w:val="center"/>
        </w:trPr>
        <w:tc>
          <w:tcPr>
            <w:tcW w:w="1462" w:type="dxa"/>
            <w:vAlign w:val="center"/>
          </w:tcPr>
          <w:p w14:paraId="2F976B8B">
            <w:pPr>
              <w:autoSpaceDE w:val="0"/>
              <w:autoSpaceDN w:val="0"/>
              <w:spacing w:line="560" w:lineRule="exact"/>
              <w:jc w:val="center"/>
              <w:rPr>
                <w:rFonts w:ascii="Microsoft JhengHei" w:hAnsi="宋体"/>
                <w:b/>
                <w:sz w:val="24"/>
                <w:szCs w:val="22"/>
                <w:lang w:val="zh-CN" w:bidi="zh-CN"/>
              </w:rPr>
            </w:pPr>
            <w:r>
              <w:rPr>
                <w:rFonts w:hint="eastAsia" w:ascii="方正小标宋简体" w:hAnsi="方正小标宋简体" w:eastAsia="方正小标宋简体" w:cs="方正小标宋简体"/>
                <w:bCs/>
                <w:sz w:val="24"/>
                <w:lang w:val="zh-CN" w:bidi="zh-CN"/>
              </w:rPr>
              <w:t>活动类别</w:t>
            </w:r>
          </w:p>
        </w:tc>
        <w:tc>
          <w:tcPr>
            <w:tcW w:w="6997" w:type="dxa"/>
            <w:vAlign w:val="center"/>
          </w:tcPr>
          <w:p w14:paraId="5F056E03">
            <w:pPr>
              <w:tabs>
                <w:tab w:val="left" w:pos="3154"/>
              </w:tabs>
              <w:autoSpaceDE w:val="0"/>
              <w:autoSpaceDN w:val="0"/>
              <w:spacing w:line="560" w:lineRule="exact"/>
              <w:rPr>
                <w:rFonts w:ascii="宋体" w:hAnsi="宋体"/>
                <w:sz w:val="24"/>
                <w:szCs w:val="22"/>
                <w:lang w:val="zh-CN" w:bidi="zh-CN"/>
              </w:rPr>
            </w:pPr>
            <w:r>
              <w:rPr>
                <w:rFonts w:hint="eastAsia" w:ascii="宋体" w:hAnsi="宋体"/>
                <w:sz w:val="24"/>
                <w:szCs w:val="22"/>
                <w:lang w:val="zh-CN" w:bidi="zh-CN"/>
              </w:rPr>
              <w:t>电话说明会</w:t>
            </w:r>
          </w:p>
        </w:tc>
      </w:tr>
      <w:tr w14:paraId="70D85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9" w:hRule="atLeast"/>
          <w:jc w:val="center"/>
        </w:trPr>
        <w:tc>
          <w:tcPr>
            <w:tcW w:w="1462" w:type="dxa"/>
            <w:vAlign w:val="center"/>
          </w:tcPr>
          <w:p w14:paraId="1CBA1D1A">
            <w:pPr>
              <w:autoSpaceDE w:val="0"/>
              <w:autoSpaceDN w:val="0"/>
              <w:spacing w:line="560" w:lineRule="exact"/>
              <w:ind w:left="107" w:right="96"/>
              <w:jc w:val="center"/>
              <w:rPr>
                <w:rFonts w:ascii="Microsoft JhengHei" w:hAnsi="宋体" w:eastAsia="Microsoft JhengHei"/>
                <w:b/>
                <w:sz w:val="24"/>
                <w:szCs w:val="22"/>
                <w:lang w:val="zh-CN" w:bidi="zh-CN"/>
              </w:rPr>
            </w:pPr>
            <w:r>
              <w:rPr>
                <w:rFonts w:hint="eastAsia" w:ascii="方正小标宋简体" w:hAnsi="方正小标宋简体" w:eastAsia="方正小标宋简体" w:cs="方正小标宋简体"/>
                <w:bCs/>
                <w:sz w:val="24"/>
                <w:lang w:val="zh-CN" w:bidi="zh-CN"/>
              </w:rPr>
              <w:t>机构名称</w:t>
            </w:r>
          </w:p>
        </w:tc>
        <w:tc>
          <w:tcPr>
            <w:tcW w:w="6997" w:type="dxa"/>
            <w:vAlign w:val="center"/>
          </w:tcPr>
          <w:p w14:paraId="47F30338">
            <w:pPr>
              <w:autoSpaceDE w:val="0"/>
              <w:autoSpaceDN w:val="0"/>
              <w:spacing w:line="560" w:lineRule="exact"/>
              <w:jc w:val="left"/>
              <w:rPr>
                <w:rFonts w:ascii="宋体" w:hAnsi="宋体"/>
                <w:sz w:val="24"/>
                <w:szCs w:val="22"/>
                <w:lang w:bidi="zh-CN"/>
              </w:rPr>
            </w:pPr>
            <w:r>
              <w:rPr>
                <w:rFonts w:hint="eastAsia" w:ascii="宋体" w:hAnsi="宋体"/>
                <w:sz w:val="24"/>
                <w:szCs w:val="22"/>
                <w:lang w:bidi="zh-CN"/>
              </w:rPr>
              <w:t xml:space="preserve">东方财富证券 </w:t>
            </w:r>
            <w:r>
              <w:rPr>
                <w:rFonts w:ascii="宋体" w:hAnsi="宋体"/>
                <w:sz w:val="24"/>
                <w:szCs w:val="22"/>
                <w:lang w:bidi="zh-CN"/>
              </w:rPr>
              <w:t xml:space="preserve"> </w:t>
            </w:r>
            <w:r>
              <w:rPr>
                <w:rFonts w:hint="eastAsia" w:ascii="宋体" w:hAnsi="宋体"/>
                <w:sz w:val="24"/>
                <w:szCs w:val="22"/>
                <w:lang w:bidi="zh-CN"/>
              </w:rPr>
              <w:t xml:space="preserve">中邮证券 </w:t>
            </w:r>
            <w:r>
              <w:rPr>
                <w:rFonts w:ascii="宋体" w:hAnsi="宋体"/>
                <w:sz w:val="24"/>
                <w:szCs w:val="22"/>
                <w:lang w:bidi="zh-CN"/>
              </w:rPr>
              <w:t xml:space="preserve"> </w:t>
            </w:r>
            <w:r>
              <w:rPr>
                <w:rFonts w:hint="eastAsia" w:ascii="宋体" w:hAnsi="宋体"/>
                <w:sz w:val="24"/>
                <w:szCs w:val="22"/>
                <w:lang w:bidi="zh-CN"/>
              </w:rPr>
              <w:t xml:space="preserve">南方基金 </w:t>
            </w:r>
            <w:r>
              <w:rPr>
                <w:rFonts w:ascii="宋体" w:hAnsi="宋体"/>
                <w:sz w:val="24"/>
                <w:szCs w:val="22"/>
                <w:lang w:bidi="zh-CN"/>
              </w:rPr>
              <w:t xml:space="preserve"> </w:t>
            </w:r>
            <w:r>
              <w:rPr>
                <w:rFonts w:hint="eastAsia" w:ascii="宋体" w:hAnsi="宋体"/>
                <w:sz w:val="24"/>
                <w:szCs w:val="22"/>
                <w:lang w:bidi="zh-CN"/>
              </w:rPr>
              <w:t xml:space="preserve">博时基金 </w:t>
            </w:r>
            <w:r>
              <w:rPr>
                <w:rFonts w:ascii="宋体" w:hAnsi="宋体"/>
                <w:sz w:val="24"/>
                <w:szCs w:val="22"/>
                <w:lang w:bidi="zh-CN"/>
              </w:rPr>
              <w:t xml:space="preserve"> </w:t>
            </w:r>
            <w:r>
              <w:rPr>
                <w:rFonts w:hint="eastAsia" w:ascii="宋体" w:hAnsi="宋体"/>
                <w:sz w:val="24"/>
                <w:szCs w:val="22"/>
                <w:lang w:bidi="zh-CN"/>
              </w:rPr>
              <w:t>西部利得基金</w:t>
            </w:r>
          </w:p>
          <w:p w14:paraId="1A973F7B">
            <w:pPr>
              <w:autoSpaceDE w:val="0"/>
              <w:autoSpaceDN w:val="0"/>
              <w:spacing w:line="560" w:lineRule="exact"/>
              <w:jc w:val="left"/>
              <w:rPr>
                <w:rFonts w:ascii="宋体" w:hAnsi="宋体"/>
                <w:sz w:val="24"/>
                <w:szCs w:val="22"/>
                <w:lang w:bidi="zh-CN"/>
              </w:rPr>
            </w:pPr>
            <w:r>
              <w:rPr>
                <w:rFonts w:hint="eastAsia" w:ascii="宋体" w:hAnsi="宋体"/>
                <w:sz w:val="24"/>
                <w:szCs w:val="22"/>
                <w:lang w:bidi="zh-CN"/>
              </w:rPr>
              <w:t xml:space="preserve">深圳中天汇富基金 </w:t>
            </w:r>
            <w:r>
              <w:rPr>
                <w:rFonts w:ascii="宋体" w:hAnsi="宋体"/>
                <w:sz w:val="24"/>
                <w:szCs w:val="22"/>
                <w:lang w:bidi="zh-CN"/>
              </w:rPr>
              <w:t xml:space="preserve"> </w:t>
            </w:r>
            <w:r>
              <w:rPr>
                <w:rFonts w:hint="eastAsia" w:ascii="宋体" w:hAnsi="宋体"/>
                <w:sz w:val="24"/>
                <w:szCs w:val="22"/>
                <w:lang w:bidi="zh-CN"/>
              </w:rPr>
              <w:t xml:space="preserve">宁波三登投资 </w:t>
            </w:r>
            <w:r>
              <w:rPr>
                <w:rFonts w:ascii="宋体" w:hAnsi="宋体"/>
                <w:sz w:val="24"/>
                <w:szCs w:val="22"/>
                <w:lang w:bidi="zh-CN"/>
              </w:rPr>
              <w:t xml:space="preserve"> </w:t>
            </w:r>
            <w:r>
              <w:rPr>
                <w:rFonts w:hint="eastAsia" w:ascii="宋体" w:hAnsi="宋体"/>
                <w:sz w:val="24"/>
                <w:szCs w:val="22"/>
                <w:lang w:bidi="zh-CN"/>
              </w:rPr>
              <w:t xml:space="preserve">象舆行投资 </w:t>
            </w:r>
            <w:r>
              <w:rPr>
                <w:rFonts w:ascii="宋体" w:hAnsi="宋体"/>
                <w:sz w:val="24"/>
                <w:szCs w:val="22"/>
                <w:lang w:bidi="zh-CN"/>
              </w:rPr>
              <w:t xml:space="preserve"> </w:t>
            </w:r>
            <w:r>
              <w:rPr>
                <w:rFonts w:hint="eastAsia" w:ascii="宋体" w:hAnsi="宋体"/>
                <w:sz w:val="24"/>
                <w:szCs w:val="22"/>
                <w:lang w:bidi="zh-CN"/>
              </w:rPr>
              <w:t xml:space="preserve">北京橡果资产 </w:t>
            </w:r>
            <w:r>
              <w:rPr>
                <w:rFonts w:ascii="宋体" w:hAnsi="宋体"/>
                <w:sz w:val="24"/>
                <w:szCs w:val="22"/>
                <w:lang w:bidi="zh-CN"/>
              </w:rPr>
              <w:t xml:space="preserve"> </w:t>
            </w:r>
          </w:p>
          <w:p w14:paraId="440AE3F7">
            <w:pPr>
              <w:autoSpaceDE w:val="0"/>
              <w:autoSpaceDN w:val="0"/>
              <w:spacing w:line="560" w:lineRule="exact"/>
              <w:jc w:val="left"/>
              <w:rPr>
                <w:rFonts w:ascii="宋体" w:hAnsi="宋体"/>
                <w:sz w:val="24"/>
                <w:szCs w:val="22"/>
                <w:lang w:bidi="zh-CN"/>
              </w:rPr>
            </w:pPr>
            <w:r>
              <w:rPr>
                <w:rFonts w:hint="eastAsia" w:ascii="宋体" w:hAnsi="宋体"/>
                <w:sz w:val="24"/>
                <w:szCs w:val="22"/>
                <w:lang w:bidi="zh-CN"/>
              </w:rPr>
              <w:t xml:space="preserve">深圳市尚诚资产 </w:t>
            </w:r>
            <w:r>
              <w:rPr>
                <w:rFonts w:ascii="宋体" w:hAnsi="宋体"/>
                <w:sz w:val="24"/>
                <w:szCs w:val="22"/>
                <w:lang w:bidi="zh-CN"/>
              </w:rPr>
              <w:t xml:space="preserve"> </w:t>
            </w:r>
            <w:r>
              <w:rPr>
                <w:rFonts w:hint="eastAsia" w:ascii="宋体" w:hAnsi="宋体"/>
                <w:sz w:val="24"/>
                <w:szCs w:val="22"/>
                <w:lang w:bidi="zh-CN"/>
              </w:rPr>
              <w:t xml:space="preserve">上海益和源资产 </w:t>
            </w:r>
            <w:r>
              <w:rPr>
                <w:rFonts w:ascii="宋体" w:hAnsi="宋体"/>
                <w:sz w:val="24"/>
                <w:szCs w:val="22"/>
                <w:lang w:bidi="zh-CN"/>
              </w:rPr>
              <w:t xml:space="preserve"> </w:t>
            </w:r>
            <w:r>
              <w:rPr>
                <w:rFonts w:hint="eastAsia" w:ascii="宋体" w:hAnsi="宋体"/>
                <w:sz w:val="24"/>
                <w:szCs w:val="22"/>
                <w:lang w:bidi="zh-CN"/>
              </w:rPr>
              <w:t xml:space="preserve">上海聆泽投资管理 </w:t>
            </w:r>
            <w:r>
              <w:rPr>
                <w:rFonts w:ascii="宋体" w:hAnsi="宋体"/>
                <w:sz w:val="24"/>
                <w:szCs w:val="22"/>
                <w:lang w:bidi="zh-CN"/>
              </w:rPr>
              <w:t xml:space="preserve"> </w:t>
            </w:r>
            <w:r>
              <w:rPr>
                <w:rFonts w:hint="eastAsia" w:ascii="宋体" w:hAnsi="宋体"/>
                <w:sz w:val="24"/>
                <w:szCs w:val="22"/>
                <w:lang w:bidi="zh-CN"/>
              </w:rPr>
              <w:t>睿胜投资等机构</w:t>
            </w:r>
          </w:p>
        </w:tc>
      </w:tr>
      <w:tr w14:paraId="73C1C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atLeast"/>
          <w:jc w:val="center"/>
        </w:trPr>
        <w:tc>
          <w:tcPr>
            <w:tcW w:w="1462" w:type="dxa"/>
            <w:vAlign w:val="center"/>
          </w:tcPr>
          <w:p w14:paraId="37CF2417">
            <w:pPr>
              <w:autoSpaceDE w:val="0"/>
              <w:autoSpaceDN w:val="0"/>
              <w:spacing w:line="560" w:lineRule="exact"/>
              <w:ind w:left="107"/>
              <w:jc w:val="center"/>
              <w:rPr>
                <w:rFonts w:ascii="Microsoft JhengHei" w:hAnsi="宋体" w:eastAsia="Microsoft JhengHei"/>
                <w:b/>
                <w:sz w:val="24"/>
                <w:szCs w:val="22"/>
                <w:lang w:val="zh-CN" w:bidi="zh-CN"/>
              </w:rPr>
            </w:pPr>
            <w:r>
              <w:rPr>
                <w:rFonts w:hint="eastAsia" w:ascii="方正小标宋简体" w:hAnsi="方正小标宋简体" w:eastAsia="方正小标宋简体" w:cs="方正小标宋简体"/>
                <w:bCs/>
                <w:sz w:val="24"/>
                <w:lang w:val="zh-CN" w:bidi="zh-CN"/>
              </w:rPr>
              <w:t>时间地点</w:t>
            </w:r>
          </w:p>
        </w:tc>
        <w:tc>
          <w:tcPr>
            <w:tcW w:w="6997" w:type="dxa"/>
            <w:vAlign w:val="center"/>
          </w:tcPr>
          <w:p w14:paraId="20A84DEA">
            <w:pPr>
              <w:autoSpaceDE w:val="0"/>
              <w:autoSpaceDN w:val="0"/>
              <w:spacing w:line="560" w:lineRule="exact"/>
              <w:rPr>
                <w:rFonts w:ascii="宋体" w:hAnsi="宋体"/>
                <w:sz w:val="24"/>
                <w:szCs w:val="22"/>
                <w:lang w:bidi="zh-CN"/>
              </w:rPr>
            </w:pPr>
            <w:r>
              <w:rPr>
                <w:rFonts w:hint="eastAsia" w:ascii="宋体" w:hAnsi="宋体"/>
                <w:sz w:val="24"/>
                <w:szCs w:val="22"/>
                <w:lang w:bidi="zh-CN"/>
              </w:rPr>
              <w:t>电话会议</w:t>
            </w:r>
          </w:p>
        </w:tc>
      </w:tr>
      <w:tr w14:paraId="06748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jc w:val="center"/>
        </w:trPr>
        <w:tc>
          <w:tcPr>
            <w:tcW w:w="1462" w:type="dxa"/>
            <w:vAlign w:val="center"/>
          </w:tcPr>
          <w:p w14:paraId="6D3E10CF">
            <w:pPr>
              <w:autoSpaceDE w:val="0"/>
              <w:autoSpaceDN w:val="0"/>
              <w:spacing w:line="560" w:lineRule="exact"/>
              <w:ind w:left="107" w:right="96"/>
              <w:jc w:val="center"/>
              <w:rPr>
                <w:rFonts w:ascii="Microsoft JhengHei" w:hAnsi="宋体" w:eastAsia="Microsoft JhengHei"/>
                <w:b/>
                <w:sz w:val="24"/>
                <w:szCs w:val="22"/>
                <w:lang w:val="zh-CN" w:bidi="zh-CN"/>
              </w:rPr>
            </w:pPr>
            <w:r>
              <w:rPr>
                <w:rFonts w:hint="eastAsia" w:ascii="方正小标宋简体" w:hAnsi="方正小标宋简体" w:eastAsia="方正小标宋简体" w:cs="方正小标宋简体"/>
                <w:bCs/>
                <w:sz w:val="24"/>
                <w:lang w:val="zh-CN" w:bidi="zh-CN"/>
              </w:rPr>
              <w:t>公司人员</w:t>
            </w:r>
          </w:p>
        </w:tc>
        <w:tc>
          <w:tcPr>
            <w:tcW w:w="6997" w:type="dxa"/>
            <w:vAlign w:val="center"/>
          </w:tcPr>
          <w:p w14:paraId="15EEF109">
            <w:pPr>
              <w:autoSpaceDE w:val="0"/>
              <w:autoSpaceDN w:val="0"/>
              <w:spacing w:line="560" w:lineRule="exact"/>
              <w:jc w:val="left"/>
              <w:rPr>
                <w:rFonts w:ascii="宋体" w:hAnsi="宋体"/>
                <w:sz w:val="24"/>
                <w:szCs w:val="22"/>
                <w:lang w:val="zh-CN" w:bidi="zh-CN"/>
              </w:rPr>
            </w:pPr>
            <w:r>
              <w:rPr>
                <w:rFonts w:hint="eastAsia" w:ascii="宋体" w:hAnsi="宋体"/>
                <w:sz w:val="24"/>
                <w:szCs w:val="22"/>
                <w:lang w:val="zh-CN" w:bidi="zh-CN"/>
              </w:rPr>
              <w:t>葛瑞鹏  董事会秘书</w:t>
            </w:r>
          </w:p>
          <w:p w14:paraId="0117BB2E">
            <w:pPr>
              <w:autoSpaceDE w:val="0"/>
              <w:autoSpaceDN w:val="0"/>
              <w:spacing w:line="560" w:lineRule="exact"/>
              <w:jc w:val="left"/>
              <w:rPr>
                <w:rFonts w:ascii="宋体" w:hAnsi="宋体"/>
                <w:sz w:val="24"/>
                <w:szCs w:val="22"/>
                <w:lang w:bidi="zh-CN"/>
              </w:rPr>
            </w:pPr>
            <w:r>
              <w:rPr>
                <w:rFonts w:hint="eastAsia" w:ascii="宋体" w:hAnsi="宋体"/>
                <w:sz w:val="24"/>
                <w:szCs w:val="22"/>
                <w:lang w:val="zh-CN" w:bidi="zh-CN"/>
              </w:rPr>
              <w:t>韩  彬  证券投资部副部长</w:t>
            </w:r>
          </w:p>
        </w:tc>
      </w:tr>
    </w:tbl>
    <w:p w14:paraId="40AF3FE3">
      <w:pPr>
        <w:spacing w:line="289" w:lineRule="exact"/>
        <w:rPr>
          <w:sz w:val="24"/>
        </w:rPr>
        <w:sectPr>
          <w:pgSz w:w="11910" w:h="16840"/>
          <w:pgMar w:top="1580" w:right="1560" w:bottom="280" w:left="1680" w:header="720" w:footer="720" w:gutter="0"/>
          <w:cols w:space="720" w:num="1"/>
        </w:sectPr>
      </w:pPr>
    </w:p>
    <w:tbl>
      <w:tblPr>
        <w:tblStyle w:val="2"/>
        <w:tblW w:w="8634"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7244"/>
      </w:tblGrid>
      <w:tr w14:paraId="0B98E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9" w:hRule="atLeast"/>
        </w:trPr>
        <w:tc>
          <w:tcPr>
            <w:tcW w:w="1390" w:type="dxa"/>
          </w:tcPr>
          <w:p w14:paraId="1E32AD09">
            <w:pPr>
              <w:autoSpaceDE w:val="0"/>
              <w:autoSpaceDN w:val="0"/>
              <w:rPr>
                <w:rFonts w:ascii="宋体" w:hAnsi="宋体"/>
                <w:sz w:val="24"/>
                <w:szCs w:val="22"/>
                <w:lang w:val="zh-CN" w:bidi="zh-CN"/>
              </w:rPr>
            </w:pPr>
          </w:p>
          <w:p w14:paraId="1924E406">
            <w:pPr>
              <w:autoSpaceDE w:val="0"/>
              <w:autoSpaceDN w:val="0"/>
              <w:rPr>
                <w:rFonts w:ascii="宋体" w:hAnsi="宋体"/>
                <w:sz w:val="24"/>
                <w:szCs w:val="22"/>
                <w:lang w:val="zh-CN" w:bidi="zh-CN"/>
              </w:rPr>
            </w:pPr>
          </w:p>
          <w:p w14:paraId="374C8509">
            <w:pPr>
              <w:autoSpaceDE w:val="0"/>
              <w:autoSpaceDN w:val="0"/>
              <w:rPr>
                <w:rFonts w:ascii="宋体" w:hAnsi="宋体"/>
                <w:sz w:val="24"/>
                <w:szCs w:val="22"/>
                <w:lang w:val="zh-CN" w:bidi="zh-CN"/>
              </w:rPr>
            </w:pPr>
          </w:p>
          <w:p w14:paraId="0D986F5B">
            <w:pPr>
              <w:autoSpaceDE w:val="0"/>
              <w:autoSpaceDN w:val="0"/>
              <w:rPr>
                <w:rFonts w:ascii="宋体" w:hAnsi="宋体"/>
                <w:sz w:val="24"/>
                <w:szCs w:val="22"/>
                <w:lang w:val="zh-CN" w:bidi="zh-CN"/>
              </w:rPr>
            </w:pPr>
          </w:p>
          <w:p w14:paraId="2BF4BBAB">
            <w:pPr>
              <w:autoSpaceDE w:val="0"/>
              <w:autoSpaceDN w:val="0"/>
              <w:rPr>
                <w:rFonts w:ascii="宋体" w:hAnsi="宋体"/>
                <w:sz w:val="24"/>
                <w:szCs w:val="22"/>
                <w:lang w:val="zh-CN" w:bidi="zh-CN"/>
              </w:rPr>
            </w:pPr>
          </w:p>
          <w:p w14:paraId="66D05F24">
            <w:pPr>
              <w:autoSpaceDE w:val="0"/>
              <w:autoSpaceDN w:val="0"/>
              <w:rPr>
                <w:rFonts w:ascii="宋体" w:hAnsi="宋体"/>
                <w:sz w:val="24"/>
                <w:szCs w:val="22"/>
                <w:lang w:val="zh-CN" w:bidi="zh-CN"/>
              </w:rPr>
            </w:pPr>
          </w:p>
          <w:p w14:paraId="62DEE7FB">
            <w:pPr>
              <w:autoSpaceDE w:val="0"/>
              <w:autoSpaceDN w:val="0"/>
              <w:rPr>
                <w:rFonts w:ascii="宋体" w:hAnsi="宋体"/>
                <w:sz w:val="24"/>
                <w:szCs w:val="22"/>
                <w:lang w:val="zh-CN" w:bidi="zh-CN"/>
              </w:rPr>
            </w:pPr>
          </w:p>
          <w:p w14:paraId="1C766459">
            <w:pPr>
              <w:autoSpaceDE w:val="0"/>
              <w:autoSpaceDN w:val="0"/>
              <w:rPr>
                <w:rFonts w:ascii="宋体" w:hAnsi="宋体"/>
                <w:sz w:val="24"/>
                <w:szCs w:val="22"/>
                <w:lang w:val="zh-CN" w:bidi="zh-CN"/>
              </w:rPr>
            </w:pPr>
          </w:p>
          <w:p w14:paraId="04F46DD9">
            <w:pPr>
              <w:autoSpaceDE w:val="0"/>
              <w:autoSpaceDN w:val="0"/>
              <w:rPr>
                <w:rFonts w:ascii="宋体" w:hAnsi="宋体"/>
                <w:sz w:val="24"/>
                <w:szCs w:val="22"/>
                <w:lang w:val="zh-CN" w:bidi="zh-CN"/>
              </w:rPr>
            </w:pPr>
          </w:p>
          <w:p w14:paraId="3026C432">
            <w:pPr>
              <w:autoSpaceDE w:val="0"/>
              <w:autoSpaceDN w:val="0"/>
              <w:rPr>
                <w:rFonts w:ascii="宋体" w:hAnsi="宋体"/>
                <w:sz w:val="24"/>
                <w:szCs w:val="22"/>
                <w:lang w:val="zh-CN" w:bidi="zh-CN"/>
              </w:rPr>
            </w:pPr>
          </w:p>
          <w:p w14:paraId="5A418C00">
            <w:pPr>
              <w:autoSpaceDE w:val="0"/>
              <w:autoSpaceDN w:val="0"/>
              <w:rPr>
                <w:rFonts w:ascii="宋体" w:hAnsi="宋体"/>
                <w:sz w:val="24"/>
                <w:szCs w:val="22"/>
                <w:lang w:val="zh-CN" w:bidi="zh-CN"/>
              </w:rPr>
            </w:pPr>
          </w:p>
          <w:p w14:paraId="1FA4D40A">
            <w:pPr>
              <w:autoSpaceDE w:val="0"/>
              <w:autoSpaceDN w:val="0"/>
              <w:rPr>
                <w:rFonts w:ascii="宋体" w:hAnsi="宋体"/>
                <w:sz w:val="24"/>
                <w:szCs w:val="22"/>
                <w:lang w:val="zh-CN" w:bidi="zh-CN"/>
              </w:rPr>
            </w:pPr>
          </w:p>
          <w:p w14:paraId="116736AA">
            <w:pPr>
              <w:autoSpaceDE w:val="0"/>
              <w:autoSpaceDN w:val="0"/>
              <w:rPr>
                <w:rFonts w:ascii="宋体" w:hAnsi="宋体"/>
                <w:sz w:val="24"/>
                <w:szCs w:val="22"/>
                <w:lang w:val="zh-CN" w:bidi="zh-CN"/>
              </w:rPr>
            </w:pPr>
          </w:p>
          <w:p w14:paraId="3FA8BF9F">
            <w:pPr>
              <w:autoSpaceDE w:val="0"/>
              <w:autoSpaceDN w:val="0"/>
              <w:rPr>
                <w:rFonts w:ascii="宋体" w:hAnsi="宋体"/>
                <w:sz w:val="24"/>
                <w:szCs w:val="22"/>
                <w:lang w:val="zh-CN" w:bidi="zh-CN"/>
              </w:rPr>
            </w:pPr>
          </w:p>
          <w:p w14:paraId="47CC0284">
            <w:pPr>
              <w:autoSpaceDE w:val="0"/>
              <w:autoSpaceDN w:val="0"/>
              <w:rPr>
                <w:rFonts w:ascii="宋体" w:hAnsi="宋体"/>
                <w:sz w:val="24"/>
                <w:szCs w:val="22"/>
                <w:lang w:val="zh-CN" w:bidi="zh-CN"/>
              </w:rPr>
            </w:pPr>
          </w:p>
          <w:p w14:paraId="78894DED">
            <w:pPr>
              <w:autoSpaceDE w:val="0"/>
              <w:autoSpaceDN w:val="0"/>
              <w:rPr>
                <w:rFonts w:ascii="宋体" w:hAnsi="宋体"/>
                <w:sz w:val="24"/>
                <w:szCs w:val="22"/>
                <w:lang w:val="zh-CN" w:bidi="zh-CN"/>
              </w:rPr>
            </w:pPr>
          </w:p>
          <w:p w14:paraId="467F8458">
            <w:pPr>
              <w:autoSpaceDE w:val="0"/>
              <w:autoSpaceDN w:val="0"/>
              <w:rPr>
                <w:rFonts w:ascii="宋体" w:hAnsi="宋体"/>
                <w:sz w:val="24"/>
                <w:szCs w:val="22"/>
                <w:lang w:val="zh-CN" w:bidi="zh-CN"/>
              </w:rPr>
            </w:pPr>
          </w:p>
          <w:p w14:paraId="2504F891">
            <w:pPr>
              <w:autoSpaceDE w:val="0"/>
              <w:autoSpaceDN w:val="0"/>
              <w:rPr>
                <w:rFonts w:ascii="宋体" w:hAnsi="宋体"/>
                <w:sz w:val="24"/>
                <w:szCs w:val="22"/>
                <w:lang w:val="zh-CN" w:bidi="zh-CN"/>
              </w:rPr>
            </w:pPr>
          </w:p>
          <w:p w14:paraId="4AC088EC">
            <w:pPr>
              <w:autoSpaceDE w:val="0"/>
              <w:autoSpaceDN w:val="0"/>
              <w:rPr>
                <w:rFonts w:ascii="宋体" w:hAnsi="宋体"/>
                <w:sz w:val="24"/>
                <w:szCs w:val="22"/>
                <w:lang w:val="zh-CN" w:bidi="zh-CN"/>
              </w:rPr>
            </w:pPr>
          </w:p>
          <w:p w14:paraId="5751B30E">
            <w:pPr>
              <w:autoSpaceDE w:val="0"/>
              <w:autoSpaceDN w:val="0"/>
              <w:rPr>
                <w:rFonts w:ascii="宋体" w:hAnsi="宋体"/>
                <w:sz w:val="24"/>
                <w:szCs w:val="22"/>
                <w:lang w:val="zh-CN" w:bidi="zh-CN"/>
              </w:rPr>
            </w:pPr>
          </w:p>
          <w:p w14:paraId="744EFA72">
            <w:pPr>
              <w:autoSpaceDE w:val="0"/>
              <w:autoSpaceDN w:val="0"/>
              <w:spacing w:before="155" w:line="261" w:lineRule="auto"/>
              <w:ind w:left="107" w:right="96"/>
              <w:jc w:val="center"/>
              <w:rPr>
                <w:rFonts w:ascii="Microsoft JhengHei" w:hAnsi="宋体" w:eastAsia="Microsoft JhengHei"/>
                <w:b/>
                <w:sz w:val="24"/>
                <w:szCs w:val="22"/>
                <w:lang w:val="zh-CN" w:bidi="zh-CN"/>
              </w:rPr>
            </w:pPr>
            <w:r>
              <w:rPr>
                <w:rFonts w:hint="eastAsia" w:ascii="方正小标宋简体" w:hAnsi="方正小标宋简体" w:eastAsia="方正小标宋简体" w:cs="方正小标宋简体"/>
                <w:bCs/>
                <w:sz w:val="24"/>
                <w:lang w:val="zh-CN" w:bidi="zh-CN"/>
              </w:rPr>
              <w:t>主要内容</w:t>
            </w:r>
          </w:p>
        </w:tc>
        <w:tc>
          <w:tcPr>
            <w:tcW w:w="7244" w:type="dxa"/>
          </w:tcPr>
          <w:p w14:paraId="706768C0">
            <w:pPr>
              <w:widowControl/>
              <w:numPr>
                <w:ilvl w:val="255"/>
                <w:numId w:val="0"/>
              </w:numPr>
              <w:spacing w:line="380" w:lineRule="exact"/>
              <w:ind w:firstLine="480" w:firstLineChars="200"/>
              <w:rPr>
                <w:rFonts w:ascii="宋体" w:hAnsi="宋体"/>
                <w:sz w:val="24"/>
                <w:szCs w:val="22"/>
                <w:lang w:bidi="zh-CN"/>
              </w:rPr>
            </w:pPr>
            <w:r>
              <w:rPr>
                <w:rFonts w:hint="eastAsia" w:ascii="宋体" w:hAnsi="宋体"/>
                <w:sz w:val="24"/>
                <w:szCs w:val="22"/>
                <w:lang w:bidi="zh-CN"/>
              </w:rPr>
              <w:t>2025年7月3</w:t>
            </w:r>
            <w:r>
              <w:rPr>
                <w:rFonts w:ascii="宋体" w:hAnsi="宋体"/>
                <w:sz w:val="24"/>
                <w:szCs w:val="22"/>
                <w:lang w:bidi="zh-CN"/>
              </w:rPr>
              <w:t>1</w:t>
            </w:r>
            <w:r>
              <w:rPr>
                <w:rFonts w:hint="eastAsia" w:ascii="宋体" w:hAnsi="宋体"/>
                <w:sz w:val="24"/>
                <w:szCs w:val="22"/>
                <w:lang w:bidi="zh-CN"/>
              </w:rPr>
              <w:t>日，中铁工业召开电话说明会，与投资机构就上半年主要经营数据等内容进行了沟通，主要内容如下：</w:t>
            </w:r>
          </w:p>
          <w:p w14:paraId="431B8E00">
            <w:pPr>
              <w:widowControl/>
              <w:numPr>
                <w:ilvl w:val="255"/>
                <w:numId w:val="0"/>
              </w:numPr>
              <w:spacing w:line="380" w:lineRule="exact"/>
              <w:ind w:firstLine="482" w:firstLineChars="200"/>
              <w:rPr>
                <w:rFonts w:ascii="宋体" w:hAnsi="宋体"/>
                <w:b/>
                <w:bCs/>
                <w:sz w:val="24"/>
                <w:szCs w:val="22"/>
                <w:lang w:bidi="zh-CN"/>
              </w:rPr>
            </w:pPr>
            <w:r>
              <w:rPr>
                <w:rFonts w:hint="eastAsia" w:ascii="宋体" w:hAnsi="宋体"/>
                <w:b/>
                <w:bCs/>
                <w:sz w:val="24"/>
                <w:szCs w:val="22"/>
                <w:lang w:bidi="zh-CN"/>
              </w:rPr>
              <w:t>1</w:t>
            </w:r>
            <w:r>
              <w:rPr>
                <w:rFonts w:ascii="宋体" w:hAnsi="宋体"/>
                <w:b/>
                <w:bCs/>
                <w:sz w:val="24"/>
                <w:szCs w:val="22"/>
                <w:lang w:bidi="zh-CN"/>
              </w:rPr>
              <w:t>.</w:t>
            </w:r>
            <w:r>
              <w:rPr>
                <w:rFonts w:hint="eastAsia" w:ascii="宋体" w:hAnsi="宋体"/>
                <w:b/>
                <w:bCs/>
                <w:sz w:val="24"/>
                <w:szCs w:val="22"/>
                <w:lang w:bidi="zh-CN"/>
              </w:rPr>
              <w:t>公司2</w:t>
            </w:r>
            <w:r>
              <w:rPr>
                <w:rFonts w:ascii="宋体" w:hAnsi="宋体"/>
                <w:b/>
                <w:bCs/>
                <w:sz w:val="24"/>
                <w:szCs w:val="22"/>
                <w:lang w:bidi="zh-CN"/>
              </w:rPr>
              <w:t>025</w:t>
            </w:r>
            <w:r>
              <w:rPr>
                <w:rFonts w:hint="eastAsia" w:ascii="宋体" w:hAnsi="宋体"/>
                <w:b/>
                <w:bCs/>
                <w:sz w:val="24"/>
                <w:szCs w:val="22"/>
                <w:lang w:bidi="zh-CN"/>
              </w:rPr>
              <w:t>年上半年主要经营数据。</w:t>
            </w:r>
          </w:p>
          <w:p w14:paraId="5C61CBEF">
            <w:pPr>
              <w:widowControl/>
              <w:numPr>
                <w:ilvl w:val="255"/>
                <w:numId w:val="0"/>
              </w:numPr>
              <w:spacing w:line="380" w:lineRule="exact"/>
              <w:ind w:firstLine="480" w:firstLineChars="200"/>
              <w:rPr>
                <w:rFonts w:ascii="宋体" w:hAnsi="宋体"/>
                <w:sz w:val="24"/>
                <w:szCs w:val="22"/>
                <w:lang w:bidi="zh-CN"/>
              </w:rPr>
            </w:pPr>
            <w:r>
              <w:rPr>
                <w:rFonts w:hint="eastAsia" w:ascii="宋体" w:hAnsi="宋体"/>
                <w:sz w:val="24"/>
                <w:szCs w:val="22"/>
                <w:lang w:bidi="zh-CN"/>
              </w:rPr>
              <w:t>答：</w:t>
            </w:r>
            <w:r>
              <w:rPr>
                <w:rFonts w:ascii="宋体" w:hAnsi="宋体"/>
                <w:sz w:val="24"/>
                <w:szCs w:val="22"/>
                <w:lang w:bidi="zh-CN"/>
              </w:rPr>
              <w:t>公司2025年上半年</w:t>
            </w:r>
            <w:r>
              <w:rPr>
                <w:rFonts w:hint="eastAsia" w:ascii="宋体" w:hAnsi="宋体"/>
                <w:sz w:val="24"/>
                <w:szCs w:val="22"/>
                <w:lang w:bidi="zh-CN"/>
              </w:rPr>
              <w:t>完成新签合同总额214.1亿元</w:t>
            </w:r>
            <w:r>
              <w:rPr>
                <w:rFonts w:ascii="宋体" w:hAnsi="宋体"/>
                <w:sz w:val="24"/>
                <w:szCs w:val="22"/>
                <w:lang w:bidi="zh-CN"/>
              </w:rPr>
              <w:t>；其中</w:t>
            </w:r>
            <w:r>
              <w:rPr>
                <w:rFonts w:hint="eastAsia" w:ascii="宋体" w:hAnsi="宋体"/>
                <w:sz w:val="24"/>
                <w:szCs w:val="22"/>
                <w:lang w:bidi="zh-CN"/>
              </w:rPr>
              <w:t>海外完成新签合同额18.9亿元，同比增长5.24%，实现了较好的增长，主要订单来源为西欧、中东和大洋洲区域的盾构机/TBM产品，以及北欧的桥梁钢结构和北非的道岔订单，道岔和隧道掘进机等毛利率较高的产品占比超过7</w:t>
            </w:r>
            <w:r>
              <w:rPr>
                <w:rFonts w:ascii="宋体" w:hAnsi="宋体"/>
                <w:sz w:val="24"/>
                <w:szCs w:val="22"/>
                <w:lang w:bidi="zh-CN"/>
              </w:rPr>
              <w:t>0%</w:t>
            </w:r>
            <w:r>
              <w:rPr>
                <w:rFonts w:hint="eastAsia" w:ascii="宋体" w:hAnsi="宋体"/>
                <w:sz w:val="24"/>
                <w:szCs w:val="22"/>
                <w:lang w:bidi="zh-CN"/>
              </w:rPr>
              <w:t>。</w:t>
            </w:r>
          </w:p>
          <w:p w14:paraId="526254B8">
            <w:pPr>
              <w:widowControl/>
              <w:numPr>
                <w:ilvl w:val="255"/>
                <w:numId w:val="0"/>
              </w:numPr>
              <w:spacing w:line="380" w:lineRule="exact"/>
              <w:ind w:firstLine="482" w:firstLineChars="200"/>
              <w:rPr>
                <w:rFonts w:ascii="宋体" w:hAnsi="宋体"/>
                <w:b/>
                <w:bCs/>
                <w:sz w:val="24"/>
                <w:szCs w:val="22"/>
                <w:lang w:bidi="zh-CN"/>
              </w:rPr>
            </w:pPr>
          </w:p>
          <w:p w14:paraId="367D969D">
            <w:pPr>
              <w:widowControl/>
              <w:numPr>
                <w:ilvl w:val="255"/>
                <w:numId w:val="0"/>
              </w:numPr>
              <w:spacing w:line="380" w:lineRule="exact"/>
              <w:ind w:firstLine="482" w:firstLineChars="200"/>
              <w:rPr>
                <w:rFonts w:ascii="宋体" w:hAnsi="宋体"/>
                <w:b/>
                <w:bCs/>
                <w:sz w:val="24"/>
                <w:szCs w:val="22"/>
                <w:lang w:bidi="zh-CN"/>
              </w:rPr>
            </w:pPr>
            <w:r>
              <w:rPr>
                <w:rFonts w:ascii="宋体" w:hAnsi="宋体"/>
                <w:b/>
                <w:bCs/>
                <w:sz w:val="24"/>
                <w:szCs w:val="22"/>
                <w:lang w:bidi="zh-CN"/>
              </w:rPr>
              <w:t>2.</w:t>
            </w:r>
            <w:r>
              <w:rPr>
                <w:rFonts w:hint="eastAsia" w:ascii="宋体" w:hAnsi="宋体"/>
                <w:b/>
                <w:bCs/>
                <w:sz w:val="24"/>
                <w:szCs w:val="22"/>
                <w:lang w:bidi="zh-CN"/>
              </w:rPr>
              <w:t>公司上半年隧道掘进机在水利工程领域新签合同额情况及未来展望。</w:t>
            </w:r>
          </w:p>
          <w:p w14:paraId="2512F6BA">
            <w:pPr>
              <w:widowControl/>
              <w:numPr>
                <w:ilvl w:val="255"/>
                <w:numId w:val="0"/>
              </w:numPr>
              <w:spacing w:line="380" w:lineRule="exact"/>
              <w:ind w:firstLine="480" w:firstLineChars="200"/>
              <w:rPr>
                <w:rFonts w:ascii="宋体" w:hAnsi="宋体"/>
                <w:sz w:val="24"/>
                <w:szCs w:val="22"/>
                <w:lang w:bidi="zh-CN"/>
              </w:rPr>
            </w:pPr>
            <w:r>
              <w:rPr>
                <w:rFonts w:hint="eastAsia" w:ascii="宋体" w:hAnsi="宋体"/>
                <w:sz w:val="24"/>
                <w:szCs w:val="22"/>
                <w:lang w:bidi="zh-CN"/>
              </w:rPr>
              <w:t>答：今年上半年</w:t>
            </w:r>
            <w:r>
              <w:rPr>
                <w:rFonts w:ascii="宋体" w:hAnsi="宋体"/>
                <w:sz w:val="24"/>
                <w:szCs w:val="22"/>
                <w:lang w:bidi="zh-CN"/>
              </w:rPr>
              <w:t>，</w:t>
            </w:r>
            <w:r>
              <w:rPr>
                <w:rFonts w:hint="eastAsia" w:ascii="宋体" w:hAnsi="宋体"/>
                <w:sz w:val="24"/>
                <w:szCs w:val="22"/>
                <w:lang w:bidi="zh-CN"/>
              </w:rPr>
              <w:t>公司隧道施工装备及相关服务业务新签合同额54.85亿元，</w:t>
            </w:r>
            <w:r>
              <w:rPr>
                <w:rFonts w:ascii="宋体" w:hAnsi="宋体"/>
                <w:sz w:val="24"/>
                <w:szCs w:val="22"/>
                <w:lang w:bidi="zh-CN"/>
              </w:rPr>
              <w:t>其中，</w:t>
            </w:r>
            <w:r>
              <w:rPr>
                <w:rFonts w:hint="eastAsia" w:ascii="宋体" w:hAnsi="宋体"/>
                <w:sz w:val="24"/>
                <w:szCs w:val="22"/>
                <w:lang w:bidi="zh-CN"/>
              </w:rPr>
              <w:t>传统基建领域受投资需求影响同比有所下降，但在水利</w:t>
            </w:r>
            <w:r>
              <w:rPr>
                <w:rFonts w:ascii="宋体" w:hAnsi="宋体"/>
                <w:sz w:val="24"/>
                <w:szCs w:val="22"/>
                <w:lang w:bidi="zh-CN"/>
              </w:rPr>
              <w:t>水电等新兴</w:t>
            </w:r>
            <w:r>
              <w:rPr>
                <w:rFonts w:hint="eastAsia" w:ascii="宋体" w:hAnsi="宋体"/>
                <w:sz w:val="24"/>
                <w:szCs w:val="22"/>
                <w:lang w:bidi="zh-CN"/>
              </w:rPr>
              <w:t>领域，新签</w:t>
            </w:r>
            <w:r>
              <w:rPr>
                <w:rFonts w:ascii="宋体" w:hAnsi="宋体"/>
                <w:sz w:val="24"/>
                <w:szCs w:val="22"/>
                <w:lang w:bidi="zh-CN"/>
              </w:rPr>
              <w:t>订单规模及占比较上年同期</w:t>
            </w:r>
            <w:r>
              <w:rPr>
                <w:rFonts w:hint="eastAsia" w:ascii="宋体" w:hAnsi="宋体"/>
                <w:sz w:val="24"/>
                <w:szCs w:val="22"/>
                <w:lang w:bidi="zh-CN"/>
              </w:rPr>
              <w:t>均有所提升。根据《国家水网建设规划纲要》和国家水利部年度工作安排，南水北调中线引江补汉工程、西线先期实施工程、东线后续</w:t>
            </w:r>
            <w:bookmarkStart w:id="0" w:name="_GoBack"/>
            <w:bookmarkEnd w:id="0"/>
            <w:r>
              <w:rPr>
                <w:rFonts w:hint="eastAsia" w:ascii="宋体" w:hAnsi="宋体"/>
                <w:sz w:val="24"/>
                <w:szCs w:val="22"/>
                <w:lang w:bidi="zh-CN"/>
              </w:rPr>
              <w:t>工程前期工作，环北部湾水资源配置、引江济淮二期等国家水网骨干输排水通道建设等重大工程正在加快推进。作为中铁工业“第二增长曲线”的重要拓展领域，水利水电市场是公司隧道施工装备及相关服务业务的重要增量来源，预计未来仍将保持较高的景气度，公司将积极响应重大工程项目需求，持续推动相关产品的高端化、绿色化、智能化转型，努力为国家水网建设再立新功。</w:t>
            </w:r>
          </w:p>
          <w:p w14:paraId="761EB646">
            <w:pPr>
              <w:widowControl/>
              <w:numPr>
                <w:ilvl w:val="255"/>
                <w:numId w:val="0"/>
              </w:numPr>
              <w:spacing w:line="380" w:lineRule="exact"/>
              <w:ind w:firstLine="480" w:firstLineChars="200"/>
              <w:rPr>
                <w:rFonts w:ascii="宋体" w:hAnsi="宋体"/>
                <w:b/>
                <w:bCs/>
                <w:sz w:val="24"/>
                <w:szCs w:val="22"/>
                <w:lang w:bidi="zh-CN"/>
              </w:rPr>
            </w:pPr>
            <w:r>
              <w:rPr>
                <w:rFonts w:hint="eastAsia" w:ascii="宋体" w:hAnsi="宋体"/>
                <w:sz w:val="24"/>
                <w:szCs w:val="22"/>
                <w:lang w:bidi="zh-CN"/>
              </w:rPr>
              <w:t>公司作为我国盾构机行业的开拓者和领军者，</w:t>
            </w:r>
            <w:r>
              <w:rPr>
                <w:rFonts w:ascii="宋体" w:hAnsi="宋体"/>
                <w:sz w:val="24"/>
                <w:szCs w:val="22"/>
                <w:lang w:bidi="zh-CN"/>
              </w:rPr>
              <w:t>自主</w:t>
            </w:r>
            <w:r>
              <w:rPr>
                <w:rFonts w:hint="eastAsia" w:ascii="宋体" w:hAnsi="宋体"/>
                <w:sz w:val="24"/>
                <w:szCs w:val="22"/>
                <w:lang w:bidi="zh-CN"/>
              </w:rPr>
              <w:t>研制的隧道掘进机已广泛应用于珠三角水资源配置、环北部湾水资源配置、引江补汉、滇中引水等重大水利工程项目，截至2</w:t>
            </w:r>
            <w:r>
              <w:rPr>
                <w:rFonts w:ascii="宋体" w:hAnsi="宋体"/>
                <w:sz w:val="24"/>
                <w:szCs w:val="22"/>
                <w:lang w:bidi="zh-CN"/>
              </w:rPr>
              <w:t>024</w:t>
            </w:r>
            <w:r>
              <w:rPr>
                <w:rFonts w:hint="eastAsia" w:ascii="宋体" w:hAnsi="宋体"/>
                <w:sz w:val="24"/>
                <w:szCs w:val="22"/>
                <w:lang w:bidi="zh-CN"/>
              </w:rPr>
              <w:t>年末，公司盾构机/TBM产品在国内水利水电工程建设领域市场占有率超过60%，其中抽水蓄能电站领域占有率约85%。此外，公司联合四川省水利发展集团在西南地区打造的首个全断面隧道掘进机智能总装产线已正式投产，将瞄准高纬度高海拔地区高端装备需求持续开展盾构机、TBM、钻爆法专用设备等产品的研发制造，为川西、西藏等西南地区的水利水电、铁路等项目提供关键技术和产品支持。</w:t>
            </w:r>
          </w:p>
          <w:p w14:paraId="012B9C65">
            <w:pPr>
              <w:widowControl/>
              <w:numPr>
                <w:ilvl w:val="255"/>
                <w:numId w:val="0"/>
              </w:numPr>
              <w:spacing w:line="380" w:lineRule="exact"/>
              <w:ind w:firstLine="482" w:firstLineChars="200"/>
              <w:rPr>
                <w:rFonts w:hint="eastAsia" w:ascii="宋体" w:hAnsi="宋体"/>
                <w:b/>
                <w:bCs/>
                <w:sz w:val="24"/>
                <w:szCs w:val="22"/>
                <w:lang w:bidi="zh-CN"/>
              </w:rPr>
            </w:pPr>
          </w:p>
          <w:p w14:paraId="51471F9F">
            <w:pPr>
              <w:widowControl/>
              <w:numPr>
                <w:ilvl w:val="255"/>
                <w:numId w:val="0"/>
              </w:numPr>
              <w:spacing w:line="380" w:lineRule="exact"/>
              <w:ind w:firstLine="482" w:firstLineChars="200"/>
              <w:rPr>
                <w:rFonts w:ascii="宋体" w:hAnsi="宋体"/>
                <w:b/>
                <w:bCs/>
                <w:sz w:val="24"/>
                <w:szCs w:val="22"/>
                <w:lang w:bidi="zh-CN"/>
              </w:rPr>
            </w:pPr>
            <w:r>
              <w:rPr>
                <w:rFonts w:hint="eastAsia" w:ascii="宋体" w:hAnsi="宋体"/>
                <w:b/>
                <w:bCs/>
                <w:sz w:val="24"/>
                <w:szCs w:val="22"/>
                <w:lang w:bidi="zh-CN"/>
              </w:rPr>
              <w:t>3</w:t>
            </w:r>
            <w:r>
              <w:rPr>
                <w:rFonts w:ascii="宋体" w:hAnsi="宋体"/>
                <w:b/>
                <w:bCs/>
                <w:sz w:val="24"/>
                <w:szCs w:val="22"/>
                <w:lang w:bidi="zh-CN"/>
              </w:rPr>
              <w:t>.</w:t>
            </w:r>
            <w:r>
              <w:rPr>
                <w:rFonts w:hint="eastAsia" w:ascii="宋体" w:hAnsi="宋体"/>
                <w:b/>
                <w:bCs/>
                <w:sz w:val="24"/>
                <w:szCs w:val="22"/>
                <w:lang w:bidi="zh-CN"/>
              </w:rPr>
              <w:t>公司海外市场优势及市场拓展情况。</w:t>
            </w:r>
          </w:p>
          <w:p w14:paraId="7DA4A31A">
            <w:pPr>
              <w:widowControl/>
              <w:numPr>
                <w:ilvl w:val="255"/>
                <w:numId w:val="0"/>
              </w:numPr>
              <w:spacing w:line="380" w:lineRule="exact"/>
              <w:ind w:firstLine="480" w:firstLineChars="200"/>
              <w:rPr>
                <w:rFonts w:ascii="宋体" w:hAnsi="宋体"/>
                <w:b/>
                <w:bCs/>
                <w:sz w:val="24"/>
                <w:szCs w:val="22"/>
                <w:lang w:bidi="zh-CN"/>
              </w:rPr>
            </w:pPr>
            <w:r>
              <w:rPr>
                <w:rFonts w:hint="eastAsia" w:ascii="宋体" w:hAnsi="宋体"/>
                <w:sz w:val="24"/>
                <w:szCs w:val="22"/>
                <w:lang w:bidi="zh-CN"/>
              </w:rPr>
              <w:t>答：公司自主研制的盾构机/TBM产销量已连续八年世界第一，作为全球领先的地下工程装备和轨道交通装备生产制造企业，中铁工业在海外市场优势明显，从2012年公司首台盾构机出口马来西亚至今，产品已销售至意大利、德国、加拿大、新加坡、阿联酋、澳大利亚等30余个国家和地区。近年来</w:t>
            </w:r>
            <w:r>
              <w:rPr>
                <w:rFonts w:ascii="宋体" w:hAnsi="宋体"/>
                <w:sz w:val="24"/>
                <w:szCs w:val="22"/>
                <w:lang w:bidi="zh-CN"/>
              </w:rPr>
              <w:t>，公司</w:t>
            </w:r>
            <w:r>
              <w:rPr>
                <w:rFonts w:hint="eastAsia" w:ascii="宋体" w:hAnsi="宋体"/>
                <w:sz w:val="24"/>
                <w:szCs w:val="22"/>
                <w:lang w:bidi="zh-CN"/>
              </w:rPr>
              <w:t>以欧洲、美洲、亚洲、大洋洲等区域的发达国家为重点，大力拓展相关国别市场，市占率持续攀升，是我国出口海外盾构机/TBM数量最多、市场占有率最高、品牌知名度最强的企业。未来，公司将持续加大海外市场开拓力度，加强与国际大型知名建筑承包商的紧密合作，进一步巩固和拓展海外市场，保持盾构机/TBM产品产销量全球第一的龙头地位。</w:t>
            </w:r>
          </w:p>
          <w:p w14:paraId="4282D6CF">
            <w:pPr>
              <w:widowControl/>
              <w:numPr>
                <w:ilvl w:val="255"/>
                <w:numId w:val="0"/>
              </w:numPr>
              <w:spacing w:line="380" w:lineRule="exact"/>
              <w:ind w:firstLine="480" w:firstLineChars="200"/>
              <w:rPr>
                <w:rFonts w:ascii="宋体" w:hAnsi="宋体"/>
                <w:sz w:val="24"/>
                <w:szCs w:val="22"/>
                <w:lang w:bidi="zh-CN"/>
              </w:rPr>
            </w:pPr>
            <w:r>
              <w:rPr>
                <w:rFonts w:hint="eastAsia" w:ascii="宋体" w:hAnsi="宋体"/>
                <w:sz w:val="24"/>
                <w:szCs w:val="22"/>
                <w:lang w:bidi="zh-CN"/>
              </w:rPr>
              <w:t>中铁工业盾构机/TBM在海外市场主要有以下优势：</w:t>
            </w:r>
            <w:r>
              <w:rPr>
                <w:rFonts w:hint="eastAsia" w:ascii="宋体" w:hAnsi="宋体"/>
                <w:b/>
                <w:bCs/>
                <w:sz w:val="24"/>
                <w:szCs w:val="22"/>
                <w:lang w:bidi="zh-CN"/>
              </w:rPr>
              <w:t>一是技术优势。</w:t>
            </w:r>
            <w:r>
              <w:rPr>
                <w:rFonts w:hint="eastAsia" w:ascii="宋体" w:hAnsi="宋体"/>
                <w:sz w:val="24"/>
                <w:szCs w:val="22"/>
                <w:lang w:bidi="zh-CN"/>
              </w:rPr>
              <w:t>公司</w:t>
            </w:r>
            <w:r>
              <w:rPr>
                <w:rFonts w:ascii="宋体" w:hAnsi="宋体"/>
                <w:sz w:val="24"/>
                <w:szCs w:val="22"/>
                <w:lang w:bidi="zh-CN"/>
              </w:rPr>
              <w:t>所属</w:t>
            </w:r>
            <w:r>
              <w:rPr>
                <w:rFonts w:hint="eastAsia" w:ascii="宋体" w:hAnsi="宋体"/>
                <w:sz w:val="24"/>
                <w:szCs w:val="22"/>
                <w:lang w:bidi="zh-CN"/>
              </w:rPr>
              <w:t>中铁装备</w:t>
            </w:r>
            <w:r>
              <w:rPr>
                <w:rFonts w:ascii="宋体" w:hAnsi="宋体"/>
                <w:sz w:val="24"/>
                <w:szCs w:val="22"/>
                <w:lang w:bidi="zh-CN"/>
              </w:rPr>
              <w:t>成长自国内隧道</w:t>
            </w:r>
            <w:r>
              <w:rPr>
                <w:rFonts w:hint="eastAsia" w:ascii="宋体" w:hAnsi="宋体"/>
                <w:sz w:val="24"/>
                <w:szCs w:val="22"/>
                <w:lang w:bidi="zh-CN"/>
              </w:rPr>
              <w:t>施工</w:t>
            </w:r>
            <w:r>
              <w:rPr>
                <w:rFonts w:ascii="宋体" w:hAnsi="宋体"/>
                <w:sz w:val="24"/>
                <w:szCs w:val="22"/>
                <w:lang w:bidi="zh-CN"/>
              </w:rPr>
              <w:t>龙头企业</w:t>
            </w:r>
            <w:r>
              <w:rPr>
                <w:rFonts w:hint="eastAsia" w:ascii="宋体" w:hAnsi="宋体"/>
                <w:sz w:val="24"/>
                <w:szCs w:val="22"/>
                <w:lang w:bidi="zh-CN"/>
              </w:rPr>
              <w:t>，在长期的隧道施工实践中</w:t>
            </w:r>
            <w:r>
              <w:rPr>
                <w:rFonts w:ascii="宋体" w:hAnsi="宋体"/>
                <w:sz w:val="24"/>
                <w:szCs w:val="22"/>
                <w:lang w:bidi="zh-CN"/>
              </w:rPr>
              <w:t>积累了丰富的装备制造经验</w:t>
            </w:r>
            <w:r>
              <w:rPr>
                <w:rFonts w:hint="eastAsia" w:ascii="宋体" w:hAnsi="宋体"/>
                <w:sz w:val="24"/>
                <w:szCs w:val="22"/>
                <w:lang w:bidi="zh-CN"/>
              </w:rPr>
              <w:t>，</w:t>
            </w:r>
            <w:r>
              <w:rPr>
                <w:rFonts w:ascii="宋体" w:hAnsi="宋体"/>
                <w:sz w:val="24"/>
                <w:szCs w:val="22"/>
                <w:lang w:bidi="zh-CN"/>
              </w:rPr>
              <w:t>所</w:t>
            </w:r>
            <w:r>
              <w:rPr>
                <w:rFonts w:hint="eastAsia" w:ascii="宋体" w:hAnsi="宋体"/>
                <w:sz w:val="24"/>
                <w:szCs w:val="22"/>
                <w:lang w:bidi="zh-CN"/>
              </w:rPr>
              <w:t>设计制造的</w:t>
            </w:r>
            <w:r>
              <w:rPr>
                <w:rFonts w:ascii="宋体" w:hAnsi="宋体"/>
                <w:sz w:val="24"/>
                <w:szCs w:val="22"/>
                <w:lang w:bidi="zh-CN"/>
              </w:rPr>
              <w:t>装</w:t>
            </w:r>
            <w:r>
              <w:rPr>
                <w:rFonts w:hint="eastAsia" w:ascii="宋体" w:hAnsi="宋体"/>
                <w:sz w:val="24"/>
                <w:szCs w:val="22"/>
                <w:lang w:bidi="zh-CN"/>
              </w:rPr>
              <w:t>备与地质高度适应和匹配，可以针对不同地层提供集合最前沿高精尖科学技术的专业隧道掘进设备。受益于公司在施工使用过程中大量的数据收集和不断改进，盾构机</w:t>
            </w:r>
            <w:r>
              <w:rPr>
                <w:rFonts w:ascii="宋体" w:hAnsi="宋体"/>
                <w:sz w:val="24"/>
                <w:szCs w:val="22"/>
                <w:lang w:bidi="zh-CN"/>
              </w:rPr>
              <w:t>和TBM等产品</w:t>
            </w:r>
            <w:r>
              <w:rPr>
                <w:rFonts w:hint="eastAsia" w:ascii="宋体" w:hAnsi="宋体"/>
                <w:sz w:val="24"/>
                <w:szCs w:val="22"/>
                <w:lang w:bidi="zh-CN"/>
              </w:rPr>
              <w:t>在适用性、匹配性、配套服务方面，以及整机设计技术方面处于领先地位，设备更新换代技术已走在竞争对手之前。</w:t>
            </w:r>
            <w:r>
              <w:rPr>
                <w:rFonts w:hint="eastAsia" w:ascii="宋体" w:hAnsi="宋体"/>
                <w:b/>
                <w:bCs/>
                <w:sz w:val="24"/>
                <w:szCs w:val="22"/>
                <w:lang w:bidi="zh-CN"/>
              </w:rPr>
              <w:t>二是业绩优势。</w:t>
            </w:r>
            <w:r>
              <w:rPr>
                <w:rFonts w:hint="eastAsia" w:ascii="宋体" w:hAnsi="宋体"/>
                <w:sz w:val="24"/>
                <w:szCs w:val="22"/>
                <w:lang w:bidi="zh-CN"/>
              </w:rPr>
              <w:t>目前公司隧道掘进机在海外市场累计获得超过1</w:t>
            </w:r>
            <w:r>
              <w:rPr>
                <w:rFonts w:ascii="宋体" w:hAnsi="宋体"/>
                <w:sz w:val="24"/>
                <w:szCs w:val="22"/>
                <w:lang w:bidi="zh-CN"/>
              </w:rPr>
              <w:t>7</w:t>
            </w:r>
            <w:r>
              <w:rPr>
                <w:rFonts w:hint="eastAsia" w:ascii="宋体" w:hAnsi="宋体"/>
                <w:sz w:val="24"/>
                <w:szCs w:val="22"/>
                <w:lang w:bidi="zh-CN"/>
              </w:rPr>
              <w:t>0台订单，设备多项性能在海外客户评价中名列前茅，海外项目的成功实施和良好的产品应用，对</w:t>
            </w:r>
            <w:r>
              <w:rPr>
                <w:rFonts w:ascii="宋体" w:hAnsi="宋体"/>
                <w:sz w:val="24"/>
                <w:szCs w:val="22"/>
                <w:lang w:bidi="zh-CN"/>
              </w:rPr>
              <w:t>新</w:t>
            </w:r>
            <w:r>
              <w:rPr>
                <w:rFonts w:hint="eastAsia" w:ascii="宋体" w:hAnsi="宋体"/>
                <w:sz w:val="24"/>
                <w:szCs w:val="22"/>
                <w:lang w:bidi="zh-CN"/>
              </w:rPr>
              <w:t>市场</w:t>
            </w:r>
            <w:r>
              <w:rPr>
                <w:rFonts w:ascii="宋体" w:hAnsi="宋体"/>
                <w:sz w:val="24"/>
                <w:szCs w:val="22"/>
                <w:lang w:bidi="zh-CN"/>
              </w:rPr>
              <w:t>和新领域的拓展形成了良性循环</w:t>
            </w:r>
            <w:r>
              <w:rPr>
                <w:rFonts w:hint="eastAsia" w:ascii="宋体" w:hAnsi="宋体"/>
                <w:sz w:val="24"/>
                <w:szCs w:val="22"/>
                <w:lang w:bidi="zh-CN"/>
              </w:rPr>
              <w:t>。</w:t>
            </w:r>
            <w:r>
              <w:rPr>
                <w:rFonts w:hint="eastAsia" w:ascii="宋体" w:hAnsi="宋体"/>
                <w:b/>
                <w:bCs/>
                <w:sz w:val="24"/>
                <w:szCs w:val="22"/>
                <w:lang w:bidi="zh-CN"/>
              </w:rPr>
              <w:t>三是品牌优势。</w:t>
            </w:r>
            <w:r>
              <w:rPr>
                <w:rFonts w:hint="eastAsia" w:ascii="宋体" w:hAnsi="宋体"/>
                <w:sz w:val="24"/>
                <w:szCs w:val="22"/>
                <w:lang w:bidi="zh-CN"/>
              </w:rPr>
              <w:t>2013年，中铁装备收购世界掌握TBM技术和生产能力的三大企业之一——德国维尔特公司硬岩掘进机及竖井钻机知识产权、品牌使用权，在海外实施“中铁装备+维尔特”双品牌战略，并通过海外业务不断拓展，提升了海外经营能力、增强了品牌效益，形成了排名全球前列的市场影响力。</w:t>
            </w:r>
            <w:r>
              <w:rPr>
                <w:rFonts w:hint="eastAsia" w:ascii="宋体" w:hAnsi="宋体"/>
                <w:b/>
                <w:bCs/>
                <w:sz w:val="24"/>
                <w:szCs w:val="22"/>
                <w:lang w:bidi="zh-CN"/>
              </w:rPr>
              <w:t>四是服务优势。</w:t>
            </w:r>
            <w:r>
              <w:rPr>
                <w:rFonts w:hint="eastAsia" w:ascii="宋体" w:hAnsi="宋体"/>
                <w:sz w:val="24"/>
                <w:szCs w:val="22"/>
                <w:lang w:bidi="zh-CN"/>
              </w:rPr>
              <w:t>公司建立了覆盖全球的海外市场经营网络，并在西欧、东南亚、东北亚等海外区域更加贴近主要应用市场的国家设立了实体化机构，在做好市场开拓的同时更好地发挥公司服务优势，以优质产品和优质服务赢得市场。</w:t>
            </w:r>
            <w:r>
              <w:rPr>
                <w:rFonts w:hint="eastAsia" w:ascii="宋体" w:hAnsi="宋体"/>
                <w:b/>
                <w:bCs/>
                <w:sz w:val="24"/>
                <w:szCs w:val="22"/>
                <w:lang w:bidi="zh-CN"/>
              </w:rPr>
              <w:t>五是策略优势。</w:t>
            </w:r>
            <w:r>
              <w:rPr>
                <w:rFonts w:hint="eastAsia" w:ascii="宋体" w:hAnsi="宋体"/>
                <w:sz w:val="24"/>
                <w:szCs w:val="22"/>
                <w:lang w:bidi="zh-CN"/>
              </w:rPr>
              <w:t>公司采取了与国际大型知名建筑承包商进行深度绑定的策略，实现了在高端市场和主要应用领域的持续突破。</w:t>
            </w:r>
          </w:p>
          <w:p w14:paraId="0D625E2A">
            <w:pPr>
              <w:widowControl/>
              <w:numPr>
                <w:ilvl w:val="255"/>
                <w:numId w:val="0"/>
              </w:numPr>
              <w:spacing w:line="380" w:lineRule="exact"/>
              <w:ind w:firstLine="482" w:firstLineChars="200"/>
              <w:rPr>
                <w:rFonts w:hint="eastAsia" w:ascii="宋体" w:hAnsi="宋体"/>
                <w:b/>
                <w:bCs/>
                <w:sz w:val="24"/>
                <w:szCs w:val="22"/>
                <w:lang w:bidi="zh-CN"/>
              </w:rPr>
            </w:pPr>
          </w:p>
          <w:p w14:paraId="6D4B8E3A">
            <w:pPr>
              <w:widowControl/>
              <w:numPr>
                <w:ilvl w:val="255"/>
                <w:numId w:val="0"/>
              </w:numPr>
              <w:spacing w:line="380" w:lineRule="exact"/>
              <w:ind w:firstLine="482" w:firstLineChars="200"/>
              <w:rPr>
                <w:rFonts w:ascii="宋体" w:hAnsi="宋体"/>
                <w:b/>
                <w:bCs/>
                <w:sz w:val="24"/>
                <w:szCs w:val="22"/>
                <w:lang w:bidi="zh-CN"/>
              </w:rPr>
            </w:pPr>
            <w:r>
              <w:rPr>
                <w:rFonts w:hint="eastAsia" w:ascii="宋体" w:hAnsi="宋体"/>
                <w:b/>
                <w:bCs/>
                <w:sz w:val="24"/>
                <w:szCs w:val="22"/>
                <w:lang w:bidi="zh-CN"/>
              </w:rPr>
              <w:t>4</w:t>
            </w:r>
            <w:r>
              <w:rPr>
                <w:rFonts w:ascii="宋体" w:hAnsi="宋体"/>
                <w:b/>
                <w:bCs/>
                <w:sz w:val="24"/>
                <w:szCs w:val="22"/>
                <w:lang w:bidi="zh-CN"/>
              </w:rPr>
              <w:t>.</w:t>
            </w:r>
            <w:r>
              <w:rPr>
                <w:rFonts w:hint="eastAsia" w:ascii="宋体" w:hAnsi="宋体"/>
                <w:b/>
                <w:bCs/>
                <w:sz w:val="24"/>
                <w:szCs w:val="22"/>
                <w:lang w:bidi="zh-CN"/>
              </w:rPr>
              <w:t>公司隧道掘进机在矿山领域的技术突破和市场前景。</w:t>
            </w:r>
          </w:p>
          <w:p w14:paraId="4B1015CC">
            <w:pPr>
              <w:widowControl/>
              <w:numPr>
                <w:ilvl w:val="255"/>
                <w:numId w:val="0"/>
              </w:numPr>
              <w:spacing w:line="380" w:lineRule="exact"/>
              <w:ind w:firstLine="480" w:firstLineChars="200"/>
              <w:rPr>
                <w:rFonts w:ascii="宋体" w:hAnsi="宋体"/>
                <w:sz w:val="24"/>
                <w:szCs w:val="22"/>
                <w:lang w:bidi="zh-CN"/>
              </w:rPr>
            </w:pPr>
            <w:r>
              <w:rPr>
                <w:rFonts w:hint="eastAsia" w:ascii="宋体" w:hAnsi="宋体"/>
                <w:sz w:val="24"/>
                <w:szCs w:val="22"/>
                <w:lang w:bidi="zh-CN"/>
              </w:rPr>
              <w:t>答：近年来，中铁工业凭借雄厚的研发制造实力和丰富的隧道施工经验，率先进入矿山隧道建设领域，瞄准巷道安全快速掘进的瓶颈和痛点，成功研制了超小转弯硬岩掘进机，突破了±16°大坡度掘进技术瓶颈，攻克了复杂出渣系统、长距离物料运输等施工难题，开创了巷道建设新范式；基于在盾构/TBM领域积累的隧道掘进机技术开发了适用于煤矿全煤/半煤岩巷道的“半煤岩自适应截割技术”“多元复合式除尘技术”“自动截割技术”“远程智能控制技术”等，研制了低矮型半煤岩快速掘锚成套装备等。除煤矿领域外，中铁工业一大批非煤矿用TBM、专用设备已成功应用于江铜银珠山铅锌矿、西鞍山铁矿、多宝山多金属矿、大中赫锂矿、宜安联合实业麻坪磷矿、三山岛金矿等，进一步引领资源开发向安全、高效、智能化迈进。</w:t>
            </w:r>
          </w:p>
          <w:p w14:paraId="5E76B8B5">
            <w:pPr>
              <w:widowControl/>
              <w:numPr>
                <w:ilvl w:val="255"/>
                <w:numId w:val="0"/>
              </w:numPr>
              <w:spacing w:line="380" w:lineRule="exact"/>
              <w:ind w:firstLine="480" w:firstLineChars="200"/>
              <w:rPr>
                <w:rFonts w:ascii="宋体" w:hAnsi="宋体"/>
                <w:sz w:val="24"/>
                <w:szCs w:val="22"/>
                <w:lang w:bidi="zh-CN"/>
              </w:rPr>
            </w:pPr>
            <w:r>
              <w:rPr>
                <w:rFonts w:hint="eastAsia" w:ascii="宋体" w:hAnsi="宋体"/>
                <w:sz w:val="24"/>
                <w:szCs w:val="22"/>
                <w:lang w:bidi="zh-CN"/>
              </w:rPr>
              <w:t>未来，随着“双碳”政策持续深化，绿色矿山建设是转变矿业经济发展方式、促进矿业高质量发展的必由之路，公司将持续深化盾构机/TBM、专用设备技术转化应用，着力研发适配深地开采、极硬岩地质的无人化装备，全力推动矿山全产业链实现绿色升级。</w:t>
            </w:r>
          </w:p>
        </w:tc>
      </w:tr>
    </w:tbl>
    <w:p w14:paraId="049B98A1">
      <w:pPr>
        <w:rPr>
          <w:rFonts w:cs="Times New Roman"/>
        </w:rPr>
      </w:pPr>
    </w:p>
    <w:p w14:paraId="603B1AF3">
      <w:pPr>
        <w:ind w:firstLine="482"/>
        <w:rPr>
          <w:rFonts w:cs="Times New Roman"/>
        </w:rPr>
      </w:pPr>
    </w:p>
    <w:p w14:paraId="5685BA89">
      <w:pPr>
        <w:ind w:firstLine="482"/>
        <w:rPr>
          <w:rFonts w:cs="Times New Roman"/>
        </w:rPr>
      </w:pPr>
    </w:p>
    <w:p w14:paraId="635206F0"/>
    <w:p w14:paraId="5CE117FA"/>
    <w:sectPr>
      <w:pgSz w:w="11910" w:h="16840"/>
      <w:pgMar w:top="142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EA"/>
    <w:rsid w:val="005D03EA"/>
    <w:rsid w:val="007B5F92"/>
    <w:rsid w:val="00AA471C"/>
    <w:rsid w:val="363D3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Revision"/>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2284</Words>
  <Characters>2375</Characters>
  <Lines>212</Lines>
  <Paragraphs>159</Paragraphs>
  <TotalTime>141</TotalTime>
  <ScaleCrop>false</ScaleCrop>
  <LinksUpToDate>false</LinksUpToDate>
  <CharactersWithSpaces>2491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2025-04-24T01:31:00Z</dcterms:created>
  <dc:creator>WH</dc:creator>
  <cp:lastModifiedBy>WH</cp:lastModifiedBy>
  <dcterms:modified xsi:type="dcterms:W3CDTF">2025-07-31T08:43:16Z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5A3428AF500F42888A99CA3056AC1233_13</vt:lpwstr>
  </property>
  <property fmtid="{D5CDD505-2E9C-101B-9397-08002B2CF9AE}" pid="4" name="KSOTemplateDocerSaveRecord">
    <vt:lpwstr>eyJoZGlkIjoiMDk0YWY5YWNiNDE5NmI3YTYwMGE1ZGJhY2M2ODQ0MjMiLCJ1c2VySWQiOiIyMTAzMDg0NTYifQ==</vt:lpwstr>
  </property>
</Properties>
</file>