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A8351D" w14:paraId="04BB9441" w14:textId="77777777">
        <w:trPr>
          <w:trHeight w:val="132"/>
        </w:trPr>
        <w:tc>
          <w:tcPr>
            <w:tcW w:w="4148" w:type="dxa"/>
          </w:tcPr>
          <w:p w14:paraId="75F58838" w14:textId="77777777" w:rsidR="00A8351D" w:rsidRDefault="00380974">
            <w:r>
              <w:rPr>
                <w:rFonts w:hint="eastAsia"/>
              </w:rPr>
              <w:t>证券代码：</w:t>
            </w:r>
            <w:r>
              <w:t>601607</w:t>
            </w:r>
          </w:p>
          <w:p w14:paraId="6777CCEB" w14:textId="77777777" w:rsidR="00A8351D" w:rsidRDefault="00A8351D"/>
        </w:tc>
        <w:tc>
          <w:tcPr>
            <w:tcW w:w="4148" w:type="dxa"/>
          </w:tcPr>
          <w:p w14:paraId="79FD47E2" w14:textId="77777777" w:rsidR="00A8351D" w:rsidRDefault="00380974">
            <w:pPr>
              <w:jc w:val="right"/>
            </w:pPr>
            <w:r>
              <w:rPr>
                <w:rFonts w:hint="eastAsia"/>
              </w:rPr>
              <w:t>证券简称：上海医药</w:t>
            </w:r>
          </w:p>
        </w:tc>
      </w:tr>
    </w:tbl>
    <w:p w14:paraId="2B332B80" w14:textId="77777777" w:rsidR="00A8351D" w:rsidRDefault="00380974">
      <w:pPr>
        <w:spacing w:line="440" w:lineRule="exact"/>
        <w:jc w:val="center"/>
        <w:rPr>
          <w:rStyle w:val="NormalCharacter"/>
          <w:rFonts w:ascii="宋体" w:hAnsi="宋体"/>
          <w:b/>
          <w:bCs/>
          <w:iCs/>
          <w:sz w:val="24"/>
        </w:rPr>
      </w:pPr>
      <w:r>
        <w:rPr>
          <w:rStyle w:val="NormalCharacter"/>
          <w:rFonts w:ascii="宋体" w:hAnsi="宋体"/>
          <w:b/>
          <w:bCs/>
          <w:iCs/>
          <w:sz w:val="24"/>
        </w:rPr>
        <w:t>上海医药</w:t>
      </w:r>
      <w:r>
        <w:rPr>
          <w:rStyle w:val="NormalCharacter"/>
          <w:rFonts w:ascii="宋体" w:hAnsi="宋体" w:hint="eastAsia"/>
          <w:b/>
          <w:bCs/>
          <w:iCs/>
          <w:sz w:val="24"/>
        </w:rPr>
        <w:t>集团</w:t>
      </w:r>
      <w:r>
        <w:rPr>
          <w:rStyle w:val="NormalCharacter"/>
          <w:rFonts w:ascii="宋体" w:hAnsi="宋体"/>
          <w:b/>
          <w:bCs/>
          <w:iCs/>
          <w:sz w:val="24"/>
        </w:rPr>
        <w:t>股份有限公司</w:t>
      </w:r>
    </w:p>
    <w:p w14:paraId="65189594" w14:textId="77777777" w:rsidR="00A8351D" w:rsidRDefault="00380974">
      <w:pPr>
        <w:spacing w:line="440" w:lineRule="exact"/>
        <w:jc w:val="center"/>
        <w:rPr>
          <w:rStyle w:val="NormalCharacter"/>
          <w:rFonts w:ascii="宋体" w:hAnsi="宋体"/>
          <w:b/>
          <w:bCs/>
          <w:iCs/>
          <w:sz w:val="24"/>
        </w:rPr>
      </w:pPr>
      <w:r>
        <w:rPr>
          <w:rStyle w:val="NormalCharacter"/>
          <w:rFonts w:ascii="宋体" w:hAnsi="宋体"/>
          <w:b/>
          <w:bCs/>
          <w:iCs/>
          <w:sz w:val="24"/>
        </w:rPr>
        <w:t>投资者关系活动记录表</w:t>
      </w:r>
    </w:p>
    <w:p w14:paraId="7B2F44ED" w14:textId="1AF717B4" w:rsidR="00A8351D" w:rsidRDefault="00380974">
      <w:pPr>
        <w:spacing w:line="440" w:lineRule="exact"/>
        <w:rPr>
          <w:rStyle w:val="NormalCharacter"/>
          <w:rFonts w:ascii="宋体" w:hAnsi="宋体"/>
          <w:bCs/>
          <w:iCs/>
          <w:sz w:val="24"/>
        </w:rPr>
      </w:pPr>
      <w:r>
        <w:rPr>
          <w:rStyle w:val="NormalCharacter"/>
          <w:rFonts w:ascii="宋体" w:hAnsi="宋体"/>
          <w:bCs/>
          <w:iCs/>
          <w:sz w:val="24"/>
        </w:rPr>
        <w:t xml:space="preserve">                                                      </w:t>
      </w:r>
      <w:r w:rsidR="00267287">
        <w:rPr>
          <w:rStyle w:val="NormalCharacter"/>
          <w:rFonts w:ascii="宋体" w:hAnsi="宋体"/>
          <w:bCs/>
          <w:iCs/>
          <w:sz w:val="24"/>
        </w:rPr>
        <w:t>编号：2025-003</w:t>
      </w:r>
    </w:p>
    <w:tbl>
      <w:tblPr>
        <w:tblW w:w="85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62"/>
        <w:gridCol w:w="7282"/>
      </w:tblGrid>
      <w:tr w:rsidR="00A8351D" w14:paraId="77FBAC0D" w14:textId="77777777">
        <w:trPr>
          <w:trHeight w:val="1881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2318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投资者关系活动类别</w:t>
            </w:r>
          </w:p>
          <w:p w14:paraId="0573383F" w14:textId="77777777" w:rsidR="00A8351D" w:rsidRDefault="00A8351D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8B46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 xml:space="preserve">特定对象调研        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>分析师会议</w:t>
            </w:r>
          </w:p>
          <w:p w14:paraId="5D88D3B8" w14:textId="584DD04B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 xml:space="preserve">媒体采访            </w:t>
            </w:r>
            <w:r w:rsidR="00B52F84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>业绩说明会</w:t>
            </w:r>
          </w:p>
          <w:p w14:paraId="652F2B22" w14:textId="44F0556E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 xml:space="preserve">新闻发布会          </w:t>
            </w:r>
            <w:r w:rsidR="00B52F84">
              <w:rPr>
                <w:rStyle w:val="NormalCharacter"/>
                <w:rFonts w:ascii="宋体" w:hAnsi="宋体"/>
                <w:bCs/>
                <w:iCs/>
                <w:sz w:val="24"/>
              </w:rPr>
              <w:sym w:font="Wingdings 2" w:char="F052"/>
            </w:r>
            <w:r>
              <w:rPr>
                <w:rStyle w:val="NormalCharacter"/>
                <w:rFonts w:ascii="宋体" w:hAnsi="宋体"/>
                <w:sz w:val="24"/>
              </w:rPr>
              <w:t>路演活动</w:t>
            </w:r>
          </w:p>
          <w:p w14:paraId="5D96A9C4" w14:textId="77777777" w:rsidR="00A8351D" w:rsidRDefault="00380974">
            <w:pPr>
              <w:tabs>
                <w:tab w:val="left" w:pos="3045"/>
                <w:tab w:val="center" w:pos="3199"/>
              </w:tabs>
              <w:spacing w:line="440" w:lineRule="exact"/>
              <w:ind w:left="1320" w:hangingChars="550" w:hanging="1320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>现场参观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ab/>
              <w:t xml:space="preserve">           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>其他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     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   </w:t>
            </w:r>
          </w:p>
        </w:tc>
      </w:tr>
      <w:tr w:rsidR="00A8351D" w14:paraId="71625F9A" w14:textId="77777777">
        <w:trPr>
          <w:trHeight w:val="1491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657D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参与单位名称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1C23" w14:textId="19D6FFD5" w:rsidR="00A8351D" w:rsidRDefault="00380974">
            <w:pPr>
              <w:spacing w:line="276" w:lineRule="auto"/>
              <w:jc w:val="left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ascii="宋体" w:hAnsi="宋体" w:hint="eastAsia"/>
                <w:bCs/>
                <w:sz w:val="24"/>
                <w:szCs w:val="22"/>
              </w:rPr>
              <w:t>参与机构：</w:t>
            </w:r>
            <w:r w:rsidR="00E70919">
              <w:rPr>
                <w:rFonts w:ascii="宋体" w:hAnsi="宋体" w:hint="eastAsia"/>
                <w:bCs/>
                <w:sz w:val="24"/>
                <w:szCs w:val="22"/>
              </w:rPr>
              <w:t>U</w:t>
            </w:r>
            <w:r w:rsidR="00E70919">
              <w:rPr>
                <w:rFonts w:ascii="宋体" w:hAnsi="宋体"/>
                <w:bCs/>
                <w:sz w:val="24"/>
                <w:szCs w:val="22"/>
              </w:rPr>
              <w:t>BS</w:t>
            </w:r>
            <w:r w:rsidR="00E70919">
              <w:rPr>
                <w:rFonts w:ascii="宋体" w:hAnsi="宋体" w:hint="eastAsia"/>
                <w:bCs/>
                <w:sz w:val="24"/>
                <w:szCs w:val="22"/>
              </w:rPr>
              <w:t>、美银美林、中信里昂、</w:t>
            </w:r>
            <w:r w:rsidR="00E70919" w:rsidRPr="00E70919">
              <w:rPr>
                <w:rFonts w:ascii="宋体" w:hAnsi="宋体" w:hint="eastAsia"/>
                <w:bCs/>
                <w:sz w:val="24"/>
                <w:szCs w:val="22"/>
              </w:rPr>
              <w:t>摩根士坦利</w:t>
            </w:r>
            <w:r w:rsidR="00E70919">
              <w:rPr>
                <w:rFonts w:ascii="宋体" w:hAnsi="宋体" w:hint="eastAsia"/>
                <w:bCs/>
                <w:sz w:val="24"/>
                <w:szCs w:val="22"/>
              </w:rPr>
              <w:t>、高盛、</w:t>
            </w:r>
            <w:r w:rsidR="000E6C03">
              <w:rPr>
                <w:rFonts w:ascii="宋体" w:hAnsi="宋体" w:hint="eastAsia"/>
                <w:bCs/>
                <w:sz w:val="24"/>
                <w:szCs w:val="22"/>
              </w:rPr>
              <w:t>银河证券、中信证券、东吴证券、</w:t>
            </w:r>
            <w:r w:rsidR="00267287">
              <w:rPr>
                <w:rFonts w:ascii="宋体" w:hAnsi="宋体" w:hint="eastAsia"/>
                <w:bCs/>
                <w:sz w:val="24"/>
                <w:szCs w:val="22"/>
              </w:rPr>
              <w:t>国盛证券、平安证券、兴业证券、南方基金、</w:t>
            </w:r>
            <w:r w:rsidR="000E6C03">
              <w:rPr>
                <w:rFonts w:ascii="宋体" w:hAnsi="宋体" w:hint="eastAsia"/>
                <w:bCs/>
                <w:sz w:val="24"/>
                <w:szCs w:val="22"/>
              </w:rPr>
              <w:t>东吴人寿、人保资产、财通基金、易方达基金、</w:t>
            </w:r>
            <w:r w:rsidR="00267287">
              <w:rPr>
                <w:rFonts w:ascii="宋体" w:hAnsi="宋体" w:hint="eastAsia"/>
                <w:bCs/>
                <w:sz w:val="24"/>
                <w:szCs w:val="22"/>
              </w:rPr>
              <w:t>中邮人寿</w:t>
            </w:r>
            <w:r w:rsidR="00390DD1">
              <w:rPr>
                <w:rFonts w:ascii="宋体" w:hAnsi="宋体" w:hint="eastAsia"/>
                <w:bCs/>
                <w:sz w:val="24"/>
                <w:szCs w:val="22"/>
              </w:rPr>
              <w:t>等</w:t>
            </w:r>
            <w:r w:rsidR="000311C7">
              <w:rPr>
                <w:rFonts w:ascii="宋体" w:hAnsi="宋体"/>
                <w:bCs/>
                <w:sz w:val="24"/>
                <w:szCs w:val="22"/>
              </w:rPr>
              <w:t>104</w:t>
            </w:r>
            <w:r>
              <w:rPr>
                <w:rFonts w:ascii="宋体" w:hAnsi="宋体" w:hint="eastAsia"/>
                <w:bCs/>
                <w:sz w:val="24"/>
                <w:szCs w:val="22"/>
              </w:rPr>
              <w:t>人</w:t>
            </w:r>
            <w:r w:rsidR="00B52F84">
              <w:rPr>
                <w:rFonts w:ascii="宋体" w:hAnsi="宋体" w:hint="eastAsia"/>
                <w:bCs/>
                <w:sz w:val="24"/>
                <w:szCs w:val="22"/>
              </w:rPr>
              <w:t>次</w:t>
            </w:r>
            <w:r>
              <w:rPr>
                <w:rFonts w:ascii="宋体" w:hAnsi="宋体" w:hint="eastAsia"/>
                <w:bCs/>
                <w:sz w:val="24"/>
                <w:szCs w:val="22"/>
              </w:rPr>
              <w:t>。</w:t>
            </w:r>
          </w:p>
        </w:tc>
      </w:tr>
      <w:tr w:rsidR="00A8351D" w14:paraId="22517B72" w14:textId="77777777">
        <w:trPr>
          <w:trHeight w:val="774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A7E92" w14:textId="77777777" w:rsidR="00A8351D" w:rsidRDefault="00380974">
            <w:pPr>
              <w:spacing w:line="440" w:lineRule="exact"/>
              <w:jc w:val="center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时间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688F8" w14:textId="65988000" w:rsidR="00A8351D" w:rsidRDefault="00380974">
            <w:pPr>
              <w:spacing w:line="276" w:lineRule="auto"/>
              <w:jc w:val="lef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202</w:t>
            </w:r>
            <w:r w:rsidR="000C281C">
              <w:rPr>
                <w:rStyle w:val="NormalCharacter"/>
                <w:rFonts w:ascii="宋体" w:hAnsi="宋体"/>
                <w:bCs/>
                <w:iCs/>
                <w:sz w:val="24"/>
              </w:rPr>
              <w:t>5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年</w:t>
            </w:r>
            <w:r w:rsidR="000E6C03">
              <w:rPr>
                <w:rStyle w:val="NormalCharacter"/>
                <w:rFonts w:ascii="宋体" w:hAnsi="宋体"/>
                <w:bCs/>
                <w:iCs/>
                <w:sz w:val="24"/>
              </w:rPr>
              <w:t>7</w:t>
            </w:r>
            <w:r w:rsidR="00507760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月</w:t>
            </w:r>
            <w:r w:rsidR="00390DD1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1日-</w:t>
            </w:r>
            <w:r w:rsidR="000E6C03">
              <w:rPr>
                <w:rStyle w:val="NormalCharacter"/>
                <w:rFonts w:ascii="宋体" w:hAnsi="宋体"/>
                <w:bCs/>
                <w:iCs/>
                <w:sz w:val="24"/>
              </w:rPr>
              <w:t>7</w:t>
            </w:r>
            <w:r w:rsidR="00390DD1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月</w:t>
            </w:r>
            <w:r w:rsidR="002839D7">
              <w:rPr>
                <w:rStyle w:val="NormalCharacter"/>
                <w:rFonts w:ascii="宋体" w:hAnsi="宋体"/>
                <w:bCs/>
                <w:iCs/>
                <w:sz w:val="24"/>
              </w:rPr>
              <w:t>31</w:t>
            </w:r>
            <w:r w:rsidR="00390DD1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日</w:t>
            </w:r>
          </w:p>
        </w:tc>
      </w:tr>
      <w:tr w:rsidR="00A8351D" w14:paraId="72C8E93D" w14:textId="77777777">
        <w:trPr>
          <w:trHeight w:val="670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986BA" w14:textId="77777777" w:rsidR="00A8351D" w:rsidRDefault="00380974">
            <w:pPr>
              <w:spacing w:line="440" w:lineRule="exact"/>
              <w:jc w:val="center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地点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5DE5" w14:textId="73F91659" w:rsidR="00A8351D" w:rsidRDefault="0088087C">
            <w:pPr>
              <w:spacing w:line="276" w:lineRule="auto"/>
              <w:jc w:val="lef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香港总部、</w:t>
            </w:r>
            <w:r w:rsidR="00982269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上海医药大厦会议室、</w:t>
            </w:r>
            <w:r w:rsidR="00B52F84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策略会</w:t>
            </w:r>
            <w:r w:rsidR="00982269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等</w:t>
            </w:r>
          </w:p>
        </w:tc>
      </w:tr>
      <w:tr w:rsidR="00A8351D" w14:paraId="3D033AE1" w14:textId="77777777" w:rsidTr="00B52F84">
        <w:trPr>
          <w:trHeight w:val="1019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BB34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上市公司接待人员姓名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70CC4" w14:textId="5BA162D9" w:rsidR="00E70919" w:rsidRDefault="00E70919" w:rsidP="00B52F84">
            <w:pPr>
              <w:spacing w:line="276" w:lineRule="auto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 xml:space="preserve">副总裁、董事会秘书 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 xml:space="preserve"> 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 xml:space="preserve">钟 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 xml:space="preserve"> 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涛</w:t>
            </w:r>
          </w:p>
          <w:p w14:paraId="14C8CC36" w14:textId="104BC77D" w:rsidR="000E6C03" w:rsidRDefault="000E6C03" w:rsidP="00B52F84">
            <w:pPr>
              <w:spacing w:line="276" w:lineRule="auto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 xml:space="preserve">证券事务代表 </w:t>
            </w:r>
            <w:r w:rsidR="00E70919">
              <w:rPr>
                <w:rStyle w:val="NormalCharacter"/>
                <w:rFonts w:ascii="宋体" w:hAnsi="宋体"/>
                <w:bCs/>
                <w:iCs/>
                <w:sz w:val="24"/>
              </w:rPr>
              <w:t xml:space="preserve">     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 xml:space="preserve">  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刘咏涛</w:t>
            </w:r>
          </w:p>
          <w:p w14:paraId="2A5EB375" w14:textId="61E62E2C" w:rsidR="003D4770" w:rsidRDefault="00B52F84" w:rsidP="00B52F84">
            <w:pPr>
              <w:spacing w:line="276" w:lineRule="auto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 xml:space="preserve">证券事务代表 </w:t>
            </w:r>
            <w:r w:rsidR="00E70919">
              <w:rPr>
                <w:rStyle w:val="NormalCharacter"/>
                <w:rFonts w:ascii="宋体" w:hAnsi="宋体"/>
                <w:bCs/>
                <w:iCs/>
                <w:sz w:val="24"/>
              </w:rPr>
              <w:t xml:space="preserve">     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 xml:space="preserve">  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孙诗旖</w:t>
            </w:r>
          </w:p>
          <w:p w14:paraId="6BB5EAF2" w14:textId="16B116CB" w:rsidR="00E70919" w:rsidRPr="00B52F84" w:rsidRDefault="000E6C03" w:rsidP="00B52F84">
            <w:pPr>
              <w:spacing w:line="276" w:lineRule="auto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I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 xml:space="preserve">R           </w:t>
            </w:r>
            <w:r w:rsidR="00E70919">
              <w:rPr>
                <w:rStyle w:val="NormalCharacter"/>
                <w:rFonts w:ascii="宋体" w:hAnsi="宋体"/>
                <w:bCs/>
                <w:iCs/>
                <w:sz w:val="24"/>
              </w:rPr>
              <w:t xml:space="preserve">     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 xml:space="preserve">  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王梓安</w:t>
            </w:r>
          </w:p>
        </w:tc>
      </w:tr>
      <w:tr w:rsidR="00A8351D" w14:paraId="3C670D49" w14:textId="77777777">
        <w:trPr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6920B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投资者关系活动主要内容介绍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CF3F5" w14:textId="3F2AEB1C" w:rsidR="00943B43" w:rsidRDefault="00943B43" w:rsidP="002B01D8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Q：公司2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025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年</w:t>
            </w:r>
            <w:r w:rsidRPr="00943B4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上半年度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归母</w:t>
            </w:r>
            <w:r w:rsidRPr="00943B4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净利同比增长约52%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，其中和黄的投资收益贡献多少？</w:t>
            </w:r>
          </w:p>
          <w:p w14:paraId="6C8A7952" w14:textId="6955B19F" w:rsidR="00943B43" w:rsidRPr="00943B43" w:rsidRDefault="00943B43" w:rsidP="00943B43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A：公司</w:t>
            </w:r>
            <w:r w:rsidRPr="00943B43">
              <w:rPr>
                <w:rFonts w:ascii="宋体" w:hAnsi="宋体" w:cs="宋体" w:hint="eastAsia"/>
                <w:kern w:val="0"/>
                <w:sz w:val="24"/>
              </w:rPr>
              <w:t>经财务部门初步测算，预计2025年上半年度实现归属于母公司所有者的净利润同比增长约52%</w:t>
            </w:r>
            <w:r>
              <w:rPr>
                <w:rFonts w:ascii="宋体" w:hAnsi="宋体" w:cs="宋体" w:hint="eastAsia"/>
                <w:kern w:val="0"/>
                <w:sz w:val="24"/>
              </w:rPr>
              <w:t>，主要是由于</w:t>
            </w:r>
            <w:r w:rsidRPr="00943B43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>
              <w:rPr>
                <w:rFonts w:ascii="宋体" w:hAnsi="宋体" w:cs="宋体" w:hint="eastAsia"/>
                <w:kern w:val="0"/>
                <w:sz w:val="24"/>
              </w:rPr>
              <w:t>收购和黄股权后，</w:t>
            </w:r>
            <w:r w:rsidRPr="00943B43">
              <w:rPr>
                <w:rFonts w:ascii="宋体" w:hAnsi="宋体" w:cs="宋体" w:hint="eastAsia"/>
                <w:kern w:val="0"/>
                <w:sz w:val="24"/>
              </w:rPr>
              <w:t>根据会计准则</w:t>
            </w:r>
            <w:r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Pr="00943B43">
              <w:rPr>
                <w:rFonts w:ascii="宋体" w:hAnsi="宋体" w:cs="宋体" w:hint="eastAsia"/>
                <w:kern w:val="0"/>
                <w:sz w:val="24"/>
              </w:rPr>
              <w:t>对于购买日之前持有</w:t>
            </w:r>
            <w:r>
              <w:rPr>
                <w:rFonts w:ascii="宋体" w:hAnsi="宋体" w:cs="宋体" w:hint="eastAsia"/>
                <w:kern w:val="0"/>
                <w:sz w:val="24"/>
              </w:rPr>
              <w:t>和黄</w:t>
            </w:r>
            <w:r w:rsidRPr="00943B43">
              <w:rPr>
                <w:rFonts w:ascii="宋体" w:hAnsi="宋体" w:cs="宋体" w:hint="eastAsia"/>
                <w:kern w:val="0"/>
                <w:sz w:val="24"/>
              </w:rPr>
              <w:t>股权进行重新计量</w:t>
            </w:r>
            <w:r>
              <w:rPr>
                <w:rFonts w:ascii="宋体" w:hAnsi="宋体" w:cs="宋体" w:hint="eastAsia"/>
                <w:kern w:val="0"/>
                <w:sz w:val="24"/>
              </w:rPr>
              <w:t>产生的</w:t>
            </w:r>
            <w:r w:rsidRPr="00943B43">
              <w:rPr>
                <w:rFonts w:ascii="宋体" w:hAnsi="宋体" w:cs="宋体" w:hint="eastAsia"/>
                <w:kern w:val="0"/>
                <w:sz w:val="24"/>
              </w:rPr>
              <w:t>投资收益</w:t>
            </w:r>
            <w:r w:rsidRPr="00C92DBB">
              <w:rPr>
                <w:rFonts w:ascii="宋体" w:hAnsi="宋体" w:cs="宋体" w:hint="eastAsia"/>
                <w:kern w:val="0"/>
                <w:sz w:val="24"/>
              </w:rPr>
              <w:t>。其中，和黄贡献的投资收益以及公司</w:t>
            </w:r>
            <w:r w:rsidR="006A4104" w:rsidRPr="00C92DBB">
              <w:rPr>
                <w:rFonts w:ascii="宋体" w:hAnsi="宋体" w:cs="宋体" w:hint="eastAsia"/>
                <w:kern w:val="0"/>
                <w:sz w:val="24"/>
              </w:rPr>
              <w:t>主营</w:t>
            </w:r>
            <w:r w:rsidRPr="00C92DBB">
              <w:rPr>
                <w:rFonts w:ascii="宋体" w:hAnsi="宋体" w:cs="宋体" w:hint="eastAsia"/>
                <w:kern w:val="0"/>
                <w:sz w:val="24"/>
              </w:rPr>
              <w:t>业务增长</w:t>
            </w:r>
            <w:r w:rsidR="00656AE9" w:rsidRPr="00C92DBB">
              <w:rPr>
                <w:rFonts w:ascii="宋体" w:hAnsi="宋体" w:cs="宋体" w:hint="eastAsia"/>
                <w:kern w:val="0"/>
                <w:sz w:val="24"/>
              </w:rPr>
              <w:t>并未具体拆分，还需等半年报发布进行披露。</w:t>
            </w:r>
          </w:p>
          <w:p w14:paraId="11E8131B" w14:textId="77777777" w:rsidR="00943B43" w:rsidRDefault="00943B43" w:rsidP="002B01D8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56BD106C" w14:textId="4C37C0B1" w:rsidR="002B01D8" w:rsidRPr="000106BF" w:rsidRDefault="002B01D8" w:rsidP="002B01D8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</w:t>
            </w:r>
            <w:r w:rsidR="000E6C0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商业板块南北融合成效</w:t>
            </w:r>
            <w:r w:rsidR="00E10AB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。</w:t>
            </w:r>
          </w:p>
          <w:p w14:paraId="2232D53C" w14:textId="48C03FE7" w:rsidR="002B01D8" w:rsidRDefault="002B01D8" w:rsidP="00D00FB6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</w:t>
            </w:r>
            <w:r w:rsidR="0059383F" w:rsidRPr="0059383F">
              <w:rPr>
                <w:rFonts w:ascii="宋体" w:hAnsi="宋体" w:cs="宋体" w:hint="eastAsia"/>
                <w:kern w:val="0"/>
                <w:sz w:val="24"/>
              </w:rPr>
              <w:t>在</w:t>
            </w:r>
            <w:r w:rsidR="00E82F2B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 w:rsidR="0059383F" w:rsidRPr="0059383F">
              <w:rPr>
                <w:rFonts w:ascii="宋体" w:hAnsi="宋体" w:cs="宋体" w:hint="eastAsia"/>
                <w:kern w:val="0"/>
                <w:sz w:val="24"/>
              </w:rPr>
              <w:t>商业网络布局上，公司以南北业务整合为基础，持续完善全国一体化的运营体系，通过中后台统一管控与核心区域补强，形成了覆盖25个省市区的集约化、高效化网络，进一步放大规模效应。</w:t>
            </w:r>
            <w:r w:rsidR="00E82F2B">
              <w:rPr>
                <w:rFonts w:ascii="宋体" w:hAnsi="宋体" w:cs="宋体" w:hint="eastAsia"/>
                <w:kern w:val="0"/>
                <w:sz w:val="24"/>
              </w:rPr>
              <w:t>从三项费率来看，2</w:t>
            </w:r>
            <w:r w:rsidR="00E82F2B">
              <w:rPr>
                <w:rFonts w:ascii="宋体" w:hAnsi="宋体" w:cs="宋体"/>
                <w:kern w:val="0"/>
                <w:sz w:val="24"/>
              </w:rPr>
              <w:t>025</w:t>
            </w:r>
            <w:r w:rsidR="00E82F2B">
              <w:rPr>
                <w:rFonts w:ascii="宋体" w:hAnsi="宋体" w:cs="宋体" w:hint="eastAsia"/>
                <w:kern w:val="0"/>
                <w:sz w:val="24"/>
              </w:rPr>
              <w:t>年第一季度商业板块三项费率下降0</w:t>
            </w:r>
            <w:r w:rsidR="00E82F2B">
              <w:rPr>
                <w:rFonts w:ascii="宋体" w:hAnsi="宋体" w:cs="宋体"/>
                <w:kern w:val="0"/>
                <w:sz w:val="24"/>
              </w:rPr>
              <w:t>.18</w:t>
            </w:r>
            <w:r w:rsidR="00E82F2B">
              <w:rPr>
                <w:rFonts w:ascii="宋体" w:hAnsi="宋体" w:cs="宋体" w:hint="eastAsia"/>
                <w:kern w:val="0"/>
                <w:sz w:val="24"/>
              </w:rPr>
              <w:t>个百分点。</w:t>
            </w:r>
          </w:p>
          <w:p w14:paraId="69A00556" w14:textId="5C81909E" w:rsidR="000E6C03" w:rsidRDefault="000E6C03" w:rsidP="000E6C03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75B8AF6" w14:textId="7679373C" w:rsidR="00DC5261" w:rsidRDefault="00DC5261" w:rsidP="00DC5261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Q：公司商业板块创新业务</w:t>
            </w:r>
            <w:r w:rsidR="00913BD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增长如何</w:t>
            </w:r>
          </w:p>
          <w:p w14:paraId="7195F5CE" w14:textId="77BB629C" w:rsidR="00DC5261" w:rsidRPr="00DC5261" w:rsidRDefault="00DC5261" w:rsidP="00AA03E2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A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="00AA03E2" w:rsidRPr="00AA03E2">
              <w:rPr>
                <w:rFonts w:ascii="宋体" w:hAnsi="宋体" w:cs="宋体" w:hint="eastAsia"/>
                <w:kern w:val="0"/>
                <w:sz w:val="24"/>
              </w:rPr>
              <w:t>在2025年第一季度，公司医药商业创新药板块实现销售125亿元，同比增幅23.2%。在器械及大健康业务方面，实现销售109亿元，同比增长6.9%。在药品的合约销售业务方面</w:t>
            </w:r>
            <w:r w:rsidR="0089640C">
              <w:rPr>
                <w:rFonts w:ascii="宋体" w:hAnsi="宋体" w:cs="宋体" w:hint="eastAsia"/>
                <w:kern w:val="0"/>
                <w:sz w:val="24"/>
              </w:rPr>
              <w:t>，积极引进新品种，于6月和博安生物</w:t>
            </w:r>
            <w:r w:rsidR="0089640C" w:rsidRPr="0089640C">
              <w:rPr>
                <w:rFonts w:ascii="宋体" w:hAnsi="宋体" w:cs="宋体" w:hint="eastAsia"/>
                <w:kern w:val="0"/>
                <w:sz w:val="24"/>
              </w:rPr>
              <w:t>签署战略合作协议</w:t>
            </w:r>
            <w:r w:rsidR="00AA03E2" w:rsidRPr="00AA03E2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89640C" w:rsidRPr="0089640C">
              <w:rPr>
                <w:rFonts w:ascii="宋体" w:hAnsi="宋体" w:cs="宋体" w:hint="eastAsia"/>
                <w:kern w:val="0"/>
                <w:sz w:val="24"/>
              </w:rPr>
              <w:t>获得博安生物自主研发的GLP-1受体激动剂类降糖药度拉糖肽注射液（BA5101）在中国大陆地区的独家全渠道终端推广及全国总经销权</w:t>
            </w:r>
            <w:r w:rsidR="00AA03E2" w:rsidRPr="00AA03E2">
              <w:rPr>
                <w:rFonts w:ascii="宋体" w:hAnsi="宋体" w:cs="宋体" w:hint="eastAsia"/>
                <w:kern w:val="0"/>
                <w:sz w:val="24"/>
              </w:rPr>
              <w:t>。未来，公司将继续深化</w:t>
            </w:r>
            <w:r w:rsidR="00913BDB">
              <w:rPr>
                <w:rFonts w:ascii="宋体" w:hAnsi="宋体" w:cs="宋体" w:hint="eastAsia"/>
                <w:kern w:val="0"/>
                <w:sz w:val="24"/>
              </w:rPr>
              <w:t>创新</w:t>
            </w:r>
            <w:r w:rsidR="00AA03E2" w:rsidRPr="00AA03E2">
              <w:rPr>
                <w:rFonts w:ascii="宋体" w:hAnsi="宋体" w:cs="宋体" w:hint="eastAsia"/>
                <w:kern w:val="0"/>
                <w:sz w:val="24"/>
              </w:rPr>
              <w:t>业务</w:t>
            </w:r>
            <w:r w:rsidR="00913BDB">
              <w:rPr>
                <w:rFonts w:ascii="宋体" w:hAnsi="宋体" w:cs="宋体" w:hint="eastAsia"/>
                <w:kern w:val="0"/>
                <w:sz w:val="24"/>
              </w:rPr>
              <w:t>模式</w:t>
            </w:r>
            <w:r w:rsidR="00AA03E2" w:rsidRPr="00AA03E2">
              <w:rPr>
                <w:rFonts w:ascii="宋体" w:hAnsi="宋体" w:cs="宋体" w:hint="eastAsia"/>
                <w:kern w:val="0"/>
                <w:sz w:val="24"/>
              </w:rPr>
              <w:t>、拓展产品品类、提升服务能级，承接更多优质品种。</w:t>
            </w:r>
          </w:p>
          <w:p w14:paraId="2C1E584F" w14:textId="77777777" w:rsidR="00DC5261" w:rsidRPr="00DC5261" w:rsidRDefault="00DC5261" w:rsidP="000E6C03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DF30BE9" w14:textId="445D89EE" w:rsidR="00A8351D" w:rsidRDefault="00380974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</w:t>
            </w:r>
            <w:r w:rsidR="00A721E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公司创新管线最新进展</w:t>
            </w:r>
          </w:p>
          <w:p w14:paraId="728493B3" w14:textId="13110B6F" w:rsidR="000106BF" w:rsidRDefault="00380974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</w:t>
            </w:r>
            <w:r w:rsidR="00415BD0" w:rsidRPr="00415BD0">
              <w:rPr>
                <w:rFonts w:ascii="宋体" w:hAnsi="宋体" w:cs="宋体" w:hint="eastAsia"/>
                <w:kern w:val="0"/>
                <w:sz w:val="24"/>
              </w:rPr>
              <w:t>公司始终坚持研发创新，在研新药管线已有54项，其中创新药40项，改良型新药14项，并持续取得新进展。公司自研的I001片针对高血压适应症的NDA上市申请已获得CDE受理。</w:t>
            </w:r>
            <w:r w:rsidR="005C258F">
              <w:rPr>
                <w:rFonts w:ascii="宋体" w:hAnsi="宋体" w:cs="宋体" w:hint="eastAsia"/>
                <w:kern w:val="0"/>
                <w:sz w:val="24"/>
              </w:rPr>
              <w:t>自免领域药物B</w:t>
            </w:r>
            <w:r w:rsidR="005C258F">
              <w:rPr>
                <w:rFonts w:ascii="宋体" w:hAnsi="宋体" w:cs="宋体"/>
                <w:kern w:val="0"/>
                <w:sz w:val="24"/>
              </w:rPr>
              <w:t>CD-085</w:t>
            </w:r>
            <w:r w:rsidR="005C258F">
              <w:rPr>
                <w:rFonts w:ascii="宋体" w:hAnsi="宋体" w:cs="宋体" w:hint="eastAsia"/>
                <w:kern w:val="0"/>
                <w:sz w:val="24"/>
              </w:rPr>
              <w:t>强直性脊柱炎和银屑病两项适应症</w:t>
            </w:r>
            <w:r w:rsidR="005C258F" w:rsidRPr="00415BD0">
              <w:rPr>
                <w:rFonts w:ascii="宋体" w:hAnsi="宋体" w:cs="宋体" w:hint="eastAsia"/>
                <w:kern w:val="0"/>
                <w:sz w:val="24"/>
              </w:rPr>
              <w:t>的NDA上市申请已获得CDE受理</w:t>
            </w:r>
            <w:r w:rsidR="005C258F">
              <w:rPr>
                <w:rFonts w:ascii="宋体" w:hAnsi="宋体" w:cs="宋体" w:hint="eastAsia"/>
                <w:kern w:val="0"/>
                <w:sz w:val="24"/>
              </w:rPr>
              <w:t>。</w:t>
            </w:r>
            <w:r w:rsidR="00415BD0" w:rsidRPr="00415BD0">
              <w:rPr>
                <w:rFonts w:ascii="宋体" w:hAnsi="宋体" w:cs="宋体" w:hint="eastAsia"/>
                <w:kern w:val="0"/>
                <w:sz w:val="24"/>
              </w:rPr>
              <w:t>自研的全球创新型抗CD20抗体药物B001项目（静脉注射）针对视神经脊髓炎谱系疾病（NMOSD）适应症，已正式进入关键临床研究</w:t>
            </w:r>
            <w:r w:rsidR="005C258F">
              <w:rPr>
                <w:rFonts w:ascii="宋体" w:hAnsi="宋体" w:cs="宋体" w:hint="eastAsia"/>
                <w:kern w:val="0"/>
                <w:sz w:val="24"/>
              </w:rPr>
              <w:t>，此外</w:t>
            </w:r>
            <w:r w:rsidR="00475E07">
              <w:rPr>
                <w:rFonts w:ascii="宋体" w:hAnsi="宋体" w:cs="宋体" w:hint="eastAsia"/>
                <w:kern w:val="0"/>
                <w:sz w:val="24"/>
              </w:rPr>
              <w:t>B</w:t>
            </w:r>
            <w:r w:rsidR="00475E07">
              <w:rPr>
                <w:rFonts w:ascii="宋体" w:hAnsi="宋体" w:cs="宋体"/>
                <w:kern w:val="0"/>
                <w:sz w:val="24"/>
              </w:rPr>
              <w:t>007项目</w:t>
            </w:r>
            <w:r w:rsidR="00415BD0" w:rsidRPr="00415BD0">
              <w:rPr>
                <w:rFonts w:ascii="宋体" w:hAnsi="宋体" w:cs="宋体" w:hint="eastAsia"/>
                <w:kern w:val="0"/>
                <w:sz w:val="24"/>
              </w:rPr>
              <w:t>膜性肾病、重症肌无力和天疱疮3个适应症已进入临床II期。</w:t>
            </w:r>
          </w:p>
          <w:p w14:paraId="72CBEFDD" w14:textId="77777777" w:rsidR="005C258F" w:rsidRPr="00962505" w:rsidRDefault="005C258F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1A80DBA" w14:textId="1B73C401" w:rsidR="004C7EFF" w:rsidRPr="004C7EFF" w:rsidRDefault="004C7EFF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C7EF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</w:t>
            </w:r>
            <w:r w:rsidR="00A9117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上海和黄的并表时间以及后续如何发展</w:t>
            </w:r>
          </w:p>
          <w:p w14:paraId="0DC0B169" w14:textId="38804AAF" w:rsidR="004C7EFF" w:rsidRDefault="004C7EFF" w:rsidP="00A91173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</w:t>
            </w:r>
            <w:r w:rsidR="00A91173" w:rsidRPr="00A91173">
              <w:rPr>
                <w:rFonts w:ascii="宋体" w:hAnsi="宋体" w:cs="宋体" w:hint="eastAsia"/>
                <w:kern w:val="0"/>
                <w:sz w:val="24"/>
              </w:rPr>
              <w:t>公司于2025年4月25日完成收购上海和黄药业有限公司10%股权的交割手续</w:t>
            </w:r>
            <w:r w:rsidR="00425DBD">
              <w:rPr>
                <w:rFonts w:ascii="宋体" w:hAnsi="宋体" w:cs="宋体" w:hint="eastAsia"/>
                <w:kern w:val="0"/>
                <w:sz w:val="24"/>
              </w:rPr>
              <w:t>并开始实施并表</w:t>
            </w:r>
            <w:r w:rsidR="00A91173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A91173" w:rsidRPr="00A91173">
              <w:rPr>
                <w:rFonts w:ascii="宋体" w:hAnsi="宋体" w:cs="宋体" w:hint="eastAsia"/>
                <w:kern w:val="0"/>
                <w:sz w:val="24"/>
              </w:rPr>
              <w:t>合计持有</w:t>
            </w:r>
            <w:r w:rsidR="00475E07">
              <w:rPr>
                <w:rFonts w:ascii="宋体" w:hAnsi="宋体" w:cs="宋体" w:hint="eastAsia"/>
                <w:kern w:val="0"/>
                <w:sz w:val="24"/>
              </w:rPr>
              <w:t>上海</w:t>
            </w:r>
            <w:r w:rsidR="00A91173" w:rsidRPr="00A91173">
              <w:rPr>
                <w:rFonts w:ascii="宋体" w:hAnsi="宋体" w:cs="宋体" w:hint="eastAsia"/>
                <w:kern w:val="0"/>
                <w:sz w:val="24"/>
              </w:rPr>
              <w:t>和黄药业股权比例从50%变更至60%</w:t>
            </w:r>
            <w:r w:rsidR="00E10ABA" w:rsidRPr="00E10ABA">
              <w:rPr>
                <w:rFonts w:ascii="宋体" w:hAnsi="宋体" w:cs="宋体" w:hint="eastAsia"/>
                <w:kern w:val="0"/>
                <w:sz w:val="24"/>
              </w:rPr>
              <w:t>。通过本次收购，公司有望依托业务资源的协同整合，赋能公司现有中药</w:t>
            </w:r>
            <w:r w:rsidR="00475E07">
              <w:rPr>
                <w:rFonts w:ascii="宋体" w:hAnsi="宋体" w:cs="宋体"/>
                <w:kern w:val="0"/>
                <w:sz w:val="24"/>
              </w:rPr>
              <w:t>业务</w:t>
            </w:r>
            <w:r w:rsidR="00E10ABA" w:rsidRPr="00E10ABA">
              <w:rPr>
                <w:rFonts w:ascii="宋体" w:hAnsi="宋体" w:cs="宋体" w:hint="eastAsia"/>
                <w:kern w:val="0"/>
                <w:sz w:val="24"/>
              </w:rPr>
              <w:t>，进一步提升在循证医学、学术推广及国际化方面的能力。</w:t>
            </w:r>
          </w:p>
          <w:p w14:paraId="4313F8CD" w14:textId="77777777" w:rsidR="001E1996" w:rsidRDefault="001E1996" w:rsidP="00A91173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6B2B89F" w14:textId="134A6BB4" w:rsidR="007A316B" w:rsidRPr="004C7EFF" w:rsidRDefault="007A316B" w:rsidP="007A316B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C7EF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公司在绿色</w:t>
            </w:r>
            <w:r w:rsidR="00141D4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制造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方面布局如何</w:t>
            </w:r>
          </w:p>
          <w:p w14:paraId="663DF1D8" w14:textId="2A14BC46" w:rsidR="007A316B" w:rsidRDefault="007A316B" w:rsidP="007A316B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A：公司</w:t>
            </w:r>
            <w:r w:rsidRPr="007A316B">
              <w:rPr>
                <w:rFonts w:ascii="宋体" w:hAnsi="宋体" w:cs="宋体" w:hint="eastAsia"/>
                <w:kern w:val="0"/>
                <w:sz w:val="24"/>
              </w:rPr>
              <w:t>深入贯彻落实生态文明思想，大力发展绿色制造体系建设。截至</w:t>
            </w:r>
            <w:r w:rsidR="00141D46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141D46">
              <w:rPr>
                <w:rFonts w:ascii="宋体" w:hAnsi="宋体" w:cs="宋体"/>
                <w:kern w:val="0"/>
                <w:sz w:val="24"/>
              </w:rPr>
              <w:t>024</w:t>
            </w:r>
            <w:r w:rsidR="00141D46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7A316B">
              <w:rPr>
                <w:rFonts w:ascii="宋体" w:hAnsi="宋体" w:cs="宋体" w:hint="eastAsia"/>
                <w:kern w:val="0"/>
                <w:sz w:val="24"/>
              </w:rPr>
              <w:t>，上海医药已拥有11家国家级绿色工厂、10家省市级绿色工厂、8家“无废工厂”、5家“节水型企业”，2家单位获得绿色供应链示范企业称号，32家下属企业通过ISO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7A316B">
              <w:rPr>
                <w:rFonts w:ascii="宋体" w:hAnsi="宋体" w:cs="宋体" w:hint="eastAsia"/>
                <w:kern w:val="0"/>
                <w:sz w:val="24"/>
              </w:rPr>
              <w:t>14001认证，26家下属企业通过ISO 50001认证。</w:t>
            </w:r>
          </w:p>
          <w:p w14:paraId="61112DFB" w14:textId="79ED26BF" w:rsidR="002B0A2A" w:rsidRDefault="002B0A2A" w:rsidP="007A316B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875E312" w14:textId="48D826DF" w:rsidR="00BB2815" w:rsidRPr="00BB2815" w:rsidRDefault="00BB2815" w:rsidP="007A316B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B281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Q：公司在环境管理体系方面建设如何</w:t>
            </w:r>
          </w:p>
          <w:p w14:paraId="60F64890" w14:textId="77777777" w:rsidR="007A316B" w:rsidRDefault="00BB2815" w:rsidP="00BB2815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</w:t>
            </w:r>
            <w:r w:rsidRPr="00BB2815">
              <w:rPr>
                <w:rFonts w:ascii="宋体" w:hAnsi="宋体" w:cs="宋体" w:hint="eastAsia"/>
                <w:kern w:val="0"/>
                <w:sz w:val="24"/>
              </w:rPr>
              <w:t>上海医药设立了完善的组织架构，统筹公司环境管理及能源管理工作。公司辖属单位作为环境保护和节能降碳责任主体，在日常生产运营中落实各项节能环保管理要求，定期总结汇报环保和节能工</w:t>
            </w:r>
            <w:r w:rsidRPr="00BB2815">
              <w:rPr>
                <w:rFonts w:ascii="宋体" w:hAnsi="宋体" w:cs="宋体" w:hint="eastAsia"/>
                <w:kern w:val="0"/>
                <w:sz w:val="24"/>
              </w:rPr>
              <w:lastRenderedPageBreak/>
              <w:t>作进展</w:t>
            </w:r>
            <w:r>
              <w:rPr>
                <w:rFonts w:ascii="宋体" w:hAnsi="宋体" w:cs="宋体" w:hint="eastAsia"/>
                <w:kern w:val="0"/>
                <w:sz w:val="24"/>
              </w:rPr>
              <w:t>，并在2</w:t>
            </w:r>
            <w:r>
              <w:rPr>
                <w:rFonts w:ascii="宋体" w:hAnsi="宋体" w:cs="宋体"/>
                <w:kern w:val="0"/>
                <w:sz w:val="24"/>
              </w:rPr>
              <w:t>024</w:t>
            </w:r>
            <w:r>
              <w:rPr>
                <w:rFonts w:ascii="宋体" w:hAnsi="宋体" w:cs="宋体" w:hint="eastAsia"/>
                <w:kern w:val="0"/>
                <w:sz w:val="24"/>
              </w:rPr>
              <w:t>年完成了环境管理年度责任目标。此外，公司</w:t>
            </w:r>
            <w:r w:rsidRPr="00BB2815">
              <w:rPr>
                <w:rFonts w:ascii="宋体" w:hAnsi="宋体" w:cs="宋体" w:hint="eastAsia"/>
                <w:kern w:val="0"/>
                <w:sz w:val="24"/>
              </w:rPr>
              <w:t>大力弘扬环保意识，倡导绿色环保生活，争做绿色发展理念的倡导者与践行者。公司每年开展世界环境日、节能宣传周等形式多样的环保节能宣传活动。</w:t>
            </w:r>
          </w:p>
          <w:p w14:paraId="4154F1FC" w14:textId="77777777" w:rsidR="000311C7" w:rsidRDefault="000311C7" w:rsidP="00BB2815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689FFCF" w14:textId="4FD648E6" w:rsidR="000311C7" w:rsidRPr="00BB2815" w:rsidRDefault="000311C7" w:rsidP="000311C7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B281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</w:t>
            </w:r>
            <w:r w:rsidR="00D8344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公司在分红和股权激励方面如何计划</w:t>
            </w:r>
          </w:p>
          <w:p w14:paraId="1DDE1C7C" w14:textId="77777777" w:rsidR="000311C7" w:rsidRDefault="000311C7" w:rsidP="00425DBD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A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="00D83445" w:rsidRPr="00D83445">
              <w:rPr>
                <w:rFonts w:ascii="宋体" w:hAnsi="宋体" w:cs="宋体" w:hint="eastAsia"/>
                <w:kern w:val="0"/>
                <w:sz w:val="24"/>
              </w:rPr>
              <w:t>公司始终将市值管理作为长期战略的重要组成部分。</w:t>
            </w:r>
            <w:r w:rsidR="00D83445">
              <w:rPr>
                <w:rFonts w:ascii="宋体" w:hAnsi="宋体" w:cs="宋体" w:hint="eastAsia"/>
                <w:kern w:val="0"/>
                <w:sz w:val="24"/>
              </w:rPr>
              <w:t>在分红方面，</w:t>
            </w:r>
            <w:r w:rsidR="00425DBD" w:rsidRPr="00425DBD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 w:rsidR="00425DBD">
              <w:rPr>
                <w:rFonts w:ascii="宋体" w:hAnsi="宋体" w:cs="宋体" w:hint="eastAsia"/>
                <w:kern w:val="0"/>
                <w:sz w:val="24"/>
              </w:rPr>
              <w:t>十分</w:t>
            </w:r>
            <w:r w:rsidR="00425DBD" w:rsidRPr="00425DBD">
              <w:rPr>
                <w:rFonts w:ascii="宋体" w:hAnsi="宋体" w:cs="宋体" w:hint="eastAsia"/>
                <w:kern w:val="0"/>
                <w:sz w:val="24"/>
              </w:rPr>
              <w:t>重视股东回报，已连续十几年保持每年30%以上的分红比例，</w:t>
            </w:r>
            <w:r w:rsidR="00425DBD">
              <w:rPr>
                <w:rFonts w:ascii="宋体" w:hAnsi="宋体" w:cs="宋体" w:hint="eastAsia"/>
                <w:kern w:val="0"/>
                <w:sz w:val="24"/>
              </w:rPr>
              <w:t>并在2</w:t>
            </w:r>
            <w:r w:rsidR="00425DBD">
              <w:rPr>
                <w:rFonts w:ascii="宋体" w:hAnsi="宋体" w:cs="宋体"/>
                <w:kern w:val="0"/>
                <w:sz w:val="24"/>
              </w:rPr>
              <w:t>022</w:t>
            </w:r>
            <w:r w:rsidR="00425DBD">
              <w:rPr>
                <w:rFonts w:ascii="宋体" w:hAnsi="宋体" w:cs="宋体" w:hint="eastAsia"/>
                <w:kern w:val="0"/>
                <w:sz w:val="24"/>
              </w:rPr>
              <w:t>年-</w:t>
            </w:r>
            <w:r w:rsidR="00425DBD">
              <w:rPr>
                <w:rFonts w:ascii="宋体" w:hAnsi="宋体" w:cs="宋体"/>
                <w:kern w:val="0"/>
                <w:sz w:val="24"/>
              </w:rPr>
              <w:t>2023</w:t>
            </w:r>
            <w:r w:rsidR="00425DBD">
              <w:rPr>
                <w:rFonts w:ascii="宋体" w:hAnsi="宋体" w:cs="宋体" w:hint="eastAsia"/>
                <w:kern w:val="0"/>
                <w:sz w:val="24"/>
              </w:rPr>
              <w:t>年将分红比例提升至4</w:t>
            </w:r>
            <w:r w:rsidR="00425DBD">
              <w:rPr>
                <w:rFonts w:ascii="宋体" w:hAnsi="宋体" w:cs="宋体"/>
                <w:kern w:val="0"/>
                <w:sz w:val="24"/>
              </w:rPr>
              <w:t>0%</w:t>
            </w:r>
            <w:r w:rsidR="00425DBD">
              <w:rPr>
                <w:rFonts w:ascii="宋体" w:hAnsi="宋体" w:cs="宋体" w:hint="eastAsia"/>
                <w:kern w:val="0"/>
                <w:sz w:val="24"/>
              </w:rPr>
              <w:t>，2</w:t>
            </w:r>
            <w:r w:rsidR="00425DBD">
              <w:rPr>
                <w:rFonts w:ascii="宋体" w:hAnsi="宋体" w:cs="宋体"/>
                <w:kern w:val="0"/>
                <w:sz w:val="24"/>
              </w:rPr>
              <w:t>024</w:t>
            </w:r>
            <w:r w:rsidR="00425DBD">
              <w:rPr>
                <w:rFonts w:ascii="宋体" w:hAnsi="宋体" w:cs="宋体" w:hint="eastAsia"/>
                <w:kern w:val="0"/>
                <w:sz w:val="24"/>
              </w:rPr>
              <w:t>年增加中期分红，以此回馈广大投资者</w:t>
            </w:r>
            <w:r w:rsidR="00425DBD" w:rsidRPr="00425DBD">
              <w:rPr>
                <w:rFonts w:ascii="宋体" w:hAnsi="宋体" w:cs="宋体" w:hint="eastAsia"/>
                <w:kern w:val="0"/>
                <w:sz w:val="24"/>
              </w:rPr>
              <w:t>。</w:t>
            </w:r>
            <w:r w:rsidR="00D83445">
              <w:rPr>
                <w:rFonts w:ascii="宋体" w:hAnsi="宋体" w:cs="宋体" w:hint="eastAsia"/>
                <w:kern w:val="0"/>
                <w:sz w:val="24"/>
              </w:rPr>
              <w:t>在股权激励方面，公司</w:t>
            </w:r>
            <w:r w:rsidR="00425DBD">
              <w:rPr>
                <w:rFonts w:ascii="宋体" w:hAnsi="宋体" w:cs="宋体" w:hint="eastAsia"/>
                <w:kern w:val="0"/>
                <w:sz w:val="24"/>
              </w:rPr>
              <w:t>已于</w:t>
            </w:r>
            <w:r w:rsidR="00D83445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D83445">
              <w:rPr>
                <w:rFonts w:ascii="宋体" w:hAnsi="宋体" w:cs="宋体"/>
                <w:kern w:val="0"/>
                <w:sz w:val="24"/>
              </w:rPr>
              <w:t>019</w:t>
            </w:r>
            <w:r w:rsidR="00D83445">
              <w:rPr>
                <w:rFonts w:ascii="宋体" w:hAnsi="宋体" w:cs="宋体" w:hint="eastAsia"/>
                <w:kern w:val="0"/>
                <w:sz w:val="24"/>
              </w:rPr>
              <w:t>年通过股东大会正式实行第一期股权激励计划。</w:t>
            </w:r>
            <w:r w:rsidR="00425DBD" w:rsidRPr="00425DBD">
              <w:rPr>
                <w:rFonts w:ascii="宋体" w:hAnsi="宋体" w:cs="宋体" w:hint="eastAsia"/>
                <w:kern w:val="0"/>
                <w:sz w:val="24"/>
              </w:rPr>
              <w:t>未来，我们将持续通过优化资本运作机制、聚焦核心价值创造、构建良性互动机制等方式维护投资者利益与市场信心，为股东创造长期稳健回报。</w:t>
            </w:r>
          </w:p>
          <w:p w14:paraId="6FC7819C" w14:textId="77777777" w:rsidR="00425DBD" w:rsidRDefault="00425DBD" w:rsidP="00425DBD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B82F774" w14:textId="715AB443" w:rsidR="00425DBD" w:rsidRPr="00BB2815" w:rsidRDefault="00425DBD" w:rsidP="00425DBD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B281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公司在</w:t>
            </w:r>
            <w:r w:rsidR="00F257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工业做了哪些降本增效工作</w:t>
            </w:r>
          </w:p>
          <w:p w14:paraId="1509000D" w14:textId="77777777" w:rsidR="00425DBD" w:rsidRDefault="00425DBD" w:rsidP="00F257D8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A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="00F257D8">
              <w:rPr>
                <w:rFonts w:ascii="宋体" w:hAnsi="宋体" w:cs="宋体" w:hint="eastAsia"/>
                <w:kern w:val="0"/>
                <w:sz w:val="24"/>
              </w:rPr>
              <w:t>在工业方面，</w:t>
            </w:r>
            <w:r w:rsidR="00F257D8" w:rsidRPr="00F257D8">
              <w:rPr>
                <w:rFonts w:ascii="宋体" w:hAnsi="宋体" w:cs="宋体" w:hint="eastAsia"/>
                <w:kern w:val="0"/>
                <w:sz w:val="24"/>
              </w:rPr>
              <w:t>公司围绕“优化生产布局、提升技经指标、全面精益管理、加大集中采购、提高人员效率、加强节能降耗”六方面推动降本增效，并持续健全精益管理体系，</w:t>
            </w:r>
            <w:r w:rsidR="00F257D8">
              <w:rPr>
                <w:rFonts w:ascii="宋体" w:hAnsi="宋体" w:cs="宋体" w:hint="eastAsia"/>
                <w:kern w:val="0"/>
                <w:sz w:val="24"/>
              </w:rPr>
              <w:t>逐步优化</w:t>
            </w:r>
            <w:r w:rsidR="00F257D8" w:rsidRPr="00F257D8">
              <w:rPr>
                <w:rFonts w:ascii="宋体" w:hAnsi="宋体" w:cs="宋体" w:hint="eastAsia"/>
                <w:kern w:val="0"/>
                <w:sz w:val="24"/>
              </w:rPr>
              <w:t>工业三项费率。此外，部分基地通过智能化系统的建设与实施，以可视化、数字化、精细化、自动化、一体化为目标，利用先进的物联网平台，将生产现场与数据信息的集中监控与管理，实现智能制造，减少了车间人员，提高了车间生产效率。</w:t>
            </w:r>
          </w:p>
          <w:p w14:paraId="476EC96E" w14:textId="77777777" w:rsidR="00F257D8" w:rsidRDefault="00F257D8" w:rsidP="00F257D8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356BA8B8" w14:textId="2B688741" w:rsidR="00F257D8" w:rsidRPr="00BB2815" w:rsidRDefault="00F257D8" w:rsidP="00F257D8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B281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中药</w:t>
            </w:r>
            <w:r w:rsidR="00EB794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业务现状</w:t>
            </w:r>
          </w:p>
          <w:p w14:paraId="2B176AC0" w14:textId="04F6B46E" w:rsidR="00F257D8" w:rsidRPr="00F257D8" w:rsidRDefault="00F257D8" w:rsidP="00F257D8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A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="00EB794B">
              <w:rPr>
                <w:rFonts w:ascii="宋体" w:hAnsi="宋体" w:cs="宋体" w:hint="eastAsia"/>
                <w:kern w:val="0"/>
                <w:sz w:val="24"/>
              </w:rPr>
              <w:t>公司拥有众多中药品牌以及老字号资源，我们</w:t>
            </w:r>
            <w:r w:rsidR="00EB794B" w:rsidRPr="00EB794B">
              <w:rPr>
                <w:rFonts w:ascii="宋体" w:hAnsi="宋体" w:cs="宋体" w:hint="eastAsia"/>
                <w:kern w:val="0"/>
                <w:sz w:val="24"/>
              </w:rPr>
              <w:t>通过挖掘优势品种、推进循证医学研究，持续打造中药大品种和大品牌的培育，</w:t>
            </w:r>
            <w:r w:rsidR="00EB794B">
              <w:rPr>
                <w:rFonts w:ascii="宋体" w:hAnsi="宋体" w:cs="宋体" w:hint="eastAsia"/>
                <w:kern w:val="0"/>
                <w:sz w:val="24"/>
              </w:rPr>
              <w:t>在2</w:t>
            </w:r>
            <w:r w:rsidR="00EB794B">
              <w:rPr>
                <w:rFonts w:ascii="宋体" w:hAnsi="宋体" w:cs="宋体"/>
                <w:kern w:val="0"/>
                <w:sz w:val="24"/>
              </w:rPr>
              <w:t>025</w:t>
            </w:r>
            <w:r w:rsidR="00EB794B">
              <w:rPr>
                <w:rFonts w:ascii="宋体" w:hAnsi="宋体" w:cs="宋体" w:hint="eastAsia"/>
                <w:kern w:val="0"/>
                <w:sz w:val="24"/>
              </w:rPr>
              <w:t>年第一季度，</w:t>
            </w:r>
            <w:r w:rsidR="00EB794B" w:rsidRPr="00EB794B">
              <w:rPr>
                <w:rFonts w:ascii="宋体" w:hAnsi="宋体" w:cs="宋体" w:hint="eastAsia"/>
                <w:kern w:val="0"/>
                <w:sz w:val="24"/>
              </w:rPr>
              <w:t>瘀血痹、胃复春、养心氏、快胃片、银杏酮酯、八宝丹等品种的循证医学研究取得诸多进展。</w:t>
            </w:r>
            <w:r w:rsidR="00EB794B">
              <w:rPr>
                <w:rFonts w:ascii="宋体" w:hAnsi="宋体" w:cs="宋体" w:hint="eastAsia"/>
                <w:kern w:val="0"/>
                <w:sz w:val="24"/>
              </w:rPr>
              <w:t>此外，在公司收购上海和黄之后，我们将会对其</w:t>
            </w:r>
            <w:r w:rsidR="00EB794B" w:rsidRPr="00EB794B">
              <w:rPr>
                <w:rFonts w:ascii="宋体" w:hAnsi="宋体" w:cs="宋体" w:hint="eastAsia"/>
                <w:kern w:val="0"/>
                <w:sz w:val="24"/>
              </w:rPr>
              <w:t>中药大品种创新改良体系与上海医药旗下中药资源相结合，加快培育胃复春、八宝丹、冠心宁、尪痹片等系列名优中药品种。</w:t>
            </w:r>
          </w:p>
        </w:tc>
      </w:tr>
      <w:tr w:rsidR="00A8351D" w14:paraId="5C1AF499" w14:textId="77777777">
        <w:trPr>
          <w:trHeight w:val="1024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57293" w14:textId="77777777" w:rsidR="00A8351D" w:rsidRDefault="00380974">
            <w:pPr>
              <w:spacing w:line="440" w:lineRule="exact"/>
              <w:ind w:firstLineChars="50" w:firstLine="120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lastRenderedPageBreak/>
              <w:t>附件清单（如有）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4F10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无</w:t>
            </w:r>
          </w:p>
        </w:tc>
      </w:tr>
      <w:tr w:rsidR="00A8351D" w14:paraId="59AB9622" w14:textId="77777777">
        <w:trPr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67EFB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注意事项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1E28" w14:textId="77777777" w:rsidR="00A8351D" w:rsidRDefault="00380974">
            <w:pPr>
              <w:spacing w:line="276" w:lineRule="auto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Fonts w:hint="eastAsia"/>
                <w:sz w:val="24"/>
              </w:rPr>
              <w:t>公司严格遵守信披规则进行投资者交流，如涉及公司未来计划、发展战略等前瞻性描述，不构成公司对投资者的实质性承诺。</w:t>
            </w:r>
          </w:p>
        </w:tc>
      </w:tr>
    </w:tbl>
    <w:p w14:paraId="26AB79A2" w14:textId="77777777" w:rsidR="00A8351D" w:rsidRDefault="00A8351D">
      <w:pPr>
        <w:spacing w:line="440" w:lineRule="exact"/>
        <w:rPr>
          <w:rStyle w:val="NormalCharacter"/>
          <w:rFonts w:ascii="宋体" w:hAnsi="宋体"/>
          <w:sz w:val="24"/>
        </w:rPr>
      </w:pPr>
    </w:p>
    <w:sectPr w:rsidR="00A8351D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F8318" w14:textId="77777777" w:rsidR="00787BA2" w:rsidRDefault="00787BA2">
      <w:r>
        <w:separator/>
      </w:r>
    </w:p>
  </w:endnote>
  <w:endnote w:type="continuationSeparator" w:id="0">
    <w:p w14:paraId="31F0E408" w14:textId="77777777" w:rsidR="00787BA2" w:rsidRDefault="00787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6E390" w14:textId="77777777" w:rsidR="00A8351D" w:rsidRDefault="00A8351D">
    <w:pPr>
      <w:pStyle w:val="a9"/>
      <w:framePr w:wrap="around" w:hAnchor="text" w:xAlign="center" w:y="1"/>
      <w:rPr>
        <w:rStyle w:val="PageNumber"/>
      </w:rPr>
    </w:pPr>
  </w:p>
  <w:p w14:paraId="7914E9DE" w14:textId="77777777" w:rsidR="00A8351D" w:rsidRDefault="00A8351D">
    <w:pPr>
      <w:pStyle w:val="a9"/>
      <w:rPr>
        <w:rStyle w:val="NormalCharact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52AF" w14:textId="77777777" w:rsidR="00A8351D" w:rsidRDefault="00380974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5E07" w:rsidRPr="00475E07">
      <w:rPr>
        <w:noProof/>
        <w:lang w:val="zh-CN"/>
      </w:rPr>
      <w:t>2</w:t>
    </w:r>
    <w:r>
      <w:rPr>
        <w:lang w:val="zh-CN"/>
      </w:rPr>
      <w:fldChar w:fldCharType="end"/>
    </w:r>
  </w:p>
  <w:p w14:paraId="098BCA03" w14:textId="77777777" w:rsidR="00A8351D" w:rsidRDefault="00A8351D">
    <w:pPr>
      <w:pStyle w:val="a9"/>
      <w:rPr>
        <w:rStyle w:val="NormalCharact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55121" w14:textId="77777777" w:rsidR="00787BA2" w:rsidRDefault="00787BA2">
      <w:r>
        <w:separator/>
      </w:r>
    </w:p>
  </w:footnote>
  <w:footnote w:type="continuationSeparator" w:id="0">
    <w:p w14:paraId="1AFFE773" w14:textId="77777777" w:rsidR="00787BA2" w:rsidRDefault="00787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BAFDF" w14:textId="77777777" w:rsidR="00A8351D" w:rsidRDefault="00A8351D">
    <w:pPr>
      <w:pStyle w:val="ab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51D"/>
    <w:rsid w:val="00002948"/>
    <w:rsid w:val="000106BF"/>
    <w:rsid w:val="0001661F"/>
    <w:rsid w:val="000311C7"/>
    <w:rsid w:val="00080BA0"/>
    <w:rsid w:val="00095809"/>
    <w:rsid w:val="000C281C"/>
    <w:rsid w:val="000E6C03"/>
    <w:rsid w:val="000F5020"/>
    <w:rsid w:val="00103072"/>
    <w:rsid w:val="00114041"/>
    <w:rsid w:val="001221D9"/>
    <w:rsid w:val="00126C8E"/>
    <w:rsid w:val="00141D46"/>
    <w:rsid w:val="001B5951"/>
    <w:rsid w:val="001C0AD0"/>
    <w:rsid w:val="001C5440"/>
    <w:rsid w:val="001E1996"/>
    <w:rsid w:val="00267287"/>
    <w:rsid w:val="00270410"/>
    <w:rsid w:val="002839D7"/>
    <w:rsid w:val="00292E82"/>
    <w:rsid w:val="002B01D8"/>
    <w:rsid w:val="002B0A2A"/>
    <w:rsid w:val="002B1884"/>
    <w:rsid w:val="002B58AA"/>
    <w:rsid w:val="00301D24"/>
    <w:rsid w:val="00342020"/>
    <w:rsid w:val="0036497F"/>
    <w:rsid w:val="00380974"/>
    <w:rsid w:val="00390DD1"/>
    <w:rsid w:val="003D4770"/>
    <w:rsid w:val="003E6A30"/>
    <w:rsid w:val="00415117"/>
    <w:rsid w:val="00415BD0"/>
    <w:rsid w:val="00425DBD"/>
    <w:rsid w:val="0045403E"/>
    <w:rsid w:val="0046361B"/>
    <w:rsid w:val="004640E2"/>
    <w:rsid w:val="00475E07"/>
    <w:rsid w:val="0049785A"/>
    <w:rsid w:val="004C2BF9"/>
    <w:rsid w:val="004C3851"/>
    <w:rsid w:val="004C7EFF"/>
    <w:rsid w:val="005039AE"/>
    <w:rsid w:val="00507760"/>
    <w:rsid w:val="00545187"/>
    <w:rsid w:val="0059383F"/>
    <w:rsid w:val="005A36D5"/>
    <w:rsid w:val="005C258F"/>
    <w:rsid w:val="005C3303"/>
    <w:rsid w:val="005D37C3"/>
    <w:rsid w:val="005F0A09"/>
    <w:rsid w:val="005F730B"/>
    <w:rsid w:val="00603B34"/>
    <w:rsid w:val="00650C64"/>
    <w:rsid w:val="00656AE9"/>
    <w:rsid w:val="00656AF1"/>
    <w:rsid w:val="00681F25"/>
    <w:rsid w:val="006A0538"/>
    <w:rsid w:val="006A40C0"/>
    <w:rsid w:val="006A4104"/>
    <w:rsid w:val="006B0648"/>
    <w:rsid w:val="006B4976"/>
    <w:rsid w:val="006C2357"/>
    <w:rsid w:val="006E1B0B"/>
    <w:rsid w:val="00701239"/>
    <w:rsid w:val="007220FC"/>
    <w:rsid w:val="0073265E"/>
    <w:rsid w:val="00756FF9"/>
    <w:rsid w:val="00787BA2"/>
    <w:rsid w:val="007A316B"/>
    <w:rsid w:val="007B636C"/>
    <w:rsid w:val="007E44E6"/>
    <w:rsid w:val="007F1898"/>
    <w:rsid w:val="00814479"/>
    <w:rsid w:val="0086505D"/>
    <w:rsid w:val="0088087C"/>
    <w:rsid w:val="0089640C"/>
    <w:rsid w:val="008D6D12"/>
    <w:rsid w:val="008E27E7"/>
    <w:rsid w:val="00913BDB"/>
    <w:rsid w:val="00932880"/>
    <w:rsid w:val="00943B43"/>
    <w:rsid w:val="009454CC"/>
    <w:rsid w:val="00962505"/>
    <w:rsid w:val="00972248"/>
    <w:rsid w:val="00980644"/>
    <w:rsid w:val="00982269"/>
    <w:rsid w:val="009A7E6A"/>
    <w:rsid w:val="009B6B70"/>
    <w:rsid w:val="009F6633"/>
    <w:rsid w:val="00A40C32"/>
    <w:rsid w:val="00A4306B"/>
    <w:rsid w:val="00A721E6"/>
    <w:rsid w:val="00A8351D"/>
    <w:rsid w:val="00A91173"/>
    <w:rsid w:val="00AA03E2"/>
    <w:rsid w:val="00AB7776"/>
    <w:rsid w:val="00AF3F28"/>
    <w:rsid w:val="00B35268"/>
    <w:rsid w:val="00B46F47"/>
    <w:rsid w:val="00B52F84"/>
    <w:rsid w:val="00B961D5"/>
    <w:rsid w:val="00BA1E4C"/>
    <w:rsid w:val="00BB2815"/>
    <w:rsid w:val="00BE6BA6"/>
    <w:rsid w:val="00C65775"/>
    <w:rsid w:val="00C85A56"/>
    <w:rsid w:val="00C92DBB"/>
    <w:rsid w:val="00CC486C"/>
    <w:rsid w:val="00CF03B1"/>
    <w:rsid w:val="00D00FB6"/>
    <w:rsid w:val="00D142A2"/>
    <w:rsid w:val="00D458C2"/>
    <w:rsid w:val="00D46729"/>
    <w:rsid w:val="00D61FE4"/>
    <w:rsid w:val="00D642F8"/>
    <w:rsid w:val="00D64DA0"/>
    <w:rsid w:val="00D73FC5"/>
    <w:rsid w:val="00D83445"/>
    <w:rsid w:val="00D92A51"/>
    <w:rsid w:val="00DC5261"/>
    <w:rsid w:val="00DF015E"/>
    <w:rsid w:val="00E10ABA"/>
    <w:rsid w:val="00E472C9"/>
    <w:rsid w:val="00E70919"/>
    <w:rsid w:val="00E82F2B"/>
    <w:rsid w:val="00E905C1"/>
    <w:rsid w:val="00EB794B"/>
    <w:rsid w:val="00ED554D"/>
    <w:rsid w:val="00F04AE7"/>
    <w:rsid w:val="00F23045"/>
    <w:rsid w:val="00F257D8"/>
    <w:rsid w:val="00F32217"/>
    <w:rsid w:val="00F55F16"/>
    <w:rsid w:val="00F67BA1"/>
    <w:rsid w:val="00FC1FA4"/>
    <w:rsid w:val="00FF19BD"/>
    <w:rsid w:val="00F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1FD3AB"/>
  <w15:docId w15:val="{1F94E835-AE56-4DFD-BFB6-2E8D0FBE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Date"/>
    <w:basedOn w:val="a"/>
    <w:next w:val="a"/>
    <w:link w:val="a6"/>
    <w:uiPriority w:val="99"/>
    <w:qFormat/>
    <w:pPr>
      <w:widowControl w:val="0"/>
      <w:ind w:leftChars="2500" w:left="100"/>
      <w:textAlignment w:val="auto"/>
    </w:pPr>
    <w:rPr>
      <w:rFonts w:ascii="等线" w:eastAsia="等线" w:hAnsi="等线" w:cs="宋体"/>
      <w:szCs w:val="22"/>
    </w:rPr>
  </w:style>
  <w:style w:type="paragraph" w:styleId="a7">
    <w:name w:val="Balloon Text"/>
    <w:basedOn w:val="a"/>
    <w:link w:val="a8"/>
    <w:uiPriority w:val="99"/>
    <w:qFormat/>
    <w:pPr>
      <w:widowControl w:val="0"/>
      <w:textAlignment w:val="auto"/>
    </w:pPr>
    <w:rPr>
      <w:rFonts w:ascii="等线" w:eastAsia="等线" w:hAnsi="等线" w:cs="宋体"/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qFormat/>
    <w:rPr>
      <w:b/>
      <w:bCs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uiPriority w:val="20"/>
    <w:qFormat/>
    <w:rPr>
      <w:color w:val="CC0000"/>
    </w:rPr>
  </w:style>
  <w:style w:type="character" w:styleId="af1">
    <w:name w:val="Hyperlink"/>
    <w:basedOn w:val="a0"/>
    <w:uiPriority w:val="99"/>
    <w:qFormat/>
    <w:rPr>
      <w:color w:val="0000FF"/>
      <w:u w:val="single"/>
    </w:rPr>
  </w:style>
  <w:style w:type="character" w:styleId="af2">
    <w:name w:val="annotation reference"/>
    <w:basedOn w:val="a0"/>
    <w:uiPriority w:val="99"/>
    <w:qFormat/>
    <w:rPr>
      <w:sz w:val="21"/>
      <w:szCs w:val="21"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Number">
    <w:name w:val="PageNumber"/>
    <w:basedOn w:val="NormalCharacter"/>
    <w:qFormat/>
  </w:style>
  <w:style w:type="character" w:customStyle="1" w:styleId="UserStyle0">
    <w:name w:val="UserStyle_0"/>
    <w:link w:val="Acetate"/>
    <w:qFormat/>
    <w:rPr>
      <w:kern w:val="2"/>
      <w:sz w:val="18"/>
      <w:szCs w:val="18"/>
    </w:rPr>
  </w:style>
  <w:style w:type="paragraph" w:customStyle="1" w:styleId="Acetate">
    <w:name w:val="Acetate"/>
    <w:basedOn w:val="a"/>
    <w:link w:val="UserStyle0"/>
    <w:qFormat/>
    <w:rPr>
      <w:sz w:val="18"/>
      <w:szCs w:val="18"/>
    </w:rPr>
  </w:style>
  <w:style w:type="character" w:customStyle="1" w:styleId="ac">
    <w:name w:val="页眉 字符"/>
    <w:link w:val="ab"/>
    <w:uiPriority w:val="99"/>
    <w:qFormat/>
    <w:rPr>
      <w:kern w:val="2"/>
      <w:sz w:val="18"/>
      <w:szCs w:val="18"/>
    </w:rPr>
  </w:style>
  <w:style w:type="paragraph" w:customStyle="1" w:styleId="BodyTextIndent">
    <w:name w:val="BodyTextIndent"/>
    <w:basedOn w:val="a"/>
    <w:qFormat/>
    <w:pPr>
      <w:spacing w:after="120"/>
      <w:ind w:leftChars="200" w:left="200"/>
    </w:pPr>
    <w:rPr>
      <w:szCs w:val="20"/>
    </w:rPr>
  </w:style>
  <w:style w:type="paragraph" w:customStyle="1" w:styleId="179">
    <w:name w:val="179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UserStyle2">
    <w:name w:val="UserStyle_2"/>
    <w:basedOn w:val="a"/>
    <w:qFormat/>
    <w:pPr>
      <w:tabs>
        <w:tab w:val="left" w:pos="720"/>
      </w:tabs>
      <w:ind w:left="720" w:hanging="720"/>
    </w:pPr>
    <w:rPr>
      <w:sz w:val="18"/>
      <w:szCs w:val="18"/>
    </w:rPr>
  </w:style>
  <w:style w:type="paragraph" w:customStyle="1" w:styleId="UserStyle3">
    <w:name w:val="UserStyle_3"/>
    <w:basedOn w:val="a"/>
    <w:qFormat/>
    <w:rPr>
      <w:rFonts w:ascii="仿宋_GB2312" w:eastAsia="仿宋_GB2312"/>
      <w:sz w:val="32"/>
      <w:szCs w:val="32"/>
    </w:rPr>
  </w:style>
  <w:style w:type="table" w:customStyle="1" w:styleId="TableGrid">
    <w:name w:val="TableGrid"/>
    <w:basedOn w:val="TableNormal"/>
    <w:qFormat/>
    <w:tblPr/>
  </w:style>
  <w:style w:type="character" w:customStyle="1" w:styleId="aa">
    <w:name w:val="页脚 字符"/>
    <w:basedOn w:val="a0"/>
    <w:link w:val="a9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link w:val="Char"/>
    <w:uiPriority w:val="34"/>
    <w:qFormat/>
    <w:pPr>
      <w:widowControl w:val="0"/>
      <w:ind w:firstLineChars="200" w:firstLine="420"/>
      <w:textAlignment w:val="auto"/>
    </w:pPr>
    <w:rPr>
      <w:rFonts w:ascii="等线" w:eastAsia="等线" w:hAnsi="等线" w:cs="宋体"/>
      <w:szCs w:val="22"/>
    </w:rPr>
  </w:style>
  <w:style w:type="character" w:customStyle="1" w:styleId="a6">
    <w:name w:val="日期 字符"/>
    <w:basedOn w:val="a0"/>
    <w:link w:val="a5"/>
    <w:uiPriority w:val="99"/>
    <w:qFormat/>
    <w:rPr>
      <w:rFonts w:ascii="等线" w:eastAsia="等线" w:hAnsi="等线" w:cs="宋体"/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qFormat/>
    <w:rPr>
      <w:rFonts w:ascii="等线" w:eastAsia="等线" w:hAnsi="等线" w:cs="宋体"/>
      <w:kern w:val="2"/>
      <w:sz w:val="18"/>
      <w:szCs w:val="18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character" w:customStyle="1" w:styleId="bjh-p">
    <w:name w:val="bjh-p"/>
    <w:basedOn w:val="a0"/>
    <w:qFormat/>
  </w:style>
  <w:style w:type="paragraph" w:customStyle="1" w:styleId="11">
    <w:name w:val="修订1"/>
    <w:uiPriority w:val="99"/>
    <w:qFormat/>
    <w:rPr>
      <w:kern w:val="2"/>
      <w:sz w:val="21"/>
      <w:szCs w:val="24"/>
    </w:rPr>
  </w:style>
  <w:style w:type="character" w:customStyle="1" w:styleId="Char">
    <w:name w:val="列出段落 Char"/>
    <w:link w:val="1"/>
    <w:uiPriority w:val="34"/>
    <w:qFormat/>
    <w:rPr>
      <w:rFonts w:ascii="等线" w:eastAsia="等线" w:hAnsi="等线" w:cs="宋体"/>
      <w:kern w:val="2"/>
      <w:sz w:val="21"/>
      <w:szCs w:val="22"/>
    </w:rPr>
  </w:style>
  <w:style w:type="paragraph" w:customStyle="1" w:styleId="2">
    <w:name w:val="修订2"/>
    <w:uiPriority w:val="99"/>
    <w:qFormat/>
    <w:rPr>
      <w:kern w:val="2"/>
      <w:sz w:val="21"/>
      <w:szCs w:val="24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4"/>
    </w:rPr>
  </w:style>
  <w:style w:type="character" w:customStyle="1" w:styleId="ae">
    <w:name w:val="批注主题 字符"/>
    <w:basedOn w:val="a4"/>
    <w:link w:val="ad"/>
    <w:uiPriority w:val="99"/>
    <w:qFormat/>
    <w:rPr>
      <w:b/>
      <w:bCs/>
      <w:kern w:val="2"/>
      <w:sz w:val="21"/>
      <w:szCs w:val="24"/>
    </w:rPr>
  </w:style>
  <w:style w:type="paragraph" w:customStyle="1" w:styleId="3">
    <w:name w:val="修订3"/>
    <w:uiPriority w:val="99"/>
    <w:qFormat/>
    <w:rPr>
      <w:kern w:val="2"/>
      <w:sz w:val="21"/>
      <w:szCs w:val="24"/>
    </w:rPr>
  </w:style>
  <w:style w:type="paragraph" w:styleId="af3">
    <w:name w:val="Revision"/>
    <w:uiPriority w:val="99"/>
    <w:rPr>
      <w:kern w:val="2"/>
      <w:sz w:val="21"/>
      <w:szCs w:val="24"/>
    </w:rPr>
  </w:style>
  <w:style w:type="paragraph" w:customStyle="1" w:styleId="paragraph">
    <w:name w:val="paragraph"/>
    <w:basedOn w:val="a"/>
    <w:pPr>
      <w:spacing w:before="100" w:beforeAutospacing="1" w:after="100" w:afterAutospacing="1"/>
      <w:jc w:val="left"/>
      <w:textAlignment w:val="auto"/>
    </w:pPr>
    <w:rPr>
      <w:rFonts w:ascii="等线" w:eastAsia="等线" w:hAnsi="等线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DDC74-7649-4853-9304-E7E5C1392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377</Words>
  <Characters>2155</Characters>
  <Application>Microsoft Office Word</Application>
  <DocSecurity>0</DocSecurity>
  <Lines>17</Lines>
  <Paragraphs>5</Paragraphs>
  <ScaleCrop>false</ScaleCrop>
  <Company>SPH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王梓安</cp:lastModifiedBy>
  <cp:revision>5</cp:revision>
  <cp:lastPrinted>2020-05-06T16:51:00Z</cp:lastPrinted>
  <dcterms:created xsi:type="dcterms:W3CDTF">2025-07-31T06:44:00Z</dcterms:created>
  <dcterms:modified xsi:type="dcterms:W3CDTF">2025-07-31T09:52:00Z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de453fe5526f468199e8e26f8f97153b_23</vt:lpwstr>
  </property>
</Properties>
</file>