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C52DE">
      <w:pPr>
        <w:spacing w:before="277" w:after="120" w:afterLines="50" w:line="360" w:lineRule="auto"/>
        <w:ind w:left="108"/>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证券代码：600060</w:t>
      </w:r>
      <w:r>
        <w:rPr>
          <w:rFonts w:ascii="Times New Roman" w:hAnsi="Times New Roman" w:eastAsia="Times New Roman" w:cs="Times New Roman"/>
          <w:sz w:val="24"/>
          <w:szCs w:val="24"/>
          <w:lang w:eastAsia="zh-CN"/>
        </w:rPr>
        <w:t xml:space="preserve">                                                                    </w:t>
      </w:r>
      <w:r>
        <w:rPr>
          <w:rFonts w:ascii="Times New Roman" w:hAnsi="Times New Roman" w:eastAsia="宋体" w:cs="Times New Roman"/>
          <w:spacing w:val="-1"/>
          <w:sz w:val="24"/>
          <w:szCs w:val="24"/>
          <w:lang w:eastAsia="zh-CN"/>
        </w:rPr>
        <w:t>证券简称：海信视像</w:t>
      </w:r>
    </w:p>
    <w:p w14:paraId="4A63CD70">
      <w:pPr>
        <w:spacing w:before="204" w:line="225" w:lineRule="auto"/>
        <w:jc w:val="center"/>
        <w:outlineLvl w:val="0"/>
        <w:rPr>
          <w:rFonts w:ascii="Times New Roman" w:hAnsi="Times New Roman" w:eastAsia="宋体" w:cs="Times New Roman"/>
          <w:b/>
          <w:bCs/>
          <w:spacing w:val="7"/>
          <w:sz w:val="31"/>
          <w:szCs w:val="31"/>
          <w:lang w:eastAsia="zh-CN"/>
        </w:rPr>
      </w:pPr>
      <w:r>
        <w:rPr>
          <w:rFonts w:ascii="Times New Roman" w:hAnsi="Times New Roman" w:eastAsia="宋体" w:cs="Times New Roman"/>
          <w:b/>
          <w:bCs/>
          <w:spacing w:val="7"/>
          <w:sz w:val="31"/>
          <w:szCs w:val="31"/>
          <w:lang w:eastAsia="zh-CN"/>
        </w:rPr>
        <w:t>海信视像科技股份有限公司投资者关系活动记录表</w:t>
      </w:r>
    </w:p>
    <w:p w14:paraId="65E20D7D">
      <w:pPr>
        <w:spacing w:before="204" w:line="225" w:lineRule="auto"/>
        <w:jc w:val="right"/>
        <w:outlineLvl w:val="0"/>
        <w:rPr>
          <w:rFonts w:ascii="Times New Roman" w:hAnsi="Times New Roman" w:cs="Times New Roman"/>
          <w:sz w:val="2"/>
          <w:lang w:eastAsia="zh-CN"/>
        </w:rPr>
      </w:pPr>
      <w:r>
        <w:rPr>
          <w:rFonts w:ascii="Times New Roman" w:hAnsi="Times New Roman" w:eastAsia="宋体" w:cs="Times New Roman"/>
          <w:spacing w:val="-7"/>
          <w:sz w:val="24"/>
          <w:szCs w:val="24"/>
          <w:lang w:eastAsia="zh-CN"/>
        </w:rPr>
        <w:t>编号：2025-0</w:t>
      </w:r>
      <w:r>
        <w:rPr>
          <w:rFonts w:hint="eastAsia" w:ascii="Times New Roman" w:hAnsi="Times New Roman" w:eastAsia="宋体" w:cs="Times New Roman"/>
          <w:spacing w:val="-7"/>
          <w:sz w:val="24"/>
          <w:szCs w:val="24"/>
          <w:lang w:val="en-US" w:eastAsia="zh-CN"/>
        </w:rPr>
        <w:t>8</w:t>
      </w:r>
    </w:p>
    <w:tbl>
      <w:tblPr>
        <w:tblStyle w:val="13"/>
        <w:tblW w:w="602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93"/>
        <w:gridCol w:w="3755"/>
        <w:gridCol w:w="4515"/>
      </w:tblGrid>
      <w:tr w14:paraId="4BDF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jc w:val="center"/>
        </w:trPr>
        <w:tc>
          <w:tcPr>
            <w:tcW w:w="971" w:type="pct"/>
            <w:vAlign w:val="center"/>
          </w:tcPr>
          <w:p w14:paraId="3BBFB38B">
            <w:pPr>
              <w:spacing w:line="272" w:lineRule="auto"/>
              <w:jc w:val="center"/>
              <w:rPr>
                <w:rFonts w:ascii="Times New Roman" w:hAnsi="Times New Roman" w:cs="Times New Roman"/>
                <w:lang w:eastAsia="zh-CN"/>
              </w:rPr>
            </w:pPr>
          </w:p>
          <w:p w14:paraId="4457A381">
            <w:pPr>
              <w:spacing w:line="272" w:lineRule="auto"/>
              <w:jc w:val="center"/>
              <w:rPr>
                <w:rFonts w:ascii="Times New Roman" w:hAnsi="Times New Roman" w:cs="Times New Roman"/>
                <w:lang w:eastAsia="zh-CN"/>
              </w:rPr>
            </w:pPr>
          </w:p>
          <w:p w14:paraId="712854B1">
            <w:pPr>
              <w:pStyle w:val="14"/>
              <w:spacing w:before="78" w:line="356" w:lineRule="auto"/>
              <w:ind w:left="118" w:right="110" w:firstLine="1"/>
              <w:jc w:val="center"/>
              <w:rPr>
                <w:rFonts w:ascii="Times New Roman" w:hAnsi="Times New Roman" w:cs="Times New Roman"/>
              </w:rPr>
            </w:pPr>
            <w:r>
              <w:rPr>
                <w:rFonts w:ascii="Times New Roman" w:hAnsi="Times New Roman" w:cs="Times New Roman"/>
                <w:spacing w:val="4"/>
              </w:rPr>
              <w:t>投资者关系活</w:t>
            </w:r>
            <w:r>
              <w:rPr>
                <w:rFonts w:ascii="Times New Roman" w:hAnsi="Times New Roman" w:cs="Times New Roman"/>
                <w:spacing w:val="-3"/>
              </w:rPr>
              <w:t>动类别</w:t>
            </w:r>
          </w:p>
        </w:tc>
        <w:tc>
          <w:tcPr>
            <w:tcW w:w="1829" w:type="pct"/>
            <w:tcBorders>
              <w:right w:val="nil"/>
            </w:tcBorders>
          </w:tcPr>
          <w:p w14:paraId="3345F96C">
            <w:pPr>
              <w:pStyle w:val="14"/>
              <w:spacing w:before="117" w:line="220"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特定对象调研</w:t>
            </w:r>
          </w:p>
          <w:p w14:paraId="1E7E6619">
            <w:pPr>
              <w:pStyle w:val="14"/>
              <w:spacing w:before="182" w:line="219"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6"/>
                <w:lang w:eastAsia="zh-CN"/>
              </w:rPr>
              <w:t>媒体采访</w:t>
            </w:r>
          </w:p>
          <w:p w14:paraId="721F99F5">
            <w:pPr>
              <w:pStyle w:val="14"/>
              <w:spacing w:before="183" w:line="219"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新闻发布会</w:t>
            </w:r>
          </w:p>
          <w:p w14:paraId="416233C8">
            <w:pPr>
              <w:pStyle w:val="14"/>
              <w:spacing w:before="182" w:line="219" w:lineRule="auto"/>
              <w:ind w:left="135"/>
              <w:rPr>
                <w:rFonts w:ascii="Times New Roman" w:hAnsi="Times New Roman" w:cs="Times New Roman"/>
                <w:spacing w:val="-6"/>
                <w:lang w:eastAsia="zh-CN"/>
              </w:rPr>
            </w:pPr>
            <w:r>
              <w:rPr>
                <w:rFonts w:hint="eastAsia" w:ascii="Times New Roman" w:hAnsi="Times New Roman" w:cs="Times New Roman"/>
                <w:spacing w:val="-6"/>
                <w:lang w:eastAsia="zh-CN"/>
              </w:rPr>
              <w:t>□</w:t>
            </w:r>
            <w:r>
              <w:rPr>
                <w:rFonts w:ascii="Times New Roman" w:hAnsi="Times New Roman" w:cs="Times New Roman"/>
                <w:spacing w:val="-6"/>
                <w:lang w:eastAsia="zh-CN"/>
              </w:rPr>
              <w:t xml:space="preserve">现场参观 </w:t>
            </w:r>
          </w:p>
          <w:p w14:paraId="6F694929">
            <w:pPr>
              <w:pStyle w:val="14"/>
              <w:spacing w:before="182" w:line="219" w:lineRule="auto"/>
              <w:ind w:left="135"/>
              <w:rPr>
                <w:rFonts w:ascii="Times New Roman" w:hAnsi="Times New Roman" w:cs="Times New Roman"/>
                <w:lang w:eastAsia="zh-CN"/>
              </w:rPr>
            </w:pPr>
            <w:r>
              <w:rPr>
                <w:rFonts w:hint="eastAsia" w:ascii="Segoe UI Symbol" w:hAnsi="Segoe UI Symbol" w:cs="Segoe UI Symbol"/>
                <w:spacing w:val="-5"/>
                <w:lang w:eastAsia="zh-CN"/>
              </w:rPr>
              <w:t>☑</w:t>
            </w:r>
            <w:r>
              <w:rPr>
                <w:rFonts w:ascii="Times New Roman" w:hAnsi="Times New Roman" w:cs="Times New Roman"/>
                <w:spacing w:val="-6"/>
                <w:lang w:eastAsia="zh-CN"/>
              </w:rPr>
              <w:t>其他</w:t>
            </w:r>
            <w:r>
              <w:rPr>
                <w:rFonts w:hint="eastAsia" w:ascii="Times New Roman" w:hAnsi="Times New Roman" w:cs="Times New Roman"/>
                <w:spacing w:val="-6"/>
                <w:lang w:eastAsia="zh-CN"/>
              </w:rPr>
              <w:t>（电话会议）</w:t>
            </w:r>
          </w:p>
        </w:tc>
        <w:tc>
          <w:tcPr>
            <w:tcW w:w="2199" w:type="pct"/>
            <w:tcBorders>
              <w:left w:val="nil"/>
            </w:tcBorders>
          </w:tcPr>
          <w:p w14:paraId="35288B01">
            <w:pPr>
              <w:pStyle w:val="14"/>
              <w:spacing w:before="117" w:line="219" w:lineRule="auto"/>
              <w:ind w:left="484"/>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2"/>
                <w:lang w:eastAsia="zh-CN"/>
              </w:rPr>
              <w:t>分析师会议</w:t>
            </w:r>
          </w:p>
          <w:p w14:paraId="6F69686C">
            <w:pPr>
              <w:pStyle w:val="14"/>
              <w:spacing w:before="183" w:line="219" w:lineRule="auto"/>
              <w:ind w:left="511"/>
              <w:rPr>
                <w:rFonts w:ascii="Times New Roman" w:hAnsi="Times New Roman" w:cs="Times New Roman"/>
                <w:sz w:val="22"/>
                <w:szCs w:val="22"/>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业绩说明会</w:t>
            </w:r>
          </w:p>
          <w:p w14:paraId="39D7E6E1">
            <w:pPr>
              <w:pStyle w:val="14"/>
              <w:spacing w:before="182" w:line="220" w:lineRule="auto"/>
              <w:ind w:left="511"/>
              <w:rPr>
                <w:rFonts w:ascii="Times New Roman" w:hAnsi="Times New Roman" w:cs="Times New Roman"/>
                <w:spacing w:val="-7"/>
                <w:lang w:eastAsia="zh-CN"/>
              </w:rPr>
            </w:pPr>
            <w:r>
              <w:rPr>
                <w:rFonts w:hint="eastAsia" w:ascii="Times New Roman" w:hAnsi="Times New Roman" w:cs="Times New Roman"/>
                <w:spacing w:val="-6"/>
                <w:lang w:eastAsia="zh-CN"/>
              </w:rPr>
              <w:t>☑</w:t>
            </w:r>
            <w:r>
              <w:rPr>
                <w:rFonts w:ascii="Times New Roman" w:hAnsi="Times New Roman" w:cs="Times New Roman"/>
                <w:spacing w:val="-7"/>
                <w:lang w:eastAsia="zh-CN"/>
              </w:rPr>
              <w:t>路演活动</w:t>
            </w:r>
          </w:p>
          <w:p w14:paraId="2AC11218">
            <w:pPr>
              <w:pStyle w:val="14"/>
              <w:spacing w:before="182" w:line="220" w:lineRule="auto"/>
              <w:ind w:left="511"/>
              <w:rPr>
                <w:rFonts w:ascii="Times New Roman" w:hAnsi="Times New Roman" w:cs="Times New Roman"/>
                <w:spacing w:val="-7"/>
                <w:lang w:eastAsia="zh-CN"/>
              </w:rPr>
            </w:pPr>
          </w:p>
        </w:tc>
      </w:tr>
      <w:tr w14:paraId="2F1C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971" w:type="pct"/>
            <w:vAlign w:val="center"/>
          </w:tcPr>
          <w:p w14:paraId="65B027C1">
            <w:pPr>
              <w:pStyle w:val="14"/>
              <w:spacing w:before="115" w:line="220" w:lineRule="auto"/>
              <w:ind w:left="119"/>
              <w:jc w:val="center"/>
              <w:rPr>
                <w:rFonts w:ascii="Times New Roman" w:hAnsi="Times New Roman" w:cs="Times New Roman"/>
              </w:rPr>
            </w:pPr>
            <w:r>
              <w:rPr>
                <w:rFonts w:ascii="Times New Roman" w:hAnsi="Times New Roman" w:cs="Times New Roman"/>
                <w:spacing w:val="-2"/>
              </w:rPr>
              <w:t>参与单位名称</w:t>
            </w:r>
          </w:p>
        </w:tc>
        <w:tc>
          <w:tcPr>
            <w:tcW w:w="4028" w:type="pct"/>
            <w:gridSpan w:val="2"/>
            <w:vAlign w:val="center"/>
          </w:tcPr>
          <w:p w14:paraId="31F214FE">
            <w:pPr>
              <w:pStyle w:val="14"/>
              <w:spacing w:before="120" w:beforeLines="50" w:after="120" w:afterLines="50" w:line="360" w:lineRule="auto"/>
              <w:jc w:val="both"/>
              <w:rPr>
                <w:rFonts w:hint="default" w:ascii="Times New Roman" w:hAnsi="Times New Roman" w:cs="Times New Roman"/>
                <w:lang w:val="en-US" w:eastAsia="zh-CN"/>
              </w:rPr>
            </w:pPr>
            <w:r>
              <w:rPr>
                <w:rFonts w:hint="eastAsia" w:ascii="Times New Roman" w:hAnsi="Times New Roman" w:cs="Times New Roman"/>
                <w:lang w:val="en-US" w:eastAsia="zh-CN"/>
              </w:rPr>
              <w:t>建信基金、华夏基金、新华资产、嘉实基金、泰康资产、工银瑞信、泓德基金、银华基金、泰康基金、博时基金、易方达基金、国寿安保基金、南方基金、富国基金、华商基金、中信保诚资管、英大信托资管、纳轩投资、嘉富行远投资、青岛特钢、国寿养老、诚旸投资、国投瑞银基金、昆仑保险、蜂巢基金、长城基金、华泰资管、朱雀基金、华夏久盈、天风证券、中信建投证券、中金公司、中信证券、华创证券、招商证券、兴业证券、长江证券、国联民生证券、国金证券、国泰海通证券、中泰证券、浙商证券、广发证券、光大证券等</w:t>
            </w:r>
          </w:p>
        </w:tc>
      </w:tr>
      <w:tr w14:paraId="2B80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971" w:type="pct"/>
            <w:vAlign w:val="center"/>
          </w:tcPr>
          <w:p w14:paraId="6807D5DC">
            <w:pPr>
              <w:pStyle w:val="14"/>
              <w:spacing w:before="114" w:line="222" w:lineRule="auto"/>
              <w:ind w:left="128"/>
              <w:jc w:val="center"/>
              <w:rPr>
                <w:rFonts w:ascii="Times New Roman" w:hAnsi="Times New Roman" w:cs="Times New Roman"/>
              </w:rPr>
            </w:pPr>
            <w:r>
              <w:rPr>
                <w:rFonts w:ascii="Times New Roman" w:hAnsi="Times New Roman" w:cs="Times New Roman"/>
                <w:spacing w:val="-6"/>
              </w:rPr>
              <w:t>时间</w:t>
            </w:r>
          </w:p>
        </w:tc>
        <w:tc>
          <w:tcPr>
            <w:tcW w:w="4028" w:type="pct"/>
            <w:gridSpan w:val="2"/>
            <w:vAlign w:val="center"/>
          </w:tcPr>
          <w:p w14:paraId="0FA441E6">
            <w:pPr>
              <w:pStyle w:val="14"/>
              <w:spacing w:before="113" w:line="220" w:lineRule="auto"/>
              <w:rPr>
                <w:rFonts w:ascii="Times New Roman" w:hAnsi="Times New Roman" w:cs="Times New Roman"/>
                <w:lang w:eastAsia="zh-CN"/>
              </w:rPr>
            </w:pPr>
            <w:r>
              <w:rPr>
                <w:rFonts w:ascii="Times New Roman" w:hAnsi="Times New Roman" w:cs="Times New Roman"/>
                <w:spacing w:val="-4"/>
                <w:lang w:eastAsia="zh-CN"/>
              </w:rPr>
              <w:t>2025</w:t>
            </w:r>
            <w:r>
              <w:rPr>
                <w:rFonts w:ascii="Times New Roman" w:hAnsi="Times New Roman" w:cs="Times New Roman"/>
                <w:spacing w:val="-4"/>
              </w:rPr>
              <w:t>年</w:t>
            </w:r>
            <w:r>
              <w:rPr>
                <w:rFonts w:hint="eastAsia" w:ascii="Times New Roman" w:hAnsi="Times New Roman" w:cs="Times New Roman"/>
                <w:spacing w:val="-4"/>
                <w:lang w:val="en-US" w:eastAsia="zh-CN"/>
              </w:rPr>
              <w:t>7</w:t>
            </w:r>
            <w:r>
              <w:rPr>
                <w:rFonts w:ascii="Times New Roman" w:hAnsi="Times New Roman" w:cs="Times New Roman"/>
                <w:spacing w:val="-4"/>
              </w:rPr>
              <w:t>月</w:t>
            </w:r>
            <w:r>
              <w:rPr>
                <w:rFonts w:hint="eastAsia" w:ascii="Times New Roman" w:hAnsi="Times New Roman" w:cs="Times New Roman"/>
                <w:spacing w:val="-4"/>
                <w:lang w:val="en-US" w:eastAsia="zh-CN"/>
              </w:rPr>
              <w:t>1</w:t>
            </w:r>
            <w:r>
              <w:rPr>
                <w:rFonts w:ascii="Times New Roman" w:hAnsi="Times New Roman" w:cs="Times New Roman"/>
                <w:spacing w:val="-4"/>
                <w:lang w:eastAsia="zh-CN"/>
              </w:rPr>
              <w:t>日</w:t>
            </w:r>
            <w:r>
              <w:rPr>
                <w:rFonts w:hint="eastAsia" w:ascii="Times New Roman" w:hAnsi="Times New Roman" w:cs="Times New Roman"/>
                <w:spacing w:val="-4"/>
                <w:lang w:eastAsia="zh-CN"/>
              </w:rPr>
              <w:t>至</w:t>
            </w:r>
            <w:r>
              <w:rPr>
                <w:rFonts w:ascii="Times New Roman" w:hAnsi="Times New Roman" w:cs="Times New Roman"/>
                <w:spacing w:val="-4"/>
                <w:lang w:eastAsia="zh-CN"/>
              </w:rPr>
              <w:t>2025</w:t>
            </w:r>
            <w:r>
              <w:rPr>
                <w:rFonts w:ascii="Times New Roman" w:hAnsi="Times New Roman" w:cs="Times New Roman"/>
                <w:spacing w:val="-4"/>
              </w:rPr>
              <w:t>年</w:t>
            </w:r>
            <w:r>
              <w:rPr>
                <w:rFonts w:hint="eastAsia" w:ascii="Times New Roman" w:hAnsi="Times New Roman" w:cs="Times New Roman"/>
                <w:spacing w:val="-4"/>
                <w:lang w:val="en-US" w:eastAsia="zh-CN"/>
              </w:rPr>
              <w:t>7</w:t>
            </w:r>
            <w:r>
              <w:rPr>
                <w:rFonts w:ascii="Times New Roman" w:hAnsi="Times New Roman" w:cs="Times New Roman"/>
                <w:spacing w:val="-4"/>
              </w:rPr>
              <w:t>月</w:t>
            </w:r>
            <w:r>
              <w:rPr>
                <w:rFonts w:ascii="Times New Roman" w:hAnsi="Times New Roman" w:cs="Times New Roman"/>
                <w:spacing w:val="-4"/>
                <w:lang w:eastAsia="zh-CN"/>
              </w:rPr>
              <w:t>3</w:t>
            </w:r>
            <w:r>
              <w:rPr>
                <w:rFonts w:hint="eastAsia" w:ascii="Times New Roman" w:hAnsi="Times New Roman" w:cs="Times New Roman"/>
                <w:spacing w:val="-4"/>
                <w:lang w:val="en-US" w:eastAsia="zh-CN"/>
              </w:rPr>
              <w:t>1</w:t>
            </w:r>
            <w:r>
              <w:rPr>
                <w:rFonts w:ascii="Times New Roman" w:hAnsi="Times New Roman" w:cs="Times New Roman"/>
                <w:spacing w:val="-4"/>
                <w:lang w:eastAsia="zh-CN"/>
              </w:rPr>
              <w:t>日</w:t>
            </w:r>
          </w:p>
        </w:tc>
      </w:tr>
      <w:tr w14:paraId="3298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71" w:type="pct"/>
            <w:vAlign w:val="center"/>
          </w:tcPr>
          <w:p w14:paraId="0946ECE6">
            <w:pPr>
              <w:pStyle w:val="14"/>
              <w:spacing w:before="117" w:line="224" w:lineRule="auto"/>
              <w:ind w:left="117"/>
              <w:jc w:val="center"/>
              <w:rPr>
                <w:rFonts w:ascii="Times New Roman" w:hAnsi="Times New Roman" w:cs="Times New Roman"/>
              </w:rPr>
            </w:pPr>
            <w:r>
              <w:rPr>
                <w:rFonts w:ascii="Times New Roman" w:hAnsi="Times New Roman" w:cs="Times New Roman"/>
                <w:spacing w:val="-3"/>
              </w:rPr>
              <w:t>地点</w:t>
            </w:r>
          </w:p>
        </w:tc>
        <w:tc>
          <w:tcPr>
            <w:tcW w:w="4028" w:type="pct"/>
            <w:gridSpan w:val="2"/>
            <w:vAlign w:val="center"/>
          </w:tcPr>
          <w:p w14:paraId="00FADA5F">
            <w:pPr>
              <w:pStyle w:val="14"/>
              <w:spacing w:before="113" w:line="220" w:lineRule="auto"/>
              <w:rPr>
                <w:rFonts w:hint="default" w:ascii="Times New Roman" w:hAnsi="Times New Roman" w:cs="Times New Roman"/>
                <w:lang w:val="en-US" w:eastAsia="zh-CN"/>
              </w:rPr>
            </w:pPr>
            <w:r>
              <w:rPr>
                <w:rFonts w:hint="eastAsia" w:ascii="Times New Roman" w:hAnsi="Times New Roman" w:cs="Times New Roman"/>
                <w:spacing w:val="-4"/>
                <w:lang w:eastAsia="zh-CN"/>
              </w:rPr>
              <w:t>公司会议室、</w:t>
            </w:r>
            <w:r>
              <w:rPr>
                <w:rFonts w:ascii="Times New Roman" w:hAnsi="Times New Roman" w:cs="Times New Roman"/>
                <w:spacing w:val="-4"/>
                <w:lang w:eastAsia="zh-CN"/>
              </w:rPr>
              <w:t>电话会议</w:t>
            </w:r>
            <w:r>
              <w:rPr>
                <w:rFonts w:hint="eastAsia" w:ascii="Times New Roman" w:hAnsi="Times New Roman" w:cs="Times New Roman"/>
                <w:spacing w:val="-4"/>
                <w:lang w:val="en-US" w:eastAsia="zh-CN"/>
              </w:rPr>
              <w:t>等</w:t>
            </w:r>
            <w:bookmarkStart w:id="0" w:name="_GoBack"/>
            <w:bookmarkEnd w:id="0"/>
          </w:p>
        </w:tc>
      </w:tr>
      <w:tr w14:paraId="00C2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1" w:type="pct"/>
            <w:vAlign w:val="center"/>
          </w:tcPr>
          <w:p w14:paraId="11E0F2A3">
            <w:pPr>
              <w:pStyle w:val="14"/>
              <w:spacing w:before="116" w:line="313" w:lineRule="auto"/>
              <w:ind w:left="119" w:right="110"/>
              <w:jc w:val="center"/>
              <w:rPr>
                <w:rFonts w:ascii="Times New Roman" w:hAnsi="Times New Roman" w:cs="Times New Roman"/>
                <w:lang w:eastAsia="zh-CN"/>
              </w:rPr>
            </w:pPr>
            <w:r>
              <w:rPr>
                <w:rFonts w:ascii="Times New Roman" w:hAnsi="Times New Roman" w:cs="Times New Roman"/>
                <w:spacing w:val="4"/>
                <w:lang w:eastAsia="zh-CN"/>
              </w:rPr>
              <w:t>上市公司接待</w:t>
            </w:r>
            <w:r>
              <w:rPr>
                <w:rFonts w:ascii="Times New Roman" w:hAnsi="Times New Roman" w:cs="Times New Roman"/>
                <w:spacing w:val="-3"/>
                <w:lang w:eastAsia="zh-CN"/>
              </w:rPr>
              <w:t>人员姓名</w:t>
            </w:r>
          </w:p>
        </w:tc>
        <w:tc>
          <w:tcPr>
            <w:tcW w:w="4028" w:type="pct"/>
            <w:gridSpan w:val="2"/>
            <w:vAlign w:val="center"/>
          </w:tcPr>
          <w:p w14:paraId="69D2DD0F">
            <w:pPr>
              <w:pStyle w:val="14"/>
              <w:spacing w:before="113" w:line="220" w:lineRule="auto"/>
              <w:rPr>
                <w:rFonts w:hint="default" w:ascii="Times New Roman" w:hAnsi="Times New Roman" w:cs="Times New Roman"/>
                <w:lang w:val="en-US" w:eastAsia="zh-CN"/>
              </w:rPr>
            </w:pPr>
            <w:r>
              <w:rPr>
                <w:rFonts w:ascii="Times New Roman" w:hAnsi="Times New Roman" w:cs="Times New Roman"/>
                <w:spacing w:val="-4"/>
                <w:lang w:eastAsia="zh-CN"/>
              </w:rPr>
              <w:t xml:space="preserve">董事会秘书   </w:t>
            </w:r>
            <w:r>
              <w:rPr>
                <w:rFonts w:hint="eastAsia" w:ascii="Times New Roman" w:hAnsi="Times New Roman" w:cs="Times New Roman"/>
                <w:spacing w:val="-4"/>
                <w:lang w:val="en-US" w:eastAsia="zh-CN"/>
              </w:rPr>
              <w:t xml:space="preserve"> </w:t>
            </w:r>
            <w:r>
              <w:rPr>
                <w:rFonts w:ascii="Times New Roman" w:hAnsi="Times New Roman" w:cs="Times New Roman"/>
                <w:spacing w:val="-4"/>
                <w:lang w:eastAsia="zh-CN"/>
              </w:rPr>
              <w:t>范</w:t>
            </w:r>
            <w:r>
              <w:rPr>
                <w:rFonts w:hint="eastAsia" w:ascii="Times New Roman" w:hAnsi="Times New Roman" w:cs="Times New Roman"/>
                <w:spacing w:val="-4"/>
                <w:lang w:val="en-US" w:eastAsia="zh-CN"/>
              </w:rPr>
              <w:t xml:space="preserve">    </w:t>
            </w:r>
            <w:r>
              <w:rPr>
                <w:rFonts w:ascii="Times New Roman" w:hAnsi="Times New Roman" w:cs="Times New Roman"/>
                <w:spacing w:val="-4"/>
                <w:lang w:eastAsia="zh-CN"/>
              </w:rPr>
              <w:t>潇</w:t>
            </w:r>
          </w:p>
        </w:tc>
      </w:tr>
      <w:tr w14:paraId="6D77A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1" w:type="pct"/>
            <w:vAlign w:val="center"/>
          </w:tcPr>
          <w:p w14:paraId="58700294">
            <w:pPr>
              <w:pStyle w:val="14"/>
              <w:spacing w:before="116" w:line="313" w:lineRule="auto"/>
              <w:ind w:left="119" w:right="110"/>
              <w:jc w:val="center"/>
              <w:rPr>
                <w:rFonts w:ascii="Times New Roman" w:hAnsi="Times New Roman" w:cs="Times New Roman"/>
                <w:spacing w:val="4"/>
                <w:lang w:eastAsia="zh-CN"/>
              </w:rPr>
            </w:pPr>
            <w:r>
              <w:rPr>
                <w:rFonts w:ascii="Times New Roman" w:hAnsi="Times New Roman" w:cs="Times New Roman"/>
                <w:spacing w:val="4"/>
                <w:lang w:eastAsia="zh-CN"/>
              </w:rPr>
              <w:t>投资者关系活动主要内容介</w:t>
            </w:r>
            <w:r>
              <w:rPr>
                <w:rFonts w:ascii="Times New Roman" w:hAnsi="Times New Roman" w:cs="Times New Roman"/>
                <w:lang w:eastAsia="zh-CN"/>
              </w:rPr>
              <w:t>绍</w:t>
            </w:r>
          </w:p>
        </w:tc>
        <w:tc>
          <w:tcPr>
            <w:tcW w:w="4028" w:type="pct"/>
            <w:gridSpan w:val="2"/>
            <w:vAlign w:val="center"/>
          </w:tcPr>
          <w:p w14:paraId="5EEAEA67">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公司作为2025年世俱杯全球官方合作伙伴，请问公司如何通过AI技术打造差异化观赛体验？在提升全球品牌影响力方面有什么效果？</w:t>
            </w:r>
          </w:p>
          <w:p w14:paraId="44BE50AD">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公司作为2025年FIFA世俱杯新赛制后首个全球官方合作伙伴，充分彰显了在显示技术、AI大模型等领域的深厚积累与领先优势。以技术赋能体育营销，通过独家支持VAR裁判系统屏幕及赛场周边显示设备，构建了“AI全场景观赛”生态。在技术层面，公司自研的AI画质芯片H7，运用AI算法对足球运动轨迹进行实时分析，并自动调整背光分区与色彩饱和度，确保赛场色彩鲜活逼真，球员高速运动轨迹无拖影，为观众呈现了细腻流畅的视觉享受。同时，公司基于AI大模型的实时数据分析功能推出的AI赛事分析系统，可自动生成战术简报、球员数据对比，甚至支持胜负预测，为用户全方位提供优质观赛体验。奥维云网数据显示，世俱杯开赛首周，海信100吋（含98吋）及以上大屏电视国内销量同比增长109.6%；100吋大屏电视在美国、加拿大、英国等重点海外市场销量实现66%的同比增长，印证市场对公司技术创新的高度认可，也为公司全球化拓展进程和自主品牌建设注入了强劲动力。在今年发布的《2025 BrandZ中国全球化品牌50强》年度榜单中，海信连续9年位居中国全球化品牌十强。未来，公司将持续深耕世界顶级体育赛事与区域本土化赛事，构建成熟成效的体育营销体系，通过技术创新与顶级赛事营销进一步强化全球范围内的高端品牌认知。</w:t>
            </w:r>
          </w:p>
          <w:p w14:paraId="454413FE">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公司近年来在激光显示领域持续投入，请问在推动家庭影院场景方面有哪些优势？</w:t>
            </w:r>
          </w:p>
          <w:p w14:paraId="67C3F927">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近年来，公司持续深耕激光显示领域，积极推动激光显示技术在家用场景的创新发展，树立了“放映级”家庭影院新标准。在观影体验方面，公司2025年发布的探索X1系列激光电视，采用影院同源架构新一代显示芯片与LPU数字激光引擎，实现1500nits全局高亮，首次将专业影院级画质引入家庭场景。在健康护眼方面，公司推出的星光S1系列作为行业唯一获得莱茵0有害蓝光验证的产品，在护眼的同时通过电影院同源技术，实现像素级精准控光，达到110%BT.2020电影工业级色域，以“0有害蓝光、0频闪、0眩光、0反光、0辐射”五重标准满足家庭用户对长时间观影的健康需求。在场景体验上，公司推出全球最小化激光电视主机，并开发一体化卷曲激光电视，首创多维精准运动智能控制技术与卷曲记忆痕消除技术，在确保屏幕的平滑性和显示效果的同时解决传统激光电视搬运难题。未来，公司计划以“放映级”标准推动行业技术迭代，通过更大尺寸、更高画质、更低能耗的产品布局，满足家庭用户对沉浸式观影体验的追求。</w:t>
            </w:r>
          </w:p>
          <w:p w14:paraId="39638CBD">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公司对于年轻消费群体有哪些洞察？推出了哪些创新产品？</w:t>
            </w:r>
          </w:p>
          <w:p w14:paraId="31289C02">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答：公司始终关注年轻消费群体的需求与趋势，通过深入的场景化需求解构及技术迭代策略，精准把握年轻用户的核心诉求。针对年轻消费者对影视、游戏沉浸式体验的追求，公司推出UX系列RGB-Mini LED电视，其采用红绿蓝三原色背光技术实现97%BT.2020色域覆盖，配合黑曜屏Ultra的1.28%超低反射率，在强光环境下仍能呈现深邃黑场，满足全天候观影需求；面对《黑神话：悟空》等3A游戏的爆发，公司推出行业首个2304分区U+Mini LED电竞显示器大圣G9，作为全球首款3A原画显示器，其配备高端液晶同款黑曜屏，并支持UHD 160Hz与FHD 320Hz双电竞模式；针对年轻用户对语音控制、多设备联动的需求，海信电视搭载的星海大模型覆盖影视、音乐、播放控制等核心场景，多意图执行准确率达90%以上，打通全局对话状态共享，实现流畅自然的多轮交互体验。此外，公司旗下品牌VIDDA作为针对年轻消费群体的品牌，依托核心技术积累与精准市场定位，专注为年轻人打造兼具越级性能和质价比的标杆产品，市场份额不断攀升，印证公司年轻化战略的有效性。</w:t>
            </w:r>
          </w:p>
          <w:p w14:paraId="7C10A4CB">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公司在高端市场的竞争策略是什么？如何巩固百吋电视与激光电视的领先地位？</w:t>
            </w:r>
          </w:p>
          <w:p w14:paraId="30FCF798">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答：公司坚持“技术立企”，通过持续的研发投入和前瞻性的产业链布局实现产品技术的创新引领，强化高端市场竞争力。技术层面，RGB-Mini LED依托ULED打造技术代差壁垒，通过芯、光、屏全链路整合推动显示技术向“人本科技”“绿色节能”“健康护眼”方向迭代，引领行业进入全场景AI计算画质时代；在Micro LED领域突破最小半波宽芯片量产工艺，提升光效与视角，配合3D纳米复合封装技术实现极致黑态与抗眩光，并构建覆盖显示SoC、AI画质引擎到终端控制芯片的完整技术闭环；激光显示方向则通过纳米光谱选择屏、影院同源激光器等上游核心部件创新，推出全球首款1000nits高亮度激光电视，重新定义家庭观影标准，激光显示相关专利达2806项，在市场竞争中筑起牢固的技术壁垒。在产业链协同上，公司坚持纵向整合与横向拓展并举：纵向延伸至芯片、背光模组等上游核心技术，通过战略控股乾照光电、联合上游面板厂商研发行业唯一二次降反工艺的黑曜屏等举措，实现芯片、背光模组、屏幕的全链路自主化；横向布局高端LCD、激光、LED三大互补技术，进一步扩大公司垂直产业链的技术领先优势。</w:t>
            </w:r>
          </w:p>
          <w:p w14:paraId="2CB93CF1">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公司上半年发布的RGB-Mini LED电视UX系列有哪些技术突破？其市场定位与竞争优势如何？</w:t>
            </w:r>
          </w:p>
          <w:p w14:paraId="3E4DF6D4">
            <w:pPr>
              <w:pStyle w:val="14"/>
              <w:spacing w:before="120" w:beforeLines="50" w:after="120" w:afterLines="50" w:line="360" w:lineRule="auto"/>
              <w:ind w:firstLine="480" w:firstLineChars="200"/>
              <w:jc w:val="both"/>
              <w:rPr>
                <w:rFonts w:hint="default" w:ascii="Times New Roman" w:hAnsi="Times New Roman" w:cs="Times New Roman"/>
                <w:lang w:val="en-US" w:eastAsia="zh-CN"/>
              </w:rPr>
            </w:pPr>
            <w:r>
              <w:rPr>
                <w:rFonts w:hint="eastAsia" w:ascii="Times New Roman" w:hAnsi="Times New Roman" w:cs="Times New Roman"/>
                <w:color w:val="auto"/>
                <w:lang w:val="en-US" w:eastAsia="zh-CN"/>
              </w:rPr>
              <w:t>答：公司推出的UX系列RGB-Mini LED电视作为全球首款搭载行业领先的三维控色液晶显示技术并成功实现量产的电视，实现了液晶显示的技术革命。其核心突破包括采用红绿蓝三原色背光光源，在传统亮度、空间分区基础上新增色度维度控制，色域覆盖达BT.2020的97%，发光效率较传统QD-Mini LED提升15%；同时，UX系列搭载公司自研的高性能RGB-Mini LED发光芯片，解决了三原色LED发光效率、使用寿命、色彩偏移及色纯度等关键难题；在音响配置上，UX系列内置巴黎歌剧院帝瓦雷6.2.2声道，结合全球首个全链路Hi-Fi音质系统及自主研发的Hi-Sound Pro音频芯片，成为全球首个“双剧场级音响”系统；在节能表现上，UX系列作为RGB-Mini LED产品较QD-OLED及传统QD-Mini LED省电20%。目前，公司的RGB-Mini LED显示技术技术已获中国电子视像行业协会认正，UX系列凭借卓越的健康显示技术与创新突破入选第二届健康显示大会首批“显示设备金E护眼认证”产品，成为高端市场技术旗帜，为公司持续扩大高端市场份额输出强劲动能。</w:t>
            </w:r>
          </w:p>
        </w:tc>
      </w:tr>
    </w:tbl>
    <w:p w14:paraId="7D3A022D">
      <w:pPr>
        <w:jc w:val="center"/>
        <w:rPr>
          <w:rFonts w:ascii="Times New Roman" w:hAnsi="Times New Roman" w:cs="Times New Roman"/>
          <w:lang w:eastAsia="zh-CN"/>
        </w:rPr>
      </w:pPr>
    </w:p>
    <w:sectPr>
      <w:pgSz w:w="11907" w:h="16839"/>
      <w:pgMar w:top="737" w:right="1694" w:bottom="737" w:left="169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53066"/>
    <w:multiLevelType w:val="multilevel"/>
    <w:tmpl w:val="3F753066"/>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00013270"/>
    <w:rsid w:val="000258DA"/>
    <w:rsid w:val="00026A3C"/>
    <w:rsid w:val="00027473"/>
    <w:rsid w:val="000433B0"/>
    <w:rsid w:val="000528A6"/>
    <w:rsid w:val="000566D4"/>
    <w:rsid w:val="00063A98"/>
    <w:rsid w:val="000648F2"/>
    <w:rsid w:val="000720F6"/>
    <w:rsid w:val="000878B0"/>
    <w:rsid w:val="00095EE6"/>
    <w:rsid w:val="00096328"/>
    <w:rsid w:val="000A12D3"/>
    <w:rsid w:val="000B5B1D"/>
    <w:rsid w:val="000C4CE2"/>
    <w:rsid w:val="000D7D44"/>
    <w:rsid w:val="000F6158"/>
    <w:rsid w:val="001010F6"/>
    <w:rsid w:val="00102283"/>
    <w:rsid w:val="00115C8E"/>
    <w:rsid w:val="00116842"/>
    <w:rsid w:val="00132FD5"/>
    <w:rsid w:val="001339D6"/>
    <w:rsid w:val="00135E16"/>
    <w:rsid w:val="00152FD0"/>
    <w:rsid w:val="00153A81"/>
    <w:rsid w:val="00161E1E"/>
    <w:rsid w:val="00180497"/>
    <w:rsid w:val="0018684E"/>
    <w:rsid w:val="001878F1"/>
    <w:rsid w:val="001A7542"/>
    <w:rsid w:val="001B1907"/>
    <w:rsid w:val="001B21C1"/>
    <w:rsid w:val="001B58A9"/>
    <w:rsid w:val="001C061C"/>
    <w:rsid w:val="001C5778"/>
    <w:rsid w:val="001D1F73"/>
    <w:rsid w:val="001D66E8"/>
    <w:rsid w:val="001F443D"/>
    <w:rsid w:val="001F7D21"/>
    <w:rsid w:val="00202EDC"/>
    <w:rsid w:val="002078FE"/>
    <w:rsid w:val="00215D42"/>
    <w:rsid w:val="00227F8A"/>
    <w:rsid w:val="002330D1"/>
    <w:rsid w:val="002419CA"/>
    <w:rsid w:val="00251171"/>
    <w:rsid w:val="0025222F"/>
    <w:rsid w:val="00253848"/>
    <w:rsid w:val="00254B68"/>
    <w:rsid w:val="00255864"/>
    <w:rsid w:val="002630E1"/>
    <w:rsid w:val="002639ED"/>
    <w:rsid w:val="002665EF"/>
    <w:rsid w:val="00282F35"/>
    <w:rsid w:val="002943D3"/>
    <w:rsid w:val="002E7A10"/>
    <w:rsid w:val="002F1506"/>
    <w:rsid w:val="002F636D"/>
    <w:rsid w:val="003041E7"/>
    <w:rsid w:val="00304697"/>
    <w:rsid w:val="00313B73"/>
    <w:rsid w:val="003211D9"/>
    <w:rsid w:val="0033713F"/>
    <w:rsid w:val="00347596"/>
    <w:rsid w:val="00364753"/>
    <w:rsid w:val="00365786"/>
    <w:rsid w:val="003727CA"/>
    <w:rsid w:val="0038006B"/>
    <w:rsid w:val="00381231"/>
    <w:rsid w:val="003A1EDC"/>
    <w:rsid w:val="003A6954"/>
    <w:rsid w:val="003B32E2"/>
    <w:rsid w:val="003B42D1"/>
    <w:rsid w:val="003C6F36"/>
    <w:rsid w:val="003D14E6"/>
    <w:rsid w:val="003D524D"/>
    <w:rsid w:val="003D7D3D"/>
    <w:rsid w:val="003F10D8"/>
    <w:rsid w:val="003F4193"/>
    <w:rsid w:val="003F77B0"/>
    <w:rsid w:val="00400638"/>
    <w:rsid w:val="00405F80"/>
    <w:rsid w:val="00416404"/>
    <w:rsid w:val="004264B0"/>
    <w:rsid w:val="00445ED0"/>
    <w:rsid w:val="004466A9"/>
    <w:rsid w:val="0045514D"/>
    <w:rsid w:val="0046515E"/>
    <w:rsid w:val="0047436B"/>
    <w:rsid w:val="00483747"/>
    <w:rsid w:val="004902CD"/>
    <w:rsid w:val="0049271B"/>
    <w:rsid w:val="00497D95"/>
    <w:rsid w:val="004A074D"/>
    <w:rsid w:val="004A6B28"/>
    <w:rsid w:val="004A6E80"/>
    <w:rsid w:val="004D379F"/>
    <w:rsid w:val="004D650C"/>
    <w:rsid w:val="004E110E"/>
    <w:rsid w:val="004F0040"/>
    <w:rsid w:val="005018B5"/>
    <w:rsid w:val="00503B28"/>
    <w:rsid w:val="00511139"/>
    <w:rsid w:val="005155C1"/>
    <w:rsid w:val="005203B6"/>
    <w:rsid w:val="005242AD"/>
    <w:rsid w:val="005436D0"/>
    <w:rsid w:val="00555B77"/>
    <w:rsid w:val="0057355D"/>
    <w:rsid w:val="00582B2F"/>
    <w:rsid w:val="00593B99"/>
    <w:rsid w:val="0059784C"/>
    <w:rsid w:val="005978C7"/>
    <w:rsid w:val="005A20E2"/>
    <w:rsid w:val="005A7D2E"/>
    <w:rsid w:val="005B57CE"/>
    <w:rsid w:val="005B5D5C"/>
    <w:rsid w:val="005C35F8"/>
    <w:rsid w:val="005E02BA"/>
    <w:rsid w:val="005F3B68"/>
    <w:rsid w:val="00602685"/>
    <w:rsid w:val="00603B0A"/>
    <w:rsid w:val="0060571A"/>
    <w:rsid w:val="0061331C"/>
    <w:rsid w:val="006262FC"/>
    <w:rsid w:val="00642804"/>
    <w:rsid w:val="0064439F"/>
    <w:rsid w:val="00646BDD"/>
    <w:rsid w:val="0065359E"/>
    <w:rsid w:val="00654F37"/>
    <w:rsid w:val="00660ACD"/>
    <w:rsid w:val="006642E7"/>
    <w:rsid w:val="006771F2"/>
    <w:rsid w:val="0068377E"/>
    <w:rsid w:val="00691AF0"/>
    <w:rsid w:val="00694F83"/>
    <w:rsid w:val="00697AF8"/>
    <w:rsid w:val="006A40AC"/>
    <w:rsid w:val="006B0432"/>
    <w:rsid w:val="006B1E29"/>
    <w:rsid w:val="006B3BF4"/>
    <w:rsid w:val="006B5826"/>
    <w:rsid w:val="006B6C0C"/>
    <w:rsid w:val="006C6E82"/>
    <w:rsid w:val="006D6CFE"/>
    <w:rsid w:val="006D76E5"/>
    <w:rsid w:val="006F253E"/>
    <w:rsid w:val="006F3A6B"/>
    <w:rsid w:val="00701A97"/>
    <w:rsid w:val="00701CDE"/>
    <w:rsid w:val="007069FF"/>
    <w:rsid w:val="0071271A"/>
    <w:rsid w:val="0071680F"/>
    <w:rsid w:val="00721A3C"/>
    <w:rsid w:val="007235DA"/>
    <w:rsid w:val="007253E1"/>
    <w:rsid w:val="00734E08"/>
    <w:rsid w:val="00735CFA"/>
    <w:rsid w:val="00735FB6"/>
    <w:rsid w:val="0073618F"/>
    <w:rsid w:val="00747F36"/>
    <w:rsid w:val="007514AB"/>
    <w:rsid w:val="00754290"/>
    <w:rsid w:val="00754498"/>
    <w:rsid w:val="0075590F"/>
    <w:rsid w:val="00756484"/>
    <w:rsid w:val="00763464"/>
    <w:rsid w:val="00776833"/>
    <w:rsid w:val="0078668C"/>
    <w:rsid w:val="00790039"/>
    <w:rsid w:val="007A0FB9"/>
    <w:rsid w:val="007B14E0"/>
    <w:rsid w:val="007C57A9"/>
    <w:rsid w:val="007C6CB9"/>
    <w:rsid w:val="007D2BC0"/>
    <w:rsid w:val="007D3C9B"/>
    <w:rsid w:val="007F30CB"/>
    <w:rsid w:val="007F60B3"/>
    <w:rsid w:val="008035EF"/>
    <w:rsid w:val="008062D6"/>
    <w:rsid w:val="008071CB"/>
    <w:rsid w:val="0081198C"/>
    <w:rsid w:val="008254FF"/>
    <w:rsid w:val="00830360"/>
    <w:rsid w:val="00832AC0"/>
    <w:rsid w:val="008435C9"/>
    <w:rsid w:val="008449E3"/>
    <w:rsid w:val="00855870"/>
    <w:rsid w:val="0087238E"/>
    <w:rsid w:val="00877B66"/>
    <w:rsid w:val="00887818"/>
    <w:rsid w:val="00897825"/>
    <w:rsid w:val="008A4DB6"/>
    <w:rsid w:val="008B4BD6"/>
    <w:rsid w:val="008B68E8"/>
    <w:rsid w:val="008C224B"/>
    <w:rsid w:val="008C24E6"/>
    <w:rsid w:val="008C2D1A"/>
    <w:rsid w:val="008C4D9D"/>
    <w:rsid w:val="008D5C2C"/>
    <w:rsid w:val="008D6412"/>
    <w:rsid w:val="008D768F"/>
    <w:rsid w:val="008F0267"/>
    <w:rsid w:val="00900F18"/>
    <w:rsid w:val="00912E03"/>
    <w:rsid w:val="0091785A"/>
    <w:rsid w:val="009301CB"/>
    <w:rsid w:val="0093392E"/>
    <w:rsid w:val="00935084"/>
    <w:rsid w:val="009445BA"/>
    <w:rsid w:val="009570DB"/>
    <w:rsid w:val="00963F33"/>
    <w:rsid w:val="009715D6"/>
    <w:rsid w:val="00971B3B"/>
    <w:rsid w:val="0098378D"/>
    <w:rsid w:val="00985409"/>
    <w:rsid w:val="00987326"/>
    <w:rsid w:val="00994859"/>
    <w:rsid w:val="009A1671"/>
    <w:rsid w:val="009A66CD"/>
    <w:rsid w:val="009A7ED2"/>
    <w:rsid w:val="009B2534"/>
    <w:rsid w:val="009B5B12"/>
    <w:rsid w:val="009B7B0F"/>
    <w:rsid w:val="009C1127"/>
    <w:rsid w:val="009E77AC"/>
    <w:rsid w:val="009F5C67"/>
    <w:rsid w:val="009F6113"/>
    <w:rsid w:val="00A007F4"/>
    <w:rsid w:val="00A23B10"/>
    <w:rsid w:val="00A25571"/>
    <w:rsid w:val="00A25AB4"/>
    <w:rsid w:val="00A262F1"/>
    <w:rsid w:val="00A30CCF"/>
    <w:rsid w:val="00A3641B"/>
    <w:rsid w:val="00A4434C"/>
    <w:rsid w:val="00A634F6"/>
    <w:rsid w:val="00A77627"/>
    <w:rsid w:val="00AA0E52"/>
    <w:rsid w:val="00AA70F6"/>
    <w:rsid w:val="00AB32CF"/>
    <w:rsid w:val="00AB5A40"/>
    <w:rsid w:val="00AC7BB4"/>
    <w:rsid w:val="00B16D06"/>
    <w:rsid w:val="00B42227"/>
    <w:rsid w:val="00B54DEB"/>
    <w:rsid w:val="00B608BD"/>
    <w:rsid w:val="00B635FD"/>
    <w:rsid w:val="00B75C0D"/>
    <w:rsid w:val="00B77915"/>
    <w:rsid w:val="00B82CFC"/>
    <w:rsid w:val="00B84A94"/>
    <w:rsid w:val="00B90D34"/>
    <w:rsid w:val="00B97E05"/>
    <w:rsid w:val="00BA54F6"/>
    <w:rsid w:val="00BC36E1"/>
    <w:rsid w:val="00BC7451"/>
    <w:rsid w:val="00BE2107"/>
    <w:rsid w:val="00BE5771"/>
    <w:rsid w:val="00C012C4"/>
    <w:rsid w:val="00C04086"/>
    <w:rsid w:val="00C06DF6"/>
    <w:rsid w:val="00C12561"/>
    <w:rsid w:val="00C21C58"/>
    <w:rsid w:val="00C22DFC"/>
    <w:rsid w:val="00C235CF"/>
    <w:rsid w:val="00C248D5"/>
    <w:rsid w:val="00C3085F"/>
    <w:rsid w:val="00C330F9"/>
    <w:rsid w:val="00C54CCF"/>
    <w:rsid w:val="00C55CE5"/>
    <w:rsid w:val="00C721DD"/>
    <w:rsid w:val="00C80C4A"/>
    <w:rsid w:val="00C8294D"/>
    <w:rsid w:val="00C92ECE"/>
    <w:rsid w:val="00C9419A"/>
    <w:rsid w:val="00C95359"/>
    <w:rsid w:val="00CA5D74"/>
    <w:rsid w:val="00CB6B05"/>
    <w:rsid w:val="00CB7634"/>
    <w:rsid w:val="00CB78FF"/>
    <w:rsid w:val="00CC30E7"/>
    <w:rsid w:val="00CC6824"/>
    <w:rsid w:val="00CD4A4E"/>
    <w:rsid w:val="00D05F96"/>
    <w:rsid w:val="00D0641B"/>
    <w:rsid w:val="00D15993"/>
    <w:rsid w:val="00D21F86"/>
    <w:rsid w:val="00D25D6B"/>
    <w:rsid w:val="00D30CD2"/>
    <w:rsid w:val="00D434B6"/>
    <w:rsid w:val="00D46F9C"/>
    <w:rsid w:val="00D51F0B"/>
    <w:rsid w:val="00D6574B"/>
    <w:rsid w:val="00D70681"/>
    <w:rsid w:val="00D82759"/>
    <w:rsid w:val="00D96A06"/>
    <w:rsid w:val="00DE0B40"/>
    <w:rsid w:val="00DE3D73"/>
    <w:rsid w:val="00DE5956"/>
    <w:rsid w:val="00DF152D"/>
    <w:rsid w:val="00DF24CF"/>
    <w:rsid w:val="00E104C3"/>
    <w:rsid w:val="00E116A1"/>
    <w:rsid w:val="00E13EDA"/>
    <w:rsid w:val="00E22F5A"/>
    <w:rsid w:val="00E2376B"/>
    <w:rsid w:val="00E273C3"/>
    <w:rsid w:val="00E33296"/>
    <w:rsid w:val="00E36234"/>
    <w:rsid w:val="00E40699"/>
    <w:rsid w:val="00E4143F"/>
    <w:rsid w:val="00E503CA"/>
    <w:rsid w:val="00E61428"/>
    <w:rsid w:val="00E61436"/>
    <w:rsid w:val="00E72277"/>
    <w:rsid w:val="00E73F47"/>
    <w:rsid w:val="00E80FFB"/>
    <w:rsid w:val="00EA0E43"/>
    <w:rsid w:val="00EB2569"/>
    <w:rsid w:val="00EC2BB0"/>
    <w:rsid w:val="00F01655"/>
    <w:rsid w:val="00F04FBD"/>
    <w:rsid w:val="00F066C2"/>
    <w:rsid w:val="00F078B0"/>
    <w:rsid w:val="00F1678C"/>
    <w:rsid w:val="00F16B8C"/>
    <w:rsid w:val="00F27911"/>
    <w:rsid w:val="00F564FC"/>
    <w:rsid w:val="00F60D2B"/>
    <w:rsid w:val="00F6150B"/>
    <w:rsid w:val="00F63A0D"/>
    <w:rsid w:val="00F65269"/>
    <w:rsid w:val="00F654B8"/>
    <w:rsid w:val="00F65985"/>
    <w:rsid w:val="00F67A80"/>
    <w:rsid w:val="00FB37BD"/>
    <w:rsid w:val="00FC266A"/>
    <w:rsid w:val="00FD1A68"/>
    <w:rsid w:val="00FD4774"/>
    <w:rsid w:val="00FD7C16"/>
    <w:rsid w:val="00FE1CDA"/>
    <w:rsid w:val="00FE4037"/>
    <w:rsid w:val="00FE57BF"/>
    <w:rsid w:val="00FF4DC1"/>
    <w:rsid w:val="012B4701"/>
    <w:rsid w:val="01A473FF"/>
    <w:rsid w:val="01D628BE"/>
    <w:rsid w:val="036A7762"/>
    <w:rsid w:val="037C716B"/>
    <w:rsid w:val="03930A79"/>
    <w:rsid w:val="03E219EE"/>
    <w:rsid w:val="04137DFA"/>
    <w:rsid w:val="06567818"/>
    <w:rsid w:val="066C1739"/>
    <w:rsid w:val="076C7F34"/>
    <w:rsid w:val="08A70B11"/>
    <w:rsid w:val="091A424A"/>
    <w:rsid w:val="09671F72"/>
    <w:rsid w:val="09E10052"/>
    <w:rsid w:val="09FB7366"/>
    <w:rsid w:val="0B15662E"/>
    <w:rsid w:val="0CDA7707"/>
    <w:rsid w:val="0F8B28D2"/>
    <w:rsid w:val="12AA1929"/>
    <w:rsid w:val="1384217A"/>
    <w:rsid w:val="14E629C1"/>
    <w:rsid w:val="150D0E85"/>
    <w:rsid w:val="155D48B9"/>
    <w:rsid w:val="160E6673"/>
    <w:rsid w:val="1708666A"/>
    <w:rsid w:val="19037FE5"/>
    <w:rsid w:val="19C24C2F"/>
    <w:rsid w:val="19F33BB6"/>
    <w:rsid w:val="1A8D7508"/>
    <w:rsid w:val="1AC437A4"/>
    <w:rsid w:val="1B5A59F0"/>
    <w:rsid w:val="1CFA16FF"/>
    <w:rsid w:val="1D5202A2"/>
    <w:rsid w:val="1E000793"/>
    <w:rsid w:val="1E370533"/>
    <w:rsid w:val="1F182311"/>
    <w:rsid w:val="1F5844BB"/>
    <w:rsid w:val="1F69491A"/>
    <w:rsid w:val="1F980D5B"/>
    <w:rsid w:val="1FA3063F"/>
    <w:rsid w:val="208D2876"/>
    <w:rsid w:val="20F46465"/>
    <w:rsid w:val="210B63F6"/>
    <w:rsid w:val="211D3DA7"/>
    <w:rsid w:val="21FB3F4F"/>
    <w:rsid w:val="22291FCF"/>
    <w:rsid w:val="22AB6B3F"/>
    <w:rsid w:val="23E00F22"/>
    <w:rsid w:val="24B0361B"/>
    <w:rsid w:val="267F67D1"/>
    <w:rsid w:val="296C6A09"/>
    <w:rsid w:val="297939AC"/>
    <w:rsid w:val="2B822FEC"/>
    <w:rsid w:val="2BDA654F"/>
    <w:rsid w:val="2CA15303"/>
    <w:rsid w:val="2E7B3D35"/>
    <w:rsid w:val="2EA927A9"/>
    <w:rsid w:val="2EAB0AAB"/>
    <w:rsid w:val="2F991CA5"/>
    <w:rsid w:val="2F9C6479"/>
    <w:rsid w:val="315076E8"/>
    <w:rsid w:val="35E674FA"/>
    <w:rsid w:val="3652180C"/>
    <w:rsid w:val="378659C1"/>
    <w:rsid w:val="37922808"/>
    <w:rsid w:val="38F60B75"/>
    <w:rsid w:val="3A2B2AA0"/>
    <w:rsid w:val="3B874CE3"/>
    <w:rsid w:val="3BAB010B"/>
    <w:rsid w:val="3C3519B4"/>
    <w:rsid w:val="3DC6320C"/>
    <w:rsid w:val="3EFB0C93"/>
    <w:rsid w:val="3F7B000C"/>
    <w:rsid w:val="3FBDE036"/>
    <w:rsid w:val="3FF3309B"/>
    <w:rsid w:val="41B45A71"/>
    <w:rsid w:val="437E6337"/>
    <w:rsid w:val="43F51825"/>
    <w:rsid w:val="44537B7B"/>
    <w:rsid w:val="45B846D6"/>
    <w:rsid w:val="46813FDD"/>
    <w:rsid w:val="47776DEB"/>
    <w:rsid w:val="47F008D6"/>
    <w:rsid w:val="48C46704"/>
    <w:rsid w:val="492D2391"/>
    <w:rsid w:val="49D62A28"/>
    <w:rsid w:val="49E8450A"/>
    <w:rsid w:val="4A6E0CD3"/>
    <w:rsid w:val="4AD60806"/>
    <w:rsid w:val="4BF74ED8"/>
    <w:rsid w:val="4C013FBC"/>
    <w:rsid w:val="4C7402D7"/>
    <w:rsid w:val="4C8B22A5"/>
    <w:rsid w:val="4F0F2539"/>
    <w:rsid w:val="4F1B7FA7"/>
    <w:rsid w:val="4F7C497F"/>
    <w:rsid w:val="4F8C5C03"/>
    <w:rsid w:val="51581605"/>
    <w:rsid w:val="529B7BC9"/>
    <w:rsid w:val="53E06252"/>
    <w:rsid w:val="5516017D"/>
    <w:rsid w:val="55F10BEA"/>
    <w:rsid w:val="594C0103"/>
    <w:rsid w:val="5C2B2A4F"/>
    <w:rsid w:val="5CC83CEB"/>
    <w:rsid w:val="5CEB76B4"/>
    <w:rsid w:val="5D464BE3"/>
    <w:rsid w:val="5DE30E18"/>
    <w:rsid w:val="5F3D2D8C"/>
    <w:rsid w:val="5FF39DF9"/>
    <w:rsid w:val="60B13450"/>
    <w:rsid w:val="60FE2644"/>
    <w:rsid w:val="625E7607"/>
    <w:rsid w:val="63021D41"/>
    <w:rsid w:val="63057A83"/>
    <w:rsid w:val="6342031D"/>
    <w:rsid w:val="63AD76F5"/>
    <w:rsid w:val="63B9633C"/>
    <w:rsid w:val="64F551FD"/>
    <w:rsid w:val="657F3B1C"/>
    <w:rsid w:val="660D1128"/>
    <w:rsid w:val="66553BDD"/>
    <w:rsid w:val="67397F49"/>
    <w:rsid w:val="677671A1"/>
    <w:rsid w:val="691A4E3E"/>
    <w:rsid w:val="6A8917B4"/>
    <w:rsid w:val="6E2D7E8C"/>
    <w:rsid w:val="6E712470"/>
    <w:rsid w:val="6E7B6E4B"/>
    <w:rsid w:val="6F024E2E"/>
    <w:rsid w:val="6F2A4AF9"/>
    <w:rsid w:val="701513F0"/>
    <w:rsid w:val="722B4B4E"/>
    <w:rsid w:val="72E5624E"/>
    <w:rsid w:val="752244C4"/>
    <w:rsid w:val="75285696"/>
    <w:rsid w:val="770045CD"/>
    <w:rsid w:val="77212C85"/>
    <w:rsid w:val="77534E09"/>
    <w:rsid w:val="775F515F"/>
    <w:rsid w:val="796B2DFE"/>
    <w:rsid w:val="7AB67B89"/>
    <w:rsid w:val="7CE26037"/>
    <w:rsid w:val="7D8C038C"/>
    <w:rsid w:val="7DD30D3F"/>
    <w:rsid w:val="7E1153D8"/>
    <w:rsid w:val="7EAB7A4E"/>
    <w:rsid w:val="CFFA9BEF"/>
    <w:rsid w:val="DFDBE67B"/>
    <w:rsid w:val="F5A7D12F"/>
    <w:rsid w:val="FFDF8FA6"/>
    <w:rsid w:val="FFEFF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Balloon Text"/>
    <w:basedOn w:val="1"/>
    <w:link w:val="21"/>
    <w:qFormat/>
    <w:uiPriority w:val="0"/>
    <w:rPr>
      <w:sz w:val="18"/>
      <w:szCs w:val="18"/>
    </w:rPr>
  </w:style>
  <w:style w:type="paragraph" w:styleId="4">
    <w:name w:val="footer"/>
    <w:basedOn w:val="1"/>
    <w:link w:val="17"/>
    <w:qFormat/>
    <w:uiPriority w:val="0"/>
    <w:pPr>
      <w:tabs>
        <w:tab w:val="center" w:pos="4153"/>
        <w:tab w:val="right" w:pos="8306"/>
      </w:tabs>
    </w:pPr>
    <w:rPr>
      <w:sz w:val="18"/>
      <w:szCs w:val="18"/>
    </w:rPr>
  </w:style>
  <w:style w:type="paragraph" w:styleId="5">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7">
    <w:name w:val="Normal (Web)"/>
    <w:basedOn w:val="1"/>
    <w:qFormat/>
    <w:uiPriority w:val="99"/>
    <w:pPr>
      <w:widowControl w:val="0"/>
      <w:kinsoku/>
      <w:autoSpaceDE/>
      <w:autoSpaceDN/>
      <w:adjustRightInd/>
      <w:snapToGrid/>
      <w:jc w:val="both"/>
      <w:textAlignment w:val="auto"/>
    </w:pPr>
    <w:rPr>
      <w:rFonts w:asciiTheme="minorHAnsi" w:hAnsiTheme="minorHAnsi" w:eastAsiaTheme="minorEastAsia" w:cstheme="minorBidi"/>
      <w:snapToGrid/>
      <w:color w:val="auto"/>
      <w:kern w:val="2"/>
      <w:sz w:val="24"/>
      <w:szCs w:val="24"/>
      <w:lang w:eastAsia="zh-CN"/>
    </w:rPr>
  </w:style>
  <w:style w:type="paragraph" w:styleId="8">
    <w:name w:val="annotation subject"/>
    <w:basedOn w:val="2"/>
    <w:next w:val="2"/>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rPr>
  </w:style>
  <w:style w:type="paragraph" w:styleId="15">
    <w:name w:val="List Paragraph"/>
    <w:basedOn w:val="1"/>
    <w:qFormat/>
    <w:uiPriority w:val="34"/>
    <w:pPr>
      <w:ind w:firstLine="420" w:firstLineChars="200"/>
    </w:pPr>
  </w:style>
  <w:style w:type="character" w:customStyle="1" w:styleId="16">
    <w:name w:val="页眉 字符"/>
    <w:basedOn w:val="11"/>
    <w:link w:val="5"/>
    <w:qFormat/>
    <w:uiPriority w:val="0"/>
    <w:rPr>
      <w:rFonts w:ascii="Arial" w:hAnsi="Arial" w:eastAsia="Arial" w:cs="Arial"/>
      <w:snapToGrid w:val="0"/>
      <w:color w:val="000000"/>
      <w:sz w:val="18"/>
      <w:szCs w:val="18"/>
      <w:lang w:eastAsia="en-US"/>
    </w:rPr>
  </w:style>
  <w:style w:type="character" w:customStyle="1" w:styleId="17">
    <w:name w:val="页脚 字符"/>
    <w:basedOn w:val="11"/>
    <w:link w:val="4"/>
    <w:qFormat/>
    <w:uiPriority w:val="0"/>
    <w:rPr>
      <w:rFonts w:ascii="Arial" w:hAnsi="Arial" w:eastAsia="Arial" w:cs="Arial"/>
      <w:snapToGrid w:val="0"/>
      <w:color w:val="000000"/>
      <w:sz w:val="18"/>
      <w:szCs w:val="18"/>
      <w:lang w:eastAsia="en-US"/>
    </w:rPr>
  </w:style>
  <w:style w:type="paragraph" w:customStyle="1" w:styleId="18">
    <w:name w:val="修订1"/>
    <w:hidden/>
    <w:semiHidden/>
    <w:qFormat/>
    <w:uiPriority w:val="99"/>
    <w:rPr>
      <w:rFonts w:ascii="Arial" w:hAnsi="Arial" w:eastAsia="Arial" w:cs="Arial"/>
      <w:snapToGrid w:val="0"/>
      <w:color w:val="000000"/>
      <w:sz w:val="21"/>
      <w:szCs w:val="21"/>
      <w:lang w:val="en-US" w:eastAsia="en-US" w:bidi="ar-SA"/>
    </w:rPr>
  </w:style>
  <w:style w:type="character" w:customStyle="1" w:styleId="19">
    <w:name w:val="批注文字 字符"/>
    <w:basedOn w:val="11"/>
    <w:link w:val="2"/>
    <w:semiHidden/>
    <w:qFormat/>
    <w:uiPriority w:val="99"/>
    <w:rPr>
      <w:rFonts w:ascii="Arial" w:hAnsi="Arial" w:eastAsia="Arial" w:cs="Arial"/>
      <w:snapToGrid w:val="0"/>
      <w:color w:val="000000"/>
      <w:sz w:val="21"/>
      <w:szCs w:val="21"/>
      <w:lang w:eastAsia="en-US"/>
    </w:rPr>
  </w:style>
  <w:style w:type="character" w:customStyle="1" w:styleId="20">
    <w:name w:val="批注主题 字符"/>
    <w:basedOn w:val="19"/>
    <w:link w:val="8"/>
    <w:qFormat/>
    <w:uiPriority w:val="0"/>
    <w:rPr>
      <w:rFonts w:ascii="Arial" w:hAnsi="Arial" w:eastAsia="Arial" w:cs="Arial"/>
      <w:b/>
      <w:bCs/>
      <w:snapToGrid w:val="0"/>
      <w:color w:val="000000"/>
      <w:sz w:val="21"/>
      <w:szCs w:val="21"/>
      <w:lang w:eastAsia="en-US"/>
    </w:rPr>
  </w:style>
  <w:style w:type="character" w:customStyle="1" w:styleId="21">
    <w:name w:val="批注框文本 字符"/>
    <w:basedOn w:val="11"/>
    <w:link w:val="3"/>
    <w:qFormat/>
    <w:uiPriority w:val="0"/>
    <w:rPr>
      <w:rFonts w:ascii="Arial" w:hAnsi="Arial" w:eastAsia="Arial" w:cs="Arial"/>
      <w:snapToGrid w:val="0"/>
      <w:color w:val="000000"/>
      <w:sz w:val="18"/>
      <w:szCs w:val="18"/>
      <w:lang w:eastAsia="en-US"/>
    </w:rPr>
  </w:style>
  <w:style w:type="paragraph" w:customStyle="1" w:styleId="22">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23">
    <w:name w:val="修订3"/>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0B19-EEC4-43BE-8B41-AA0BAD13777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2724</Words>
  <Characters>3005</Characters>
  <Lines>17</Lines>
  <Paragraphs>5</Paragraphs>
  <TotalTime>4</TotalTime>
  <ScaleCrop>false</ScaleCrop>
  <LinksUpToDate>false</LinksUpToDate>
  <CharactersWithSpaces>3097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2025-04-30T07:42:00Z</dcterms:created>
  <dc:creator>Data</dc:creator>
  <cp:lastModifiedBy>郝艳芳</cp:lastModifiedBy>
  <dcterms:modified xsi:type="dcterms:W3CDTF">2025-07-31T12:05:58Z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2052-12.1.0.21915</vt:lpwstr>
  </property>
  <property fmtid="{D5CDD505-2E9C-101B-9397-08002B2CF9AE}" pid="5" name="ICV">
    <vt:lpwstr>C65D551CD15341A6B747404CF813EC72_13</vt:lpwstr>
  </property>
  <property fmtid="{D5CDD505-2E9C-101B-9397-08002B2CF9AE}" pid="6" name="KSOTemplateDocerSaveRecord">
    <vt:lpwstr>eyJoZGlkIjoiNzU0YWEzZTBmNGEwMDVhOTBmODg2ZGQ4OWJjNTJiMGEiLCJ1c2VySWQiOiIzOTkwMDU2MjcifQ==</vt:lpwstr>
  </property>
</Properties>
</file>