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FA8" w:rsidRDefault="002D2278">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rsidR="00CE2FA8" w:rsidRDefault="002D2278">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rsidR="00CE2FA8" w:rsidRDefault="002D2278">
      <w:pPr>
        <w:jc w:val="right"/>
        <w:rPr>
          <w:rFonts w:ascii="宋体" w:eastAsia="宋体" w:hAnsi="宋体"/>
          <w:sz w:val="28"/>
          <w:szCs w:val="28"/>
        </w:rPr>
      </w:pPr>
      <w:r>
        <w:rPr>
          <w:rFonts w:ascii="宋体" w:eastAsia="宋体" w:hAnsi="宋体" w:hint="eastAsia"/>
          <w:sz w:val="28"/>
          <w:szCs w:val="28"/>
        </w:rPr>
        <w:t>编号：</w:t>
      </w:r>
      <w:r>
        <w:rPr>
          <w:rFonts w:ascii="宋体" w:eastAsia="宋体" w:hAnsi="宋体" w:hint="eastAsia"/>
          <w:sz w:val="28"/>
          <w:szCs w:val="28"/>
        </w:rPr>
        <w:t>2</w:t>
      </w:r>
      <w:r>
        <w:rPr>
          <w:rFonts w:ascii="宋体" w:eastAsia="宋体" w:hAnsi="宋体"/>
          <w:sz w:val="28"/>
          <w:szCs w:val="28"/>
        </w:rPr>
        <w:t>025-019</w:t>
      </w:r>
    </w:p>
    <w:tbl>
      <w:tblPr>
        <w:tblStyle w:val="a8"/>
        <w:tblW w:w="8789" w:type="dxa"/>
        <w:jc w:val="center"/>
        <w:tblLook w:val="04A0" w:firstRow="1" w:lastRow="0" w:firstColumn="1" w:lastColumn="0" w:noHBand="0" w:noVBand="1"/>
      </w:tblPr>
      <w:tblGrid>
        <w:gridCol w:w="2122"/>
        <w:gridCol w:w="6667"/>
      </w:tblGrid>
      <w:tr w:rsidR="00CE2FA8">
        <w:trPr>
          <w:jc w:val="center"/>
        </w:trPr>
        <w:tc>
          <w:tcPr>
            <w:tcW w:w="2122" w:type="dxa"/>
            <w:vAlign w:val="center"/>
          </w:tcPr>
          <w:p w:rsidR="00CE2FA8" w:rsidRDefault="002D2278">
            <w:pPr>
              <w:spacing w:line="400" w:lineRule="exact"/>
              <w:jc w:val="center"/>
              <w:rPr>
                <w:rFonts w:ascii="宋体" w:eastAsia="宋体" w:hAnsi="宋体"/>
                <w:sz w:val="28"/>
                <w:szCs w:val="28"/>
              </w:rPr>
            </w:pPr>
            <w:r>
              <w:rPr>
                <w:rFonts w:ascii="宋体" w:eastAsia="宋体" w:hAnsi="宋体" w:hint="eastAsia"/>
                <w:sz w:val="28"/>
                <w:szCs w:val="28"/>
              </w:rPr>
              <w:t>投资者关系</w:t>
            </w:r>
          </w:p>
          <w:p w:rsidR="00CE2FA8" w:rsidRDefault="002D2278">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rsidR="00CE2FA8" w:rsidRDefault="002D2278">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特定对象调研</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□分析师会议</w:t>
            </w:r>
            <w:r>
              <w:rPr>
                <w:rFonts w:ascii="宋体" w:eastAsia="宋体" w:hAnsi="宋体" w:hint="eastAsia"/>
                <w:sz w:val="28"/>
                <w:szCs w:val="28"/>
              </w:rPr>
              <w:t xml:space="preserve"> </w:t>
            </w:r>
            <w:r>
              <w:rPr>
                <w:rFonts w:ascii="宋体" w:eastAsia="宋体" w:hAnsi="宋体"/>
                <w:sz w:val="28"/>
                <w:szCs w:val="28"/>
              </w:rPr>
              <w:t xml:space="preserve">      </w:t>
            </w:r>
          </w:p>
          <w:p w:rsidR="00CE2FA8" w:rsidRDefault="002D2278">
            <w:pPr>
              <w:spacing w:line="540" w:lineRule="exact"/>
              <w:rPr>
                <w:rFonts w:ascii="宋体" w:eastAsia="宋体" w:hAnsi="宋体"/>
                <w:sz w:val="28"/>
                <w:szCs w:val="28"/>
              </w:rPr>
            </w:pPr>
            <w:r>
              <w:rPr>
                <w:rFonts w:ascii="宋体" w:eastAsia="宋体" w:hAnsi="宋体" w:hint="eastAsia"/>
                <w:sz w:val="28"/>
                <w:szCs w:val="28"/>
              </w:rPr>
              <w:t>□媒体采访</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□业绩说明会</w:t>
            </w:r>
          </w:p>
          <w:p w:rsidR="00CE2FA8" w:rsidRDefault="002D2278">
            <w:pPr>
              <w:spacing w:line="540" w:lineRule="exact"/>
              <w:rPr>
                <w:rFonts w:ascii="宋体" w:eastAsia="宋体" w:hAnsi="宋体"/>
                <w:sz w:val="28"/>
                <w:szCs w:val="28"/>
              </w:rPr>
            </w:pPr>
            <w:r>
              <w:rPr>
                <w:rFonts w:ascii="宋体" w:eastAsia="宋体" w:hAnsi="宋体" w:hint="eastAsia"/>
                <w:sz w:val="28"/>
                <w:szCs w:val="28"/>
              </w:rPr>
              <w:t>□新闻发布会</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□路演活动</w:t>
            </w:r>
          </w:p>
          <w:p w:rsidR="00CE2FA8" w:rsidRDefault="002D2278">
            <w:pPr>
              <w:spacing w:line="540" w:lineRule="exact"/>
              <w:rPr>
                <w:rFonts w:ascii="宋体" w:eastAsia="宋体" w:hAnsi="宋体"/>
                <w:sz w:val="28"/>
                <w:szCs w:val="28"/>
              </w:rPr>
            </w:pPr>
            <w:r>
              <w:rPr>
                <w:rFonts w:ascii="宋体" w:eastAsia="宋体" w:hAnsi="宋体" w:hint="eastAsia"/>
                <w:sz w:val="28"/>
                <w:szCs w:val="28"/>
              </w:rPr>
              <w:t>□现场参观</w:t>
            </w:r>
          </w:p>
          <w:p w:rsidR="00CE2FA8" w:rsidRDefault="002D2278">
            <w:pPr>
              <w:spacing w:line="540" w:lineRule="exact"/>
              <w:rPr>
                <w:rFonts w:ascii="宋体" w:eastAsia="宋体" w:hAnsi="宋体"/>
                <w:sz w:val="28"/>
                <w:szCs w:val="28"/>
              </w:rPr>
            </w:pP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CE2FA8">
        <w:trPr>
          <w:trHeight w:val="2052"/>
          <w:jc w:val="center"/>
        </w:trPr>
        <w:tc>
          <w:tcPr>
            <w:tcW w:w="2122" w:type="dxa"/>
            <w:vAlign w:val="center"/>
          </w:tcPr>
          <w:p w:rsidR="00CE2FA8" w:rsidRDefault="002D2278">
            <w:pPr>
              <w:spacing w:line="400" w:lineRule="exact"/>
              <w:jc w:val="center"/>
              <w:rPr>
                <w:rFonts w:ascii="宋体" w:eastAsia="宋体" w:hAnsi="宋体"/>
                <w:sz w:val="28"/>
                <w:szCs w:val="28"/>
              </w:rPr>
            </w:pPr>
            <w:r>
              <w:rPr>
                <w:rFonts w:ascii="宋体" w:eastAsia="宋体" w:hAnsi="宋体" w:hint="eastAsia"/>
                <w:sz w:val="28"/>
                <w:szCs w:val="28"/>
              </w:rPr>
              <w:t>参会单位（排名不分先后）</w:t>
            </w:r>
          </w:p>
        </w:tc>
        <w:tc>
          <w:tcPr>
            <w:tcW w:w="6667" w:type="dxa"/>
            <w:vAlign w:val="center"/>
          </w:tcPr>
          <w:p w:rsidR="00CE2FA8" w:rsidRDefault="002D2278">
            <w:pPr>
              <w:spacing w:line="460" w:lineRule="exact"/>
              <w:rPr>
                <w:rFonts w:ascii="宋体" w:eastAsia="宋体" w:hAnsi="宋体"/>
                <w:sz w:val="28"/>
                <w:szCs w:val="28"/>
              </w:rPr>
            </w:pPr>
            <w:r>
              <w:rPr>
                <w:rFonts w:ascii="宋体" w:eastAsia="宋体" w:hAnsi="宋体" w:hint="eastAsia"/>
                <w:sz w:val="28"/>
                <w:szCs w:val="28"/>
              </w:rPr>
              <w:t>东北证券、海鹏投资、长盛基金、融通基金</w:t>
            </w:r>
          </w:p>
        </w:tc>
      </w:tr>
      <w:tr w:rsidR="00CE2FA8">
        <w:trPr>
          <w:trHeight w:val="510"/>
          <w:jc w:val="center"/>
        </w:trPr>
        <w:tc>
          <w:tcPr>
            <w:tcW w:w="2122" w:type="dxa"/>
            <w:vAlign w:val="center"/>
          </w:tcPr>
          <w:p w:rsidR="00CE2FA8" w:rsidRDefault="002D227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667" w:type="dxa"/>
            <w:vAlign w:val="center"/>
          </w:tcPr>
          <w:p w:rsidR="00CE2FA8" w:rsidRDefault="002D2278">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w:t>
            </w:r>
            <w:r>
              <w:rPr>
                <w:rFonts w:ascii="宋体" w:eastAsia="宋体" w:hAnsi="宋体" w:hint="eastAsia"/>
                <w:sz w:val="28"/>
                <w:szCs w:val="28"/>
              </w:rPr>
              <w:t>年</w:t>
            </w:r>
            <w:r>
              <w:rPr>
                <w:rFonts w:ascii="宋体" w:eastAsia="宋体" w:hAnsi="宋体" w:hint="eastAsia"/>
                <w:sz w:val="28"/>
                <w:szCs w:val="28"/>
              </w:rPr>
              <w:t>7</w:t>
            </w:r>
            <w:r>
              <w:rPr>
                <w:rFonts w:ascii="宋体" w:eastAsia="宋体" w:hAnsi="宋体" w:hint="eastAsia"/>
                <w:sz w:val="28"/>
                <w:szCs w:val="28"/>
              </w:rPr>
              <w:t>月</w:t>
            </w:r>
            <w:r>
              <w:rPr>
                <w:rFonts w:ascii="宋体" w:eastAsia="宋体" w:hAnsi="宋体" w:hint="eastAsia"/>
                <w:sz w:val="28"/>
                <w:szCs w:val="28"/>
              </w:rPr>
              <w:t>18</w:t>
            </w:r>
            <w:r>
              <w:rPr>
                <w:rFonts w:ascii="宋体" w:eastAsia="宋体" w:hAnsi="宋体" w:hint="eastAsia"/>
                <w:sz w:val="28"/>
                <w:szCs w:val="28"/>
              </w:rPr>
              <w:t>日上午</w:t>
            </w:r>
          </w:p>
        </w:tc>
      </w:tr>
      <w:tr w:rsidR="00CE2FA8">
        <w:trPr>
          <w:trHeight w:val="510"/>
          <w:jc w:val="center"/>
        </w:trPr>
        <w:tc>
          <w:tcPr>
            <w:tcW w:w="2122" w:type="dxa"/>
            <w:vAlign w:val="center"/>
          </w:tcPr>
          <w:p w:rsidR="00CE2FA8" w:rsidRDefault="002D227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rsidR="00CE2FA8" w:rsidRDefault="002D2278">
            <w:pPr>
              <w:spacing w:line="240" w:lineRule="auto"/>
              <w:rPr>
                <w:rFonts w:ascii="宋体" w:eastAsia="宋体" w:hAnsi="宋体"/>
                <w:sz w:val="28"/>
                <w:szCs w:val="28"/>
              </w:rPr>
            </w:pPr>
            <w:r>
              <w:rPr>
                <w:rFonts w:ascii="宋体" w:eastAsia="宋体" w:hAnsi="宋体" w:hint="eastAsia"/>
                <w:sz w:val="28"/>
                <w:szCs w:val="28"/>
              </w:rPr>
              <w:t>公司</w:t>
            </w:r>
            <w:r>
              <w:rPr>
                <w:rFonts w:ascii="宋体" w:eastAsia="宋体" w:hAnsi="宋体" w:hint="eastAsia"/>
                <w:sz w:val="28"/>
                <w:szCs w:val="28"/>
              </w:rPr>
              <w:t>906</w:t>
            </w:r>
            <w:r>
              <w:rPr>
                <w:rFonts w:ascii="宋体" w:eastAsia="宋体" w:hAnsi="宋体" w:hint="eastAsia"/>
                <w:sz w:val="28"/>
                <w:szCs w:val="28"/>
              </w:rPr>
              <w:t>会议室现场座谈</w:t>
            </w:r>
          </w:p>
        </w:tc>
      </w:tr>
      <w:tr w:rsidR="00CE2FA8">
        <w:trPr>
          <w:trHeight w:val="1247"/>
          <w:jc w:val="center"/>
        </w:trPr>
        <w:tc>
          <w:tcPr>
            <w:tcW w:w="2122" w:type="dxa"/>
            <w:vAlign w:val="center"/>
          </w:tcPr>
          <w:p w:rsidR="00CE2FA8" w:rsidRDefault="002D2278">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rsidR="00CE2FA8" w:rsidRDefault="002D2278">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CE2FA8">
        <w:trPr>
          <w:trHeight w:val="416"/>
          <w:jc w:val="center"/>
        </w:trPr>
        <w:tc>
          <w:tcPr>
            <w:tcW w:w="2122" w:type="dxa"/>
            <w:vAlign w:val="center"/>
          </w:tcPr>
          <w:p w:rsidR="00CE2FA8" w:rsidRDefault="002D2278">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rsidR="00CE2FA8" w:rsidRDefault="002D2278">
            <w:pPr>
              <w:spacing w:line="500" w:lineRule="exact"/>
              <w:ind w:firstLineChars="200" w:firstLine="562"/>
              <w:rPr>
                <w:rFonts w:ascii="宋体" w:eastAsia="宋体" w:hAnsi="宋体"/>
                <w:b/>
                <w:sz w:val="28"/>
                <w:szCs w:val="28"/>
              </w:rPr>
            </w:pPr>
            <w:r>
              <w:rPr>
                <w:rFonts w:ascii="宋体" w:eastAsia="宋体" w:hAnsi="宋体" w:hint="eastAsia"/>
                <w:b/>
                <w:sz w:val="28"/>
                <w:szCs w:val="28"/>
              </w:rPr>
              <w:t>问：公司怎么看今年的稀土总量控制指标？</w:t>
            </w:r>
          </w:p>
          <w:p w:rsidR="00CE2FA8" w:rsidRDefault="002D227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今年是《稀土管理条例》颁布之后第一次下发总量控制指标，这次下达的指标与《稀土管理条例》以及《稀土开采和稀土冶炼分离总量调控管理办法（暂行）（公开征求意见稿）》的相关要求基本相同，包括了国内矿生产的冶炼分离产品，也包括了进口矿生产的冶炼分离产品。《稀土管理条例》第十条明确规定：“国家根据稀土资源储量和种类差异、产业发展、生态保护、市场需求等因素，对稀土开采和稀土冶炼分离实行总量调控，并优化动态管理。具体办法由国务</w:t>
            </w:r>
            <w:r>
              <w:rPr>
                <w:rFonts w:ascii="宋体" w:eastAsia="宋体" w:hAnsi="宋体" w:hint="eastAsia"/>
                <w:bCs/>
                <w:sz w:val="28"/>
                <w:szCs w:val="28"/>
              </w:rPr>
              <w:lastRenderedPageBreak/>
              <w:t>院工业和信息化主管部门会同国务</w:t>
            </w:r>
            <w:r>
              <w:rPr>
                <w:rFonts w:ascii="宋体" w:eastAsia="宋体" w:hAnsi="宋体" w:hint="eastAsia"/>
                <w:bCs/>
                <w:sz w:val="28"/>
                <w:szCs w:val="28"/>
              </w:rPr>
              <w:t>院自然资源、发展改革等部门制定”。</w:t>
            </w:r>
            <w:r w:rsidR="00C6175A">
              <w:rPr>
                <w:rFonts w:ascii="宋体" w:eastAsia="宋体" w:hAnsi="宋体" w:hint="eastAsia"/>
                <w:bCs/>
                <w:sz w:val="28"/>
                <w:szCs w:val="28"/>
              </w:rPr>
              <w:t>今年</w:t>
            </w:r>
            <w:r>
              <w:rPr>
                <w:rFonts w:ascii="宋体" w:eastAsia="宋体" w:hAnsi="宋体" w:hint="eastAsia"/>
                <w:bCs/>
                <w:sz w:val="28"/>
                <w:szCs w:val="28"/>
              </w:rPr>
              <w:t>总量控制指标也是综合考虑市场、企业生产以及稀土行业的供应与需求情况综合制定的。</w:t>
            </w:r>
          </w:p>
          <w:p w:rsidR="00CE2FA8" w:rsidRDefault="002D2278">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问：公司生产中会使用进口矿吗？</w:t>
            </w:r>
          </w:p>
          <w:p w:rsidR="00CE2FA8" w:rsidRDefault="002D227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答：公司生产所需的稀土原料主要来源于白云鄂博矿，该矿是全球最大的铁和稀土等多元素共生矿，公司也会使用少量进口矿组织生产。</w:t>
            </w:r>
          </w:p>
          <w:p w:rsidR="00CE2FA8" w:rsidRDefault="002D2278">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问：公司在稀土产品冶炼分离的工序中做了那些环保方面的工作？</w:t>
            </w:r>
          </w:p>
          <w:p w:rsidR="00CE2FA8" w:rsidRDefault="002D227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答：公司在环保方面一直走在稀土行业前列，一直以来使用新技术、新工艺、新产品、新装备。公司下属各重点排污单位的各项“三废”处理设施均稳定正常运转，环保设施与主体设施同步运行、同步检修</w:t>
            </w:r>
            <w:r>
              <w:rPr>
                <w:rFonts w:ascii="宋体" w:eastAsia="宋体" w:hAnsi="宋体" w:hint="eastAsia"/>
                <w:bCs/>
                <w:sz w:val="28"/>
                <w:szCs w:val="28"/>
              </w:rPr>
              <w:t>。各子公司建立环保设施</w:t>
            </w:r>
            <w:proofErr w:type="gramStart"/>
            <w:r>
              <w:rPr>
                <w:rFonts w:ascii="宋体" w:eastAsia="宋体" w:hAnsi="宋体" w:hint="eastAsia"/>
                <w:bCs/>
                <w:sz w:val="28"/>
                <w:szCs w:val="28"/>
              </w:rPr>
              <w:t>运行台</w:t>
            </w:r>
            <w:proofErr w:type="gramEnd"/>
            <w:r>
              <w:rPr>
                <w:rFonts w:ascii="宋体" w:eastAsia="宋体" w:hAnsi="宋体" w:hint="eastAsia"/>
                <w:bCs/>
                <w:sz w:val="28"/>
                <w:szCs w:val="28"/>
              </w:rPr>
              <w:t>账，如实记录环保设施的运行状况。废水方面，</w:t>
            </w:r>
            <w:r>
              <w:rPr>
                <w:rFonts w:ascii="宋体" w:eastAsia="宋体" w:hAnsi="宋体" w:hint="eastAsia"/>
                <w:bCs/>
                <w:sz w:val="28"/>
                <w:szCs w:val="28"/>
              </w:rPr>
              <w:t>2014</w:t>
            </w:r>
            <w:r>
              <w:rPr>
                <w:rFonts w:ascii="宋体" w:eastAsia="宋体" w:hAnsi="宋体" w:hint="eastAsia"/>
                <w:bCs/>
                <w:sz w:val="28"/>
                <w:szCs w:val="28"/>
              </w:rPr>
              <w:t>年公司在全国稀土行业率先实现生产废水零排放，对生产过程中产生废水进行资源化回收利用，保证废水</w:t>
            </w:r>
            <w:proofErr w:type="gramStart"/>
            <w:r>
              <w:rPr>
                <w:rFonts w:ascii="宋体" w:eastAsia="宋体" w:hAnsi="宋体" w:hint="eastAsia"/>
                <w:bCs/>
                <w:sz w:val="28"/>
                <w:szCs w:val="28"/>
              </w:rPr>
              <w:t>不外排并回</w:t>
            </w:r>
            <w:proofErr w:type="gramEnd"/>
            <w:r>
              <w:rPr>
                <w:rFonts w:ascii="宋体" w:eastAsia="宋体" w:hAnsi="宋体" w:hint="eastAsia"/>
                <w:bCs/>
                <w:sz w:val="28"/>
                <w:szCs w:val="28"/>
              </w:rPr>
              <w:t>用到生产线上，在体系内自行处理；废气方面，公司在包分子公司全部达到比合</w:t>
            </w:r>
            <w:proofErr w:type="gramStart"/>
            <w:r>
              <w:rPr>
                <w:rFonts w:ascii="宋体" w:eastAsia="宋体" w:hAnsi="宋体" w:hint="eastAsia"/>
                <w:bCs/>
                <w:sz w:val="28"/>
                <w:szCs w:val="28"/>
              </w:rPr>
              <w:t>规</w:t>
            </w:r>
            <w:proofErr w:type="gramEnd"/>
            <w:r>
              <w:rPr>
                <w:rFonts w:ascii="宋体" w:eastAsia="宋体" w:hAnsi="宋体" w:hint="eastAsia"/>
                <w:bCs/>
                <w:sz w:val="28"/>
                <w:szCs w:val="28"/>
              </w:rPr>
              <w:t>排放更严格的超低排放标准，研发稀土萃取</w:t>
            </w:r>
            <w:r>
              <w:rPr>
                <w:rFonts w:ascii="宋体" w:eastAsia="宋体" w:hAnsi="宋体" w:hint="eastAsia"/>
                <w:bCs/>
                <w:sz w:val="28"/>
                <w:szCs w:val="28"/>
              </w:rPr>
              <w:t>VOC</w:t>
            </w:r>
            <w:r>
              <w:rPr>
                <w:rFonts w:ascii="宋体" w:eastAsia="宋体" w:hAnsi="宋体" w:hint="eastAsia"/>
                <w:bCs/>
                <w:sz w:val="28"/>
                <w:szCs w:val="28"/>
              </w:rPr>
              <w:t>治理装置及方法，基本实现全部回收挥发的有机物，萃取过程中无废气排放；废渣方面，公司各子公司的一般工业固废、危险废物合法合</w:t>
            </w:r>
            <w:proofErr w:type="gramStart"/>
            <w:r>
              <w:rPr>
                <w:rFonts w:ascii="宋体" w:eastAsia="宋体" w:hAnsi="宋体" w:hint="eastAsia"/>
                <w:bCs/>
                <w:sz w:val="28"/>
                <w:szCs w:val="28"/>
              </w:rPr>
              <w:t>规</w:t>
            </w:r>
            <w:proofErr w:type="gramEnd"/>
            <w:r>
              <w:rPr>
                <w:rFonts w:ascii="宋体" w:eastAsia="宋体" w:hAnsi="宋体" w:hint="eastAsia"/>
                <w:bCs/>
                <w:sz w:val="28"/>
                <w:szCs w:val="28"/>
              </w:rPr>
              <w:t>处置。</w:t>
            </w:r>
          </w:p>
          <w:p w:rsidR="00C6175A" w:rsidRPr="00C6175A" w:rsidRDefault="00C6175A" w:rsidP="00C6175A">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公司</w:t>
            </w:r>
            <w:r w:rsidRPr="00C6175A">
              <w:rPr>
                <w:rFonts w:ascii="宋体" w:eastAsia="宋体" w:hAnsi="宋体" w:hint="eastAsia"/>
                <w:bCs/>
                <w:sz w:val="28"/>
                <w:szCs w:val="28"/>
              </w:rPr>
              <w:t>投资建设的新一代稀土绿色采选冶稀土绿色冶炼升级改造项目，</w:t>
            </w:r>
            <w:r w:rsidRPr="00C6175A">
              <w:rPr>
                <w:rFonts w:ascii="宋体" w:eastAsia="宋体" w:hAnsi="宋体" w:hint="eastAsia"/>
                <w:bCs/>
                <w:sz w:val="28"/>
                <w:szCs w:val="28"/>
              </w:rPr>
              <w:t>通过采用行业最领先的工艺、技术及装备，酸碱单耗降低20%以上、新水使用量降低30%、节能15%左右。项目通过打造稀土冶炼整套自动</w:t>
            </w:r>
            <w:r w:rsidRPr="00C6175A">
              <w:rPr>
                <w:rFonts w:ascii="宋体" w:eastAsia="宋体" w:hAnsi="宋体" w:hint="eastAsia"/>
                <w:bCs/>
                <w:sz w:val="28"/>
                <w:szCs w:val="28"/>
              </w:rPr>
              <w:lastRenderedPageBreak/>
              <w:t>化生产线，采用多种智能化设备系统，提升绿色稀土冶炼装备智能化水平，实现优质、高效、低耗、灵活的智能生产。</w:t>
            </w:r>
          </w:p>
          <w:p w:rsidR="00C6175A" w:rsidRPr="00C6175A" w:rsidRDefault="00C6175A" w:rsidP="00C6175A">
            <w:pPr>
              <w:spacing w:line="500" w:lineRule="exact"/>
              <w:ind w:firstLineChars="200" w:firstLine="560"/>
              <w:rPr>
                <w:rFonts w:ascii="宋体" w:eastAsia="宋体" w:hAnsi="宋体" w:hint="eastAsia"/>
                <w:bCs/>
                <w:sz w:val="28"/>
                <w:szCs w:val="28"/>
              </w:rPr>
            </w:pPr>
            <w:r w:rsidRPr="00C6175A">
              <w:rPr>
                <w:rFonts w:ascii="宋体" w:eastAsia="宋体" w:hAnsi="宋体" w:hint="eastAsia"/>
                <w:bCs/>
                <w:sz w:val="28"/>
                <w:szCs w:val="28"/>
              </w:rPr>
              <w:t>项目通过应用行业领先的新工艺、新技术、新装备，建设绿色化、智能化、集约化、高端化稀土原料产业基地。不断提高白云鄂博资源综合利用水平，积极打造更高质量、更有效率、更优布局、更加低碳、更为安全的产业发展格局，有效实现产业链、供应</w:t>
            </w:r>
            <w:proofErr w:type="gramStart"/>
            <w:r w:rsidRPr="00C6175A">
              <w:rPr>
                <w:rFonts w:ascii="宋体" w:eastAsia="宋体" w:hAnsi="宋体" w:hint="eastAsia"/>
                <w:bCs/>
                <w:sz w:val="28"/>
                <w:szCs w:val="28"/>
              </w:rPr>
              <w:t>链安全</w:t>
            </w:r>
            <w:proofErr w:type="gramEnd"/>
            <w:r w:rsidRPr="00C6175A">
              <w:rPr>
                <w:rFonts w:ascii="宋体" w:eastAsia="宋体" w:hAnsi="宋体" w:hint="eastAsia"/>
                <w:bCs/>
                <w:sz w:val="28"/>
                <w:szCs w:val="28"/>
              </w:rPr>
              <w:t>可持续发展，进一步提升我国稀土产业竞争优势，不断增强我国稀土产业参与国际竞争的话语权。</w:t>
            </w:r>
          </w:p>
          <w:p w:rsidR="00CE2FA8" w:rsidRDefault="00C6175A" w:rsidP="00C6175A">
            <w:pPr>
              <w:spacing w:line="500" w:lineRule="exact"/>
              <w:ind w:firstLineChars="200" w:firstLine="560"/>
              <w:rPr>
                <w:rFonts w:ascii="宋体" w:eastAsia="宋体" w:hAnsi="宋体"/>
                <w:bCs/>
                <w:sz w:val="28"/>
                <w:szCs w:val="28"/>
              </w:rPr>
            </w:pPr>
            <w:r w:rsidRPr="00C6175A">
              <w:rPr>
                <w:rFonts w:ascii="宋体" w:eastAsia="宋体" w:hAnsi="宋体" w:hint="eastAsia"/>
                <w:bCs/>
                <w:sz w:val="28"/>
                <w:szCs w:val="28"/>
              </w:rPr>
              <w:t>项目建设具有较好的经济效益，可有效提高稀土资源集约高效、低碳环保利用水平，对稀土产业及下游应用领域可持续高质量发展具有重要的促进作用，对地区经济社会发展做出积极贡献，具有较好的社会效益</w:t>
            </w:r>
            <w:r>
              <w:rPr>
                <w:rFonts w:ascii="宋体" w:eastAsia="宋体" w:hAnsi="宋体" w:hint="eastAsia"/>
                <w:bCs/>
                <w:sz w:val="28"/>
                <w:szCs w:val="28"/>
              </w:rPr>
              <w:t>。</w:t>
            </w:r>
          </w:p>
          <w:p w:rsidR="00CE2FA8" w:rsidRDefault="002D2278">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问：公司在磁材领域的布局如何？</w:t>
            </w:r>
          </w:p>
          <w:p w:rsidR="002D2278" w:rsidRPr="002D2278" w:rsidRDefault="002D2278" w:rsidP="002D2278">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答：</w:t>
            </w:r>
            <w:r w:rsidRPr="002D2278">
              <w:rPr>
                <w:rFonts w:ascii="宋体" w:eastAsia="宋体" w:hAnsi="宋体" w:hint="eastAsia"/>
                <w:bCs/>
                <w:sz w:val="28"/>
                <w:szCs w:val="28"/>
              </w:rPr>
              <w:t>磁材合金方面，公司目前拥有10万吨/年的磁性材料合金产能。为进一步提升产业竞争力，公司子公司内蒙古北方稀土磁性材料有限责任公司（以下简称北方磁材）启动建设5万吨高性能钕铁硼速凝合金项目。该项目建成后，将新增年产5万吨磁材合金及</w:t>
            </w:r>
            <w:proofErr w:type="gramStart"/>
            <w:r w:rsidRPr="002D2278">
              <w:rPr>
                <w:rFonts w:ascii="宋体" w:eastAsia="宋体" w:hAnsi="宋体" w:hint="eastAsia"/>
                <w:bCs/>
                <w:sz w:val="28"/>
                <w:szCs w:val="28"/>
              </w:rPr>
              <w:t>1万吨氢碎粉</w:t>
            </w:r>
            <w:proofErr w:type="gramEnd"/>
            <w:r w:rsidRPr="002D2278">
              <w:rPr>
                <w:rFonts w:ascii="宋体" w:eastAsia="宋体" w:hAnsi="宋体" w:hint="eastAsia"/>
                <w:bCs/>
                <w:sz w:val="28"/>
                <w:szCs w:val="28"/>
              </w:rPr>
              <w:t>的生产能力，打造单体产能最大、综合成本效益最优、最具市场竞争力的稀土磁性材料合金（粉体）生产工厂及质量领先的新能源配套磁材，该项目是公司二十多年生产实践、技术成果、科技创新的智慧结晶，确保产出的合金产品标准均匀、磁性能优异、</w:t>
            </w:r>
            <w:proofErr w:type="gramStart"/>
            <w:r w:rsidRPr="002D2278">
              <w:rPr>
                <w:rFonts w:ascii="宋体" w:eastAsia="宋体" w:hAnsi="宋体" w:hint="eastAsia"/>
                <w:bCs/>
                <w:sz w:val="28"/>
                <w:szCs w:val="28"/>
              </w:rPr>
              <w:t>富钕相分布</w:t>
            </w:r>
            <w:proofErr w:type="gramEnd"/>
            <w:r w:rsidRPr="002D2278">
              <w:rPr>
                <w:rFonts w:ascii="宋体" w:eastAsia="宋体" w:hAnsi="宋体" w:hint="eastAsia"/>
                <w:bCs/>
                <w:sz w:val="28"/>
                <w:szCs w:val="28"/>
              </w:rPr>
              <w:t>均匀，可满足下游市场对高性能</w:t>
            </w:r>
            <w:r w:rsidRPr="002D2278">
              <w:rPr>
                <w:rFonts w:ascii="宋体" w:eastAsia="宋体" w:hAnsi="宋体" w:hint="eastAsia"/>
                <w:bCs/>
                <w:sz w:val="28"/>
                <w:szCs w:val="28"/>
              </w:rPr>
              <w:lastRenderedPageBreak/>
              <w:t>磁性材料的需求。</w:t>
            </w:r>
          </w:p>
          <w:p w:rsidR="002D2278" w:rsidRPr="002D2278" w:rsidRDefault="002D2278" w:rsidP="002D2278">
            <w:pPr>
              <w:spacing w:line="500" w:lineRule="exact"/>
              <w:ind w:firstLineChars="200" w:firstLine="560"/>
              <w:rPr>
                <w:rFonts w:ascii="宋体" w:eastAsia="宋体" w:hAnsi="宋体" w:hint="eastAsia"/>
                <w:bCs/>
                <w:sz w:val="28"/>
                <w:szCs w:val="28"/>
              </w:rPr>
            </w:pPr>
            <w:r w:rsidRPr="002D2278">
              <w:rPr>
                <w:rFonts w:ascii="宋体" w:eastAsia="宋体" w:hAnsi="宋体" w:hint="eastAsia"/>
                <w:bCs/>
                <w:sz w:val="28"/>
                <w:szCs w:val="28"/>
              </w:rPr>
              <w:t>磁体方面，公司正加速推进产能建设与技术升级，与子公司北方磁材及安泰科技合资成立的安泰北方科技有限公司，已建成5000吨/年稀土永磁产业化项目； 联合宁波招宝磁业、</w:t>
            </w:r>
            <w:proofErr w:type="gramStart"/>
            <w:r w:rsidRPr="002D2278">
              <w:rPr>
                <w:rFonts w:ascii="宋体" w:eastAsia="宋体" w:hAnsi="宋体" w:hint="eastAsia"/>
                <w:bCs/>
                <w:sz w:val="28"/>
                <w:szCs w:val="28"/>
              </w:rPr>
              <w:t>苏州通润驱动</w:t>
            </w:r>
            <w:proofErr w:type="gramEnd"/>
            <w:r w:rsidRPr="002D2278">
              <w:rPr>
                <w:rFonts w:ascii="宋体" w:eastAsia="宋体" w:hAnsi="宋体" w:hint="eastAsia"/>
                <w:bCs/>
                <w:sz w:val="28"/>
                <w:szCs w:val="28"/>
              </w:rPr>
              <w:t>、宁波</w:t>
            </w:r>
            <w:proofErr w:type="gramStart"/>
            <w:r w:rsidRPr="002D2278">
              <w:rPr>
                <w:rFonts w:ascii="宋体" w:eastAsia="宋体" w:hAnsi="宋体" w:hint="eastAsia"/>
                <w:bCs/>
                <w:sz w:val="28"/>
                <w:szCs w:val="28"/>
              </w:rPr>
              <w:t>西磁科技</w:t>
            </w:r>
            <w:proofErr w:type="gramEnd"/>
            <w:r w:rsidRPr="002D2278">
              <w:rPr>
                <w:rFonts w:ascii="宋体" w:eastAsia="宋体" w:hAnsi="宋体" w:hint="eastAsia"/>
                <w:bCs/>
                <w:sz w:val="28"/>
                <w:szCs w:val="28"/>
              </w:rPr>
              <w:t>共同投资设立北方招宝磁业（内蒙古）有限公司，实施3000吨/年高性能钕铁硼磁性材料项目，进一步满足高端永磁电机、机器人、智能装备等领域的磁材需求。</w:t>
            </w:r>
          </w:p>
          <w:p w:rsidR="00CE2FA8" w:rsidRDefault="002D2278" w:rsidP="002D2278">
            <w:pPr>
              <w:spacing w:line="500" w:lineRule="exact"/>
              <w:ind w:firstLineChars="200" w:firstLine="560"/>
              <w:rPr>
                <w:rFonts w:ascii="宋体" w:eastAsia="宋体" w:hAnsi="宋体" w:hint="eastAsia"/>
                <w:bCs/>
                <w:sz w:val="28"/>
                <w:szCs w:val="28"/>
              </w:rPr>
            </w:pPr>
            <w:r w:rsidRPr="002D2278">
              <w:rPr>
                <w:rFonts w:ascii="宋体" w:eastAsia="宋体" w:hAnsi="宋体" w:hint="eastAsia"/>
                <w:bCs/>
                <w:sz w:val="28"/>
                <w:szCs w:val="28"/>
              </w:rPr>
              <w:t>未来，公司通过并购重组</w:t>
            </w:r>
            <w:proofErr w:type="gramStart"/>
            <w:r w:rsidRPr="002D2278">
              <w:rPr>
                <w:rFonts w:ascii="宋体" w:eastAsia="宋体" w:hAnsi="宋体" w:hint="eastAsia"/>
                <w:bCs/>
                <w:sz w:val="28"/>
                <w:szCs w:val="28"/>
              </w:rPr>
              <w:t>延链补链强链</w:t>
            </w:r>
            <w:proofErr w:type="gramEnd"/>
            <w:r w:rsidRPr="002D2278">
              <w:rPr>
                <w:rFonts w:ascii="宋体" w:eastAsia="宋体" w:hAnsi="宋体" w:hint="eastAsia"/>
                <w:bCs/>
                <w:sz w:val="28"/>
                <w:szCs w:val="28"/>
              </w:rPr>
              <w:t>，将资源优势转化为产业上下游协同联动发展优势，提升磁性材料产能和技术水平，强化稀土金属资源保障能力，全面增强磁性材料产品市场竞争力和产业</w:t>
            </w:r>
            <w:proofErr w:type="gramStart"/>
            <w:r w:rsidRPr="002D2278">
              <w:rPr>
                <w:rFonts w:ascii="宋体" w:eastAsia="宋体" w:hAnsi="宋体" w:hint="eastAsia"/>
                <w:bCs/>
                <w:sz w:val="28"/>
                <w:szCs w:val="28"/>
              </w:rPr>
              <w:t>链价值</w:t>
            </w:r>
            <w:proofErr w:type="gramEnd"/>
            <w:r w:rsidRPr="002D2278">
              <w:rPr>
                <w:rFonts w:ascii="宋体" w:eastAsia="宋体" w:hAnsi="宋体" w:hint="eastAsia"/>
                <w:bCs/>
                <w:sz w:val="28"/>
                <w:szCs w:val="28"/>
              </w:rPr>
              <w:t>创造能力，为新能源、智能制造、人工智能等新兴产业提供核心材料支撑。同时，充分利用磁材市场变化，优化产品结构，提升产品市场占有率，实现效益最大化。</w:t>
            </w:r>
          </w:p>
          <w:p w:rsidR="00CE2FA8" w:rsidRDefault="002D2278">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问：公司稀土产品的销售模式是什么？长协和现货的占比大概是多少？</w:t>
            </w:r>
          </w:p>
          <w:p w:rsidR="00CE2FA8" w:rsidRDefault="002D227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答：公司目前向下游磁材企业出售的稀土产品一般采取长协、零售和竞拍的销售模式，长协约占</w:t>
            </w:r>
            <w:r>
              <w:rPr>
                <w:rFonts w:ascii="宋体" w:eastAsia="宋体" w:hAnsi="宋体" w:hint="eastAsia"/>
                <w:bCs/>
                <w:sz w:val="28"/>
                <w:szCs w:val="28"/>
              </w:rPr>
              <w:t>50%</w:t>
            </w:r>
            <w:r>
              <w:rPr>
                <w:rFonts w:ascii="宋体" w:eastAsia="宋体" w:hAnsi="宋体" w:hint="eastAsia"/>
                <w:bCs/>
                <w:sz w:val="28"/>
                <w:szCs w:val="28"/>
              </w:rPr>
              <w:t>以上。</w:t>
            </w:r>
          </w:p>
          <w:p w:rsidR="00CE2FA8" w:rsidRDefault="002D2278">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问：最近公司在包头稀土产品交易所做的稀土产品拍卖是出于什么考虑？</w:t>
            </w:r>
          </w:p>
          <w:p w:rsidR="00CE2FA8" w:rsidRDefault="002D227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答：竞拍是公司向下游企业出售的稀土产品的一种销售模式，是公司为了更加贴合市场、适应市场、检验产品价格与市场契合</w:t>
            </w:r>
            <w:proofErr w:type="gramStart"/>
            <w:r>
              <w:rPr>
                <w:rFonts w:ascii="宋体" w:eastAsia="宋体" w:hAnsi="宋体" w:hint="eastAsia"/>
                <w:bCs/>
                <w:sz w:val="28"/>
                <w:szCs w:val="28"/>
              </w:rPr>
              <w:t>度做出</w:t>
            </w:r>
            <w:proofErr w:type="gramEnd"/>
            <w:r>
              <w:rPr>
                <w:rFonts w:ascii="宋体" w:eastAsia="宋体" w:hAnsi="宋体" w:hint="eastAsia"/>
                <w:bCs/>
                <w:sz w:val="28"/>
                <w:szCs w:val="28"/>
              </w:rPr>
              <w:t>的举措之一，近期由于稀土产品价格上涨受到了更多的关注。稀土产品的价格受市场供需影响，但市场预期也会影响价格。目</w:t>
            </w:r>
            <w:r>
              <w:rPr>
                <w:rFonts w:ascii="宋体" w:eastAsia="宋体" w:hAnsi="宋体" w:hint="eastAsia"/>
                <w:bCs/>
                <w:sz w:val="28"/>
                <w:szCs w:val="28"/>
              </w:rPr>
              <w:lastRenderedPageBreak/>
              <w:t>前稀土产品的价格在逐步上移，公司拿出一部分稀土产品放到包</w:t>
            </w:r>
            <w:r>
              <w:rPr>
                <w:rFonts w:ascii="宋体" w:eastAsia="宋体" w:hAnsi="宋体" w:hint="eastAsia"/>
                <w:bCs/>
                <w:sz w:val="28"/>
                <w:szCs w:val="28"/>
              </w:rPr>
              <w:t>头稀土产品交易所拍卖，通过实际成交情况研判下游应用和终端客户对稀土产品价格的接受程度</w:t>
            </w:r>
            <w:r>
              <w:rPr>
                <w:rFonts w:ascii="宋体" w:eastAsia="宋体" w:hAnsi="宋体" w:hint="eastAsia"/>
                <w:bCs/>
                <w:sz w:val="28"/>
                <w:szCs w:val="28"/>
              </w:rPr>
              <w:t>。</w:t>
            </w:r>
            <w:bookmarkStart w:id="0" w:name="_GoBack"/>
            <w:bookmarkEnd w:id="0"/>
          </w:p>
          <w:p w:rsidR="00CE2FA8" w:rsidRDefault="002D2278">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问：公司未来的分红规划？</w:t>
            </w:r>
          </w:p>
          <w:p w:rsidR="00CE2FA8" w:rsidRDefault="002D227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答：公司于</w:t>
            </w:r>
            <w:r>
              <w:rPr>
                <w:rFonts w:ascii="宋体" w:eastAsia="宋体" w:hAnsi="宋体" w:hint="eastAsia"/>
                <w:bCs/>
                <w:sz w:val="28"/>
                <w:szCs w:val="28"/>
              </w:rPr>
              <w:t>2025</w:t>
            </w:r>
            <w:r>
              <w:rPr>
                <w:rFonts w:ascii="宋体" w:eastAsia="宋体" w:hAnsi="宋体" w:hint="eastAsia"/>
                <w:bCs/>
                <w:sz w:val="28"/>
                <w:szCs w:val="28"/>
              </w:rPr>
              <w:t>年</w:t>
            </w:r>
            <w:r>
              <w:rPr>
                <w:rFonts w:ascii="宋体" w:eastAsia="宋体" w:hAnsi="宋体" w:hint="eastAsia"/>
                <w:bCs/>
                <w:sz w:val="28"/>
                <w:szCs w:val="28"/>
              </w:rPr>
              <w:t>6</w:t>
            </w:r>
            <w:r>
              <w:rPr>
                <w:rFonts w:ascii="宋体" w:eastAsia="宋体" w:hAnsi="宋体" w:hint="eastAsia"/>
                <w:bCs/>
                <w:sz w:val="28"/>
                <w:szCs w:val="28"/>
              </w:rPr>
              <w:t>月</w:t>
            </w:r>
            <w:r>
              <w:rPr>
                <w:rFonts w:ascii="宋体" w:eastAsia="宋体" w:hAnsi="宋体" w:hint="eastAsia"/>
                <w:bCs/>
                <w:sz w:val="28"/>
                <w:szCs w:val="28"/>
              </w:rPr>
              <w:t>20</w:t>
            </w:r>
            <w:r>
              <w:rPr>
                <w:rFonts w:ascii="宋体" w:eastAsia="宋体" w:hAnsi="宋体" w:hint="eastAsia"/>
                <w:bCs/>
                <w:sz w:val="28"/>
                <w:szCs w:val="28"/>
              </w:rPr>
              <w:t>日完成了</w:t>
            </w:r>
            <w:r>
              <w:rPr>
                <w:rFonts w:ascii="宋体" w:eastAsia="宋体" w:hAnsi="宋体" w:hint="eastAsia"/>
                <w:bCs/>
                <w:sz w:val="28"/>
                <w:szCs w:val="28"/>
              </w:rPr>
              <w:t>2024</w:t>
            </w:r>
            <w:r>
              <w:rPr>
                <w:rFonts w:ascii="宋体" w:eastAsia="宋体" w:hAnsi="宋体" w:hint="eastAsia"/>
                <w:bCs/>
                <w:sz w:val="28"/>
                <w:szCs w:val="28"/>
              </w:rPr>
              <w:t>年度利润分配，向全体股东派发了现金红利</w:t>
            </w:r>
            <w:r>
              <w:rPr>
                <w:rFonts w:ascii="宋体" w:eastAsia="宋体" w:hAnsi="宋体" w:hint="eastAsia"/>
                <w:bCs/>
                <w:sz w:val="28"/>
                <w:szCs w:val="28"/>
              </w:rPr>
              <w:t>1.27</w:t>
            </w:r>
            <w:r>
              <w:rPr>
                <w:rFonts w:ascii="宋体" w:eastAsia="宋体" w:hAnsi="宋体" w:hint="eastAsia"/>
                <w:bCs/>
                <w:sz w:val="28"/>
                <w:szCs w:val="28"/>
              </w:rPr>
              <w:t>亿元（含税）。一直以来，公司高度重视对股东的合理回报，致力于以良好的经营业绩为股东创造持续稳定的投资回报，与股东分享经营成果。上市至今公司现金分红</w:t>
            </w:r>
            <w:r>
              <w:rPr>
                <w:rFonts w:ascii="宋体" w:eastAsia="宋体" w:hAnsi="宋体" w:hint="eastAsia"/>
                <w:bCs/>
                <w:sz w:val="28"/>
                <w:szCs w:val="28"/>
              </w:rPr>
              <w:t>22</w:t>
            </w:r>
            <w:r>
              <w:rPr>
                <w:rFonts w:ascii="宋体" w:eastAsia="宋体" w:hAnsi="宋体" w:hint="eastAsia"/>
                <w:bCs/>
                <w:sz w:val="28"/>
                <w:szCs w:val="28"/>
              </w:rPr>
              <w:t>次，累计分红</w:t>
            </w:r>
            <w:r>
              <w:rPr>
                <w:rFonts w:ascii="宋体" w:eastAsia="宋体" w:hAnsi="宋体" w:hint="eastAsia"/>
                <w:bCs/>
                <w:sz w:val="28"/>
                <w:szCs w:val="28"/>
              </w:rPr>
              <w:t>55.46</w:t>
            </w:r>
            <w:r>
              <w:rPr>
                <w:rFonts w:ascii="宋体" w:eastAsia="宋体" w:hAnsi="宋体" w:hint="eastAsia"/>
                <w:bCs/>
                <w:sz w:val="28"/>
                <w:szCs w:val="28"/>
              </w:rPr>
              <w:t>亿元（其中</w:t>
            </w:r>
            <w:r>
              <w:rPr>
                <w:rFonts w:ascii="宋体" w:eastAsia="宋体" w:hAnsi="宋体" w:hint="eastAsia"/>
                <w:bCs/>
                <w:sz w:val="28"/>
                <w:szCs w:val="28"/>
              </w:rPr>
              <w:t>2019</w:t>
            </w:r>
            <w:r>
              <w:rPr>
                <w:rFonts w:ascii="宋体" w:eastAsia="宋体" w:hAnsi="宋体" w:hint="eastAsia"/>
                <w:bCs/>
                <w:sz w:val="28"/>
                <w:szCs w:val="28"/>
              </w:rPr>
              <w:t>年度公司以股份回购形式分红）。</w:t>
            </w:r>
            <w:r>
              <w:rPr>
                <w:rFonts w:ascii="宋体" w:eastAsia="宋体" w:hAnsi="宋体" w:hint="eastAsia"/>
                <w:bCs/>
                <w:sz w:val="28"/>
                <w:szCs w:val="28"/>
              </w:rPr>
              <w:t>2012-2021</w:t>
            </w:r>
            <w:r>
              <w:rPr>
                <w:rFonts w:ascii="宋体" w:eastAsia="宋体" w:hAnsi="宋体" w:hint="eastAsia"/>
                <w:bCs/>
                <w:sz w:val="28"/>
                <w:szCs w:val="28"/>
              </w:rPr>
              <w:t>年度公司连续</w:t>
            </w:r>
            <w:r>
              <w:rPr>
                <w:rFonts w:ascii="宋体" w:eastAsia="宋体" w:hAnsi="宋体" w:hint="eastAsia"/>
                <w:bCs/>
                <w:sz w:val="28"/>
                <w:szCs w:val="28"/>
              </w:rPr>
              <w:t>10</w:t>
            </w:r>
            <w:r>
              <w:rPr>
                <w:rFonts w:ascii="宋体" w:eastAsia="宋体" w:hAnsi="宋体" w:hint="eastAsia"/>
                <w:bCs/>
                <w:sz w:val="28"/>
                <w:szCs w:val="28"/>
              </w:rPr>
              <w:t>年每年分红比例均超</w:t>
            </w:r>
            <w:r>
              <w:rPr>
                <w:rFonts w:ascii="宋体" w:eastAsia="宋体" w:hAnsi="宋体" w:hint="eastAsia"/>
                <w:bCs/>
                <w:sz w:val="28"/>
                <w:szCs w:val="28"/>
              </w:rPr>
              <w:t>30%</w:t>
            </w:r>
            <w:r>
              <w:rPr>
                <w:rFonts w:ascii="宋体" w:eastAsia="宋体" w:hAnsi="宋体" w:hint="eastAsia"/>
                <w:bCs/>
                <w:sz w:val="28"/>
                <w:szCs w:val="28"/>
              </w:rPr>
              <w:t>，分红水平位居以稀土为主营业务的行业上市公司首位。</w:t>
            </w:r>
            <w:r>
              <w:rPr>
                <w:rFonts w:ascii="宋体" w:eastAsia="宋体" w:hAnsi="宋体" w:hint="eastAsia"/>
                <w:bCs/>
                <w:sz w:val="28"/>
                <w:szCs w:val="28"/>
              </w:rPr>
              <w:t>2021</w:t>
            </w:r>
            <w:r>
              <w:rPr>
                <w:rFonts w:ascii="宋体" w:eastAsia="宋体" w:hAnsi="宋体" w:hint="eastAsia"/>
                <w:bCs/>
                <w:sz w:val="28"/>
                <w:szCs w:val="28"/>
              </w:rPr>
              <w:t>年度公司依托良好的分红水平入选中国上市公司协会发布的“上市公司丰厚回报榜单”。</w:t>
            </w:r>
          </w:p>
          <w:p w:rsidR="00CE2FA8" w:rsidRDefault="002D227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未来，</w:t>
            </w:r>
            <w:r>
              <w:rPr>
                <w:rFonts w:ascii="宋体" w:eastAsia="宋体" w:hAnsi="宋体" w:hint="eastAsia"/>
                <w:bCs/>
                <w:sz w:val="28"/>
                <w:szCs w:val="28"/>
              </w:rPr>
              <w:t>公司将在全力推动提升经营质量和价值创造能力的基础上，结合行业发展、自身经营模式、盈利水平以及重大资金支出安排等因素，推动提高分红率，增强分红稳定性、持续性和</w:t>
            </w:r>
            <w:proofErr w:type="gramStart"/>
            <w:r>
              <w:rPr>
                <w:rFonts w:ascii="宋体" w:eastAsia="宋体" w:hAnsi="宋体" w:hint="eastAsia"/>
                <w:bCs/>
                <w:sz w:val="28"/>
                <w:szCs w:val="28"/>
              </w:rPr>
              <w:t>可</w:t>
            </w:r>
            <w:proofErr w:type="gramEnd"/>
            <w:r>
              <w:rPr>
                <w:rFonts w:ascii="宋体" w:eastAsia="宋体" w:hAnsi="宋体" w:hint="eastAsia"/>
                <w:bCs/>
                <w:sz w:val="28"/>
                <w:szCs w:val="28"/>
              </w:rPr>
              <w:t>预期性，力争为股东创造更好的投资回报。</w:t>
            </w:r>
          </w:p>
          <w:p w:rsidR="00CE2FA8" w:rsidRDefault="002D2278">
            <w:pPr>
              <w:spacing w:line="500" w:lineRule="exact"/>
              <w:ind w:firstLineChars="200" w:firstLine="562"/>
              <w:rPr>
                <w:rFonts w:ascii="宋体" w:eastAsia="宋体" w:hAnsi="宋体"/>
                <w:b/>
                <w:bCs/>
                <w:sz w:val="28"/>
                <w:szCs w:val="28"/>
              </w:rPr>
            </w:pPr>
            <w:r>
              <w:rPr>
                <w:rFonts w:ascii="宋体" w:eastAsia="宋体" w:hAnsi="宋体" w:hint="eastAsia"/>
                <w:b/>
                <w:bCs/>
                <w:sz w:val="28"/>
                <w:szCs w:val="28"/>
              </w:rPr>
              <w:t>问：公司与包钢股份稀土精矿交易定价机制如何？</w:t>
            </w:r>
          </w:p>
          <w:p w:rsidR="00CE2FA8" w:rsidRDefault="002D2278">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答：公司与包钢股份稀土精矿交易定价机制按照公司</w:t>
            </w:r>
            <w:r>
              <w:rPr>
                <w:rFonts w:ascii="宋体" w:eastAsia="宋体" w:hAnsi="宋体" w:hint="eastAsia"/>
                <w:bCs/>
                <w:sz w:val="28"/>
                <w:szCs w:val="28"/>
              </w:rPr>
              <w:t>2023</w:t>
            </w:r>
            <w:r>
              <w:rPr>
                <w:rFonts w:ascii="宋体" w:eastAsia="宋体" w:hAnsi="宋体" w:hint="eastAsia"/>
                <w:bCs/>
                <w:sz w:val="28"/>
                <w:szCs w:val="28"/>
              </w:rPr>
              <w:t>年第一次临时股东大会通过的《关于稀土精矿日常关联交易定价机制暨</w:t>
            </w:r>
            <w:r>
              <w:rPr>
                <w:rFonts w:ascii="宋体" w:eastAsia="宋体" w:hAnsi="宋体" w:hint="eastAsia"/>
                <w:bCs/>
                <w:sz w:val="28"/>
                <w:szCs w:val="28"/>
              </w:rPr>
              <w:t>2022</w:t>
            </w:r>
            <w:r>
              <w:rPr>
                <w:rFonts w:ascii="宋体" w:eastAsia="宋体" w:hAnsi="宋体" w:hint="eastAsia"/>
                <w:bCs/>
                <w:sz w:val="28"/>
                <w:szCs w:val="28"/>
              </w:rPr>
              <w:t>年度执行及</w:t>
            </w:r>
            <w:r>
              <w:rPr>
                <w:rFonts w:ascii="宋体" w:eastAsia="宋体" w:hAnsi="宋体" w:hint="eastAsia"/>
                <w:bCs/>
                <w:sz w:val="28"/>
                <w:szCs w:val="28"/>
              </w:rPr>
              <w:t>2023</w:t>
            </w:r>
            <w:r>
              <w:rPr>
                <w:rFonts w:ascii="宋体" w:eastAsia="宋体" w:hAnsi="宋体" w:hint="eastAsia"/>
                <w:bCs/>
                <w:sz w:val="28"/>
                <w:szCs w:val="28"/>
              </w:rPr>
              <w:t>年度预计的议案》执行，即自</w:t>
            </w:r>
            <w:r>
              <w:rPr>
                <w:rFonts w:ascii="宋体" w:eastAsia="宋体" w:hAnsi="宋体" w:hint="eastAsia"/>
                <w:bCs/>
                <w:sz w:val="28"/>
                <w:szCs w:val="28"/>
              </w:rPr>
              <w:t>2023</w:t>
            </w:r>
            <w:r>
              <w:rPr>
                <w:rFonts w:ascii="宋体" w:eastAsia="宋体" w:hAnsi="宋体" w:hint="eastAsia"/>
                <w:bCs/>
                <w:sz w:val="28"/>
                <w:szCs w:val="28"/>
              </w:rPr>
              <w:t>年</w:t>
            </w:r>
            <w:r>
              <w:rPr>
                <w:rFonts w:ascii="宋体" w:eastAsia="宋体" w:hAnsi="宋体" w:hint="eastAsia"/>
                <w:bCs/>
                <w:sz w:val="28"/>
                <w:szCs w:val="28"/>
              </w:rPr>
              <w:t>4</w:t>
            </w:r>
            <w:r>
              <w:rPr>
                <w:rFonts w:ascii="宋体" w:eastAsia="宋体" w:hAnsi="宋体" w:hint="eastAsia"/>
                <w:bCs/>
                <w:sz w:val="28"/>
                <w:szCs w:val="28"/>
              </w:rPr>
              <w:t>月</w:t>
            </w:r>
            <w:r>
              <w:rPr>
                <w:rFonts w:ascii="宋体" w:eastAsia="宋体" w:hAnsi="宋体" w:hint="eastAsia"/>
                <w:bCs/>
                <w:sz w:val="28"/>
                <w:szCs w:val="28"/>
              </w:rPr>
              <w:t>1</w:t>
            </w:r>
            <w:r>
              <w:rPr>
                <w:rFonts w:ascii="宋体" w:eastAsia="宋体" w:hAnsi="宋体" w:hint="eastAsia"/>
                <w:bCs/>
                <w:sz w:val="28"/>
                <w:szCs w:val="28"/>
              </w:rPr>
              <w:t>日起，在稀</w:t>
            </w:r>
            <w:r>
              <w:rPr>
                <w:rFonts w:ascii="宋体" w:eastAsia="宋体" w:hAnsi="宋体" w:hint="eastAsia"/>
                <w:bCs/>
                <w:sz w:val="28"/>
                <w:szCs w:val="28"/>
              </w:rPr>
              <w:lastRenderedPageBreak/>
              <w:t>土精矿定价公式不变的情况下，每季度首月上旬，公司根据定价公式计算、调整稀土</w:t>
            </w:r>
            <w:r>
              <w:rPr>
                <w:rFonts w:ascii="宋体" w:eastAsia="宋体" w:hAnsi="宋体" w:hint="eastAsia"/>
                <w:bCs/>
                <w:sz w:val="28"/>
                <w:szCs w:val="28"/>
              </w:rPr>
              <w:t>精矿价格，重新签订稀土精矿供应合同或补充协议并公告。目前，该定价机制运行稳定。</w:t>
            </w:r>
          </w:p>
        </w:tc>
      </w:tr>
      <w:tr w:rsidR="00CE2FA8">
        <w:trPr>
          <w:trHeight w:val="570"/>
          <w:jc w:val="center"/>
        </w:trPr>
        <w:tc>
          <w:tcPr>
            <w:tcW w:w="2122" w:type="dxa"/>
            <w:vAlign w:val="center"/>
          </w:tcPr>
          <w:p w:rsidR="00CE2FA8" w:rsidRDefault="002D2278">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667" w:type="dxa"/>
            <w:vAlign w:val="center"/>
          </w:tcPr>
          <w:p w:rsidR="00CE2FA8" w:rsidRDefault="002D2278">
            <w:pPr>
              <w:spacing w:line="400" w:lineRule="exact"/>
              <w:rPr>
                <w:rFonts w:ascii="宋体" w:eastAsia="宋体" w:hAnsi="宋体"/>
                <w:sz w:val="28"/>
                <w:szCs w:val="28"/>
              </w:rPr>
            </w:pPr>
            <w:r>
              <w:rPr>
                <w:rFonts w:ascii="宋体" w:eastAsia="宋体" w:hAnsi="宋体" w:hint="eastAsia"/>
                <w:sz w:val="28"/>
                <w:szCs w:val="28"/>
              </w:rPr>
              <w:t>无</w:t>
            </w:r>
          </w:p>
        </w:tc>
      </w:tr>
      <w:tr w:rsidR="00CE2FA8">
        <w:trPr>
          <w:jc w:val="center"/>
        </w:trPr>
        <w:tc>
          <w:tcPr>
            <w:tcW w:w="8789" w:type="dxa"/>
            <w:gridSpan w:val="2"/>
            <w:vAlign w:val="center"/>
          </w:tcPr>
          <w:p w:rsidR="00CE2FA8" w:rsidRDefault="002D2278">
            <w:pPr>
              <w:spacing w:line="50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rsidR="00CE2FA8" w:rsidRDefault="00CE2FA8">
      <w:pPr>
        <w:spacing w:line="20" w:lineRule="exact"/>
        <w:rPr>
          <w:rFonts w:ascii="宋体" w:eastAsia="宋体" w:hAnsi="宋体"/>
          <w:sz w:val="24"/>
        </w:rPr>
      </w:pPr>
    </w:p>
    <w:sectPr w:rsidR="00CE2FA8">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FA8" w:rsidRDefault="002D2278">
      <w:pPr>
        <w:spacing w:line="240" w:lineRule="auto"/>
      </w:pPr>
      <w:r>
        <w:separator/>
      </w:r>
    </w:p>
  </w:endnote>
  <w:endnote w:type="continuationSeparator" w:id="0">
    <w:p w:rsidR="00CE2FA8" w:rsidRDefault="002D2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rsidR="00CE2FA8" w:rsidRDefault="002D2278">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2D2278">
          <w:rPr>
            <w:rFonts w:ascii="宋体" w:eastAsia="宋体" w:hAnsi="宋体"/>
            <w:noProof/>
            <w:sz w:val="28"/>
            <w:szCs w:val="28"/>
            <w:lang w:val="zh-CN"/>
          </w:rPr>
          <w:t>6</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FA8" w:rsidRDefault="002D2278">
      <w:pPr>
        <w:spacing w:line="240" w:lineRule="auto"/>
      </w:pPr>
      <w:r>
        <w:separator/>
      </w:r>
    </w:p>
  </w:footnote>
  <w:footnote w:type="continuationSeparator" w:id="0">
    <w:p w:rsidR="00CE2FA8" w:rsidRDefault="002D2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FA8" w:rsidRDefault="002D2278">
    <w:pPr>
      <w:rPr>
        <w:rFonts w:ascii="宋体" w:eastAsia="宋体" w:hAnsi="宋体"/>
        <w:sz w:val="21"/>
        <w:szCs w:val="21"/>
        <w:u w:val="single"/>
      </w:rPr>
    </w:pPr>
    <w:r>
      <w:rPr>
        <w:rFonts w:ascii="宋体" w:eastAsia="宋体" w:hAnsi="宋体" w:hint="eastAsia"/>
        <w:sz w:val="21"/>
        <w:szCs w:val="21"/>
        <w:u w:val="single"/>
      </w:rPr>
      <w:t>证券代码：</w:t>
    </w:r>
    <w:r>
      <w:rPr>
        <w:rFonts w:ascii="宋体" w:eastAsia="宋体" w:hAnsi="宋体" w:hint="eastAsia"/>
        <w:sz w:val="21"/>
        <w:szCs w:val="21"/>
        <w:u w:val="single"/>
      </w:rPr>
      <w:t>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6589F"/>
    <w:rsid w:val="00071B8F"/>
    <w:rsid w:val="00071E74"/>
    <w:rsid w:val="00074CD4"/>
    <w:rsid w:val="000758DB"/>
    <w:rsid w:val="00076053"/>
    <w:rsid w:val="00081740"/>
    <w:rsid w:val="00083FBE"/>
    <w:rsid w:val="000852E1"/>
    <w:rsid w:val="00086DB4"/>
    <w:rsid w:val="00090A30"/>
    <w:rsid w:val="0009116C"/>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21"/>
    <w:rsid w:val="000F2C46"/>
    <w:rsid w:val="000F3E74"/>
    <w:rsid w:val="000F4902"/>
    <w:rsid w:val="000F5228"/>
    <w:rsid w:val="000F614D"/>
    <w:rsid w:val="000F661E"/>
    <w:rsid w:val="00101D02"/>
    <w:rsid w:val="00104576"/>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2278"/>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2AF1"/>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A5C42"/>
    <w:rsid w:val="004B184C"/>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4129D"/>
    <w:rsid w:val="005412F7"/>
    <w:rsid w:val="0054154E"/>
    <w:rsid w:val="00541CCC"/>
    <w:rsid w:val="005421FD"/>
    <w:rsid w:val="00543EB9"/>
    <w:rsid w:val="00544659"/>
    <w:rsid w:val="00547A54"/>
    <w:rsid w:val="005502D8"/>
    <w:rsid w:val="00550A0A"/>
    <w:rsid w:val="005512B7"/>
    <w:rsid w:val="0055663A"/>
    <w:rsid w:val="005566C2"/>
    <w:rsid w:val="00562998"/>
    <w:rsid w:val="00563A90"/>
    <w:rsid w:val="0056549E"/>
    <w:rsid w:val="00567AC3"/>
    <w:rsid w:val="005723F3"/>
    <w:rsid w:val="00573BC3"/>
    <w:rsid w:val="005752DD"/>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2F93"/>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1A15"/>
    <w:rsid w:val="006D24C1"/>
    <w:rsid w:val="006D2FE0"/>
    <w:rsid w:val="006D673F"/>
    <w:rsid w:val="006E5585"/>
    <w:rsid w:val="006E64D6"/>
    <w:rsid w:val="006E6FAD"/>
    <w:rsid w:val="006E7519"/>
    <w:rsid w:val="006E7CC3"/>
    <w:rsid w:val="006F4E33"/>
    <w:rsid w:val="006F4E85"/>
    <w:rsid w:val="006F5446"/>
    <w:rsid w:val="006F6D39"/>
    <w:rsid w:val="006F7077"/>
    <w:rsid w:val="007019DE"/>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248B"/>
    <w:rsid w:val="00742F18"/>
    <w:rsid w:val="0074644E"/>
    <w:rsid w:val="00746D7A"/>
    <w:rsid w:val="00750AC7"/>
    <w:rsid w:val="00752E4D"/>
    <w:rsid w:val="00755075"/>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17F5"/>
    <w:rsid w:val="009137FC"/>
    <w:rsid w:val="0091442D"/>
    <w:rsid w:val="0091500A"/>
    <w:rsid w:val="0091641C"/>
    <w:rsid w:val="00916653"/>
    <w:rsid w:val="00920C63"/>
    <w:rsid w:val="0092287B"/>
    <w:rsid w:val="00922D7F"/>
    <w:rsid w:val="00925DDA"/>
    <w:rsid w:val="00925E43"/>
    <w:rsid w:val="00927270"/>
    <w:rsid w:val="009302FF"/>
    <w:rsid w:val="009303A0"/>
    <w:rsid w:val="009304A5"/>
    <w:rsid w:val="0093191F"/>
    <w:rsid w:val="009335A9"/>
    <w:rsid w:val="00937B05"/>
    <w:rsid w:val="00940DB2"/>
    <w:rsid w:val="00943F7E"/>
    <w:rsid w:val="009451FF"/>
    <w:rsid w:val="00953518"/>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175A"/>
    <w:rsid w:val="00C66F3B"/>
    <w:rsid w:val="00C67642"/>
    <w:rsid w:val="00C71387"/>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13E5"/>
    <w:rsid w:val="00CE2186"/>
    <w:rsid w:val="00CE2FA8"/>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A52"/>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0C"/>
    <w:rsid w:val="00D756A6"/>
    <w:rsid w:val="00D763E2"/>
    <w:rsid w:val="00D771EB"/>
    <w:rsid w:val="00D80235"/>
    <w:rsid w:val="00D80C5D"/>
    <w:rsid w:val="00D820F9"/>
    <w:rsid w:val="00D85E0C"/>
    <w:rsid w:val="00D8698F"/>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E1E279D"/>
    <w:rsid w:val="2E3954D1"/>
    <w:rsid w:val="46635CB4"/>
    <w:rsid w:val="49AB6BF2"/>
    <w:rsid w:val="5A8176D7"/>
    <w:rsid w:val="6C80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217543-FFF0-4F00-B8B4-068BCE82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6</Pages>
  <Words>2779</Words>
  <Characters>153</Characters>
  <Application>Microsoft Office Word</Application>
  <DocSecurity>0</DocSecurity>
  <Lines>1</Lines>
  <Paragraphs>5</Paragraphs>
  <ScaleCrop>false</ScaleCrop>
  <Company>神州网信技术有限公司</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77</cp:revision>
  <cp:lastPrinted>2025-04-30T08:03:00Z</cp:lastPrinted>
  <dcterms:created xsi:type="dcterms:W3CDTF">2025-06-30T00:15:00Z</dcterms:created>
  <dcterms:modified xsi:type="dcterms:W3CDTF">2025-07-30T10:17:00Z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