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4918A">
      <w:pP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证</w:t>
      </w:r>
      <w:r>
        <w:rPr>
          <w:rFonts w:hint="default" w:ascii="Times New Roman" w:hAnsi="Times New Roman" w:eastAsia="宋体" w:cs="Times New Roman"/>
          <w:sz w:val="24"/>
          <w:szCs w:val="28"/>
        </w:rPr>
        <w:t>券代码：601126                                   证券简称：四方股份</w:t>
      </w:r>
    </w:p>
    <w:p w14:paraId="6C5C4AF6">
      <w:pPr>
        <w:spacing w:before="312" w:beforeLines="10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32"/>
          <w:szCs w:val="32"/>
        </w:rPr>
        <w:t>北京四方继保自动化股份有限公司</w:t>
      </w:r>
    </w:p>
    <w:p w14:paraId="29C2C44E">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投资者关系活动记录表</w:t>
      </w:r>
    </w:p>
    <w:p w14:paraId="76CC62EC">
      <w:pPr>
        <w:spacing w:after="156" w:afterLines="5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（2025年7月）</w:t>
      </w:r>
    </w:p>
    <w:p w14:paraId="6C649B77">
      <w:pPr>
        <w:spacing w:before="156" w:beforeLines="50" w:after="156" w:afterLines="50" w:line="300" w:lineRule="auto"/>
        <w:ind w:firstLine="480" w:firstLineChars="200"/>
        <w:rPr>
          <w:rFonts w:ascii="Times New Roman" w:hAnsi="Times New Roman" w:eastAsia="宋体" w:cs="Times New Roman"/>
          <w:sz w:val="24"/>
          <w:szCs w:val="24"/>
        </w:rPr>
      </w:pPr>
      <w:bookmarkStart w:id="0" w:name="_GoBack"/>
      <w:bookmarkEnd w:id="0"/>
      <w:r>
        <w:rPr>
          <w:rFonts w:ascii="Times New Roman" w:hAnsi="Times New Roman" w:eastAsia="宋体" w:cs="Times New Roman"/>
          <w:sz w:val="24"/>
          <w:szCs w:val="24"/>
        </w:rPr>
        <w:t>北京四方继保自动化股份有限公司于近期与投资者、券商分析师等就公司生产经营情况进行交流，现将投资者关系活动的主要情况汇总发布如下：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5032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962B836">
            <w:pPr>
              <w:spacing w:before="156" w:beforeLines="50" w:after="156" w:afterLines="50" w:line="300" w:lineRule="auto"/>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投资者关系活动类别</w:t>
            </w:r>
          </w:p>
        </w:tc>
        <w:tc>
          <w:tcPr>
            <w:tcW w:w="6741" w:type="dxa"/>
            <w:vAlign w:val="center"/>
          </w:tcPr>
          <w:p w14:paraId="1E57B922">
            <w:pPr>
              <w:spacing w:before="156" w:beforeLines="50" w:after="156" w:afterLines="50" w:line="300" w:lineRule="auto"/>
              <w:rPr>
                <w:rFonts w:ascii="Times New Roman" w:hAnsi="Times New Roman" w:eastAsia="宋体" w:cs="Times New Roman"/>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特定对象调研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分析师会议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媒体采访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业绩解读会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券商策略会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路演活动  </w:t>
            </w: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现场参观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其他</w:t>
            </w:r>
          </w:p>
        </w:tc>
      </w:tr>
      <w:tr w14:paraId="691F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55" w:type="dxa"/>
            <w:vAlign w:val="center"/>
          </w:tcPr>
          <w:p w14:paraId="4446E35A">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参与机构</w:t>
            </w:r>
          </w:p>
        </w:tc>
        <w:tc>
          <w:tcPr>
            <w:tcW w:w="6741" w:type="dxa"/>
            <w:vAlign w:val="center"/>
          </w:tcPr>
          <w:p w14:paraId="467AE5A2">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中邮证券、华西证券、国泰海通证券、天风证券、长江证券、中信证券、易方达基金、中邮基金、中欧基金、鹏华基金、汇添富等15+家机构/券商</w:t>
            </w:r>
          </w:p>
        </w:tc>
      </w:tr>
      <w:tr w14:paraId="5C49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9B059C1">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地点</w:t>
            </w:r>
          </w:p>
        </w:tc>
        <w:tc>
          <w:tcPr>
            <w:tcW w:w="6741" w:type="dxa"/>
            <w:vAlign w:val="center"/>
          </w:tcPr>
          <w:p w14:paraId="6A1B1184">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策略会现场、公司会议室等</w:t>
            </w:r>
          </w:p>
        </w:tc>
      </w:tr>
      <w:tr w14:paraId="10E8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55" w:type="dxa"/>
            <w:vAlign w:val="center"/>
          </w:tcPr>
          <w:p w14:paraId="689556E2">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上市公司接待人员</w:t>
            </w:r>
          </w:p>
        </w:tc>
        <w:tc>
          <w:tcPr>
            <w:tcW w:w="6741" w:type="dxa"/>
            <w:vAlign w:val="center"/>
          </w:tcPr>
          <w:p w14:paraId="6D06DE09">
            <w:pPr>
              <w:spacing w:before="156" w:beforeLines="50" w:after="156" w:afterLines="50" w:line="30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董事会秘书、证券事务代表</w:t>
            </w:r>
          </w:p>
        </w:tc>
      </w:tr>
      <w:tr w14:paraId="4EE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9FF8249">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投资者关系活动主要内容介绍</w:t>
            </w:r>
          </w:p>
        </w:tc>
        <w:tc>
          <w:tcPr>
            <w:tcW w:w="6741" w:type="dxa"/>
            <w:vAlign w:val="center"/>
          </w:tcPr>
          <w:p w14:paraId="7B51A2A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Q1：</w:t>
            </w:r>
            <w:r>
              <w:rPr>
                <w:rFonts w:hint="default" w:ascii="Times New Roman" w:hAnsi="Times New Roman" w:eastAsia="宋体" w:cs="Times New Roman"/>
                <w:b/>
                <w:color w:val="auto"/>
                <w:sz w:val="24"/>
                <w:szCs w:val="24"/>
              </w:rPr>
              <w:t>公司2025年上半年经营情况如何？</w:t>
            </w:r>
          </w:p>
          <w:p w14:paraId="091EC357">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公司上半年经营情况将在半年报上披露，简要介绍下目前各个业务板块情况：</w:t>
            </w:r>
          </w:p>
          <w:p w14:paraId="2DA17340">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电网业务：得益于</w:t>
            </w:r>
            <w:r>
              <w:rPr>
                <w:rFonts w:hint="default" w:ascii="Times New Roman" w:hAnsi="Times New Roman" w:eastAsia="宋体" w:cs="Times New Roman"/>
                <w:color w:val="auto"/>
                <w:sz w:val="24"/>
                <w:szCs w:val="24"/>
                <w:lang w:val="en-US" w:eastAsia="zh-CN"/>
              </w:rPr>
              <w:t>主网</w:t>
            </w:r>
            <w:r>
              <w:rPr>
                <w:rFonts w:hint="default" w:ascii="Times New Roman" w:hAnsi="Times New Roman" w:eastAsia="宋体" w:cs="Times New Roman"/>
                <w:color w:val="auto"/>
                <w:sz w:val="24"/>
                <w:szCs w:val="24"/>
              </w:rPr>
              <w:t>二次</w:t>
            </w:r>
            <w:r>
              <w:rPr>
                <w:rFonts w:hint="default" w:ascii="Times New Roman" w:hAnsi="Times New Roman" w:eastAsia="宋体" w:cs="Times New Roman"/>
                <w:color w:val="auto"/>
                <w:sz w:val="24"/>
                <w:szCs w:val="24"/>
                <w:lang w:val="en-US" w:eastAsia="zh-CN"/>
              </w:rPr>
              <w:t>设备</w:t>
            </w:r>
            <w:r>
              <w:rPr>
                <w:rFonts w:hint="default" w:ascii="Times New Roman" w:hAnsi="Times New Roman" w:eastAsia="宋体" w:cs="Times New Roman"/>
                <w:color w:val="auto"/>
                <w:sz w:val="24"/>
                <w:szCs w:val="24"/>
              </w:rPr>
              <w:t>集招规模同比</w:t>
            </w:r>
            <w:r>
              <w:rPr>
                <w:rFonts w:hint="default" w:ascii="Times New Roman" w:hAnsi="Times New Roman" w:eastAsia="宋体" w:cs="Times New Roman"/>
                <w:color w:val="auto"/>
                <w:sz w:val="24"/>
                <w:szCs w:val="24"/>
                <w:lang w:val="en-US" w:eastAsia="zh-CN"/>
              </w:rPr>
              <w:t>有较大</w:t>
            </w:r>
            <w:r>
              <w:rPr>
                <w:rFonts w:hint="default" w:ascii="Times New Roman" w:hAnsi="Times New Roman" w:eastAsia="宋体" w:cs="Times New Roman"/>
                <w:color w:val="auto"/>
                <w:sz w:val="24"/>
                <w:szCs w:val="24"/>
              </w:rPr>
              <w:t>增长，公司上半年</w:t>
            </w:r>
            <w:r>
              <w:rPr>
                <w:rFonts w:hint="default" w:ascii="Times New Roman" w:hAnsi="Times New Roman" w:eastAsia="宋体" w:cs="Times New Roman"/>
                <w:color w:val="auto"/>
                <w:sz w:val="24"/>
                <w:szCs w:val="24"/>
                <w:lang w:val="en-US" w:eastAsia="zh-CN"/>
              </w:rPr>
              <w:t>二次</w:t>
            </w:r>
            <w:r>
              <w:rPr>
                <w:rFonts w:hint="default" w:ascii="Times New Roman" w:hAnsi="Times New Roman" w:eastAsia="宋体" w:cs="Times New Roman"/>
                <w:color w:val="auto"/>
                <w:sz w:val="24"/>
                <w:szCs w:val="24"/>
              </w:rPr>
              <w:t>中标</w:t>
            </w:r>
            <w:r>
              <w:rPr>
                <w:rFonts w:hint="default" w:ascii="Times New Roman" w:hAnsi="Times New Roman" w:eastAsia="宋体" w:cs="Times New Roman"/>
                <w:color w:val="auto"/>
                <w:sz w:val="24"/>
                <w:szCs w:val="24"/>
                <w:lang w:val="en-US" w:eastAsia="zh-CN"/>
              </w:rPr>
              <w:t>数量同比增长</w:t>
            </w:r>
            <w:r>
              <w:rPr>
                <w:rFonts w:hint="default" w:ascii="Times New Roman" w:hAnsi="Times New Roman" w:eastAsia="宋体" w:cs="Times New Roman"/>
                <w:color w:val="auto"/>
                <w:sz w:val="24"/>
                <w:szCs w:val="24"/>
              </w:rPr>
              <w:t>。</w:t>
            </w:r>
          </w:p>
          <w:p w14:paraId="1CE09F53">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网外业务：公司持续巩固在发电领域的技术与解决方案优势，通过丰富产品品类进行市场渗透，进一步加大市场开拓力度，保持稳健增长。</w:t>
            </w:r>
            <w:r>
              <w:rPr>
                <w:rFonts w:hint="default" w:ascii="Times New Roman" w:hAnsi="Times New Roman" w:eastAsia="宋体" w:cs="Times New Roman"/>
                <w:color w:val="auto"/>
                <w:sz w:val="24"/>
                <w:szCs w:val="24"/>
                <w:lang w:bidi="ar"/>
              </w:rPr>
              <w:t>新能源</w:t>
            </w:r>
            <w:r>
              <w:rPr>
                <w:rFonts w:hint="eastAsia" w:ascii="Times New Roman" w:hAnsi="Times New Roman" w:eastAsia="宋体" w:cs="Times New Roman"/>
                <w:color w:val="auto"/>
                <w:sz w:val="24"/>
                <w:szCs w:val="24"/>
                <w:lang w:val="en-US" w:eastAsia="zh-CN" w:bidi="ar"/>
              </w:rPr>
              <w:t>领域中</w:t>
            </w:r>
            <w:r>
              <w:rPr>
                <w:rFonts w:hint="default" w:ascii="Times New Roman" w:hAnsi="Times New Roman" w:eastAsia="宋体" w:cs="Times New Roman"/>
                <w:color w:val="auto"/>
                <w:sz w:val="24"/>
                <w:szCs w:val="24"/>
                <w:lang w:bidi="ar"/>
              </w:rPr>
              <w:t>调相机、宽频振荡等新解决方案及产品的市场需求持续增长</w:t>
            </w:r>
            <w:r>
              <w:rPr>
                <w:rFonts w:hint="eastAsia" w:ascii="Times New Roman" w:hAnsi="Times New Roman" w:eastAsia="宋体" w:cs="Times New Roman"/>
                <w:color w:val="auto"/>
                <w:sz w:val="24"/>
                <w:szCs w:val="24"/>
                <w:lang w:eastAsia="zh-CN" w:bidi="ar"/>
              </w:rPr>
              <w:t>。</w:t>
            </w:r>
            <w:r>
              <w:rPr>
                <w:rFonts w:hint="eastAsia" w:ascii="Times New Roman" w:hAnsi="Times New Roman" w:eastAsia="宋体" w:cs="Times New Roman"/>
                <w:color w:val="auto"/>
                <w:sz w:val="24"/>
                <w:szCs w:val="24"/>
                <w:lang w:val="en-US" w:eastAsia="zh-CN" w:bidi="ar"/>
              </w:rPr>
              <w:t>同时</w:t>
            </w:r>
            <w:r>
              <w:rPr>
                <w:rFonts w:hint="default" w:ascii="Times New Roman" w:hAnsi="Times New Roman" w:eastAsia="宋体" w:cs="Times New Roman"/>
                <w:color w:val="auto"/>
                <w:sz w:val="24"/>
                <w:szCs w:val="24"/>
                <w:lang w:bidi="ar"/>
              </w:rPr>
              <w:t>，公司不断提升一二次融合设备、储能系统等产品面向新能源领域的市场渗透，以实现相关业务领域的持续增长</w:t>
            </w:r>
            <w:r>
              <w:rPr>
                <w:rFonts w:hint="eastAsia" w:ascii="Times New Roman" w:hAnsi="Times New Roman" w:eastAsia="宋体" w:cs="Times New Roman"/>
                <w:color w:val="auto"/>
                <w:sz w:val="24"/>
                <w:szCs w:val="24"/>
                <w:lang w:eastAsia="zh-CN" w:bidi="ar"/>
              </w:rPr>
              <w:t>。</w:t>
            </w:r>
            <w:r>
              <w:rPr>
                <w:rFonts w:hint="default" w:ascii="Times New Roman" w:hAnsi="Times New Roman" w:eastAsia="宋体" w:cs="Times New Roman"/>
                <w:color w:val="auto"/>
                <w:sz w:val="24"/>
                <w:szCs w:val="24"/>
              </w:rPr>
              <w:t>在工业用电业务方面，电能替代、绿色低碳以及能效优化等需求的持续增长，公司进一步加强了与用电客户的沟通，持续拓展数据中心、绿电直连等新的细分市场。</w:t>
            </w:r>
          </w:p>
          <w:p w14:paraId="300AE840">
            <w:pPr>
              <w:spacing w:line="360" w:lineRule="auto"/>
              <w:rPr>
                <w:rFonts w:hint="default" w:ascii="Times New Roman" w:hAnsi="Times New Roman" w:eastAsia="宋体" w:cs="Times New Roman"/>
                <w:color w:val="auto"/>
                <w:sz w:val="24"/>
                <w:szCs w:val="24"/>
              </w:rPr>
            </w:pPr>
          </w:p>
          <w:p w14:paraId="64E5CFB8">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Q2：公司2025年上半年国际业务进展如何？下半年展望？</w:t>
            </w:r>
          </w:p>
          <w:p w14:paraId="7D5B505A">
            <w:pPr>
              <w:spacing w:line="360" w:lineRule="auto"/>
              <w:rPr>
                <w:rStyle w:val="12"/>
                <w:rFonts w:hint="default" w:ascii="Times New Roman" w:hAnsi="Times New Roman" w:eastAsia="宋体" w:cs="Times New Roman"/>
                <w:b w:val="0"/>
                <w:color w:val="auto"/>
                <w:sz w:val="24"/>
                <w:szCs w:val="24"/>
                <w:shd w:val="clear" w:color="auto" w:fill="FFFFFF"/>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公司始终将推进国际化发展战略作为重要发展方向，通过加强海外本地化策略，提升国际业务的本地化市场及服务能力，产品方面除二次系统外，加强电力电子、一二次融合、储能等产品的海外市场拓展，持续深耕东南亚、中东、非洲等市场，积极关注欧洲市场机会。上半年，公司海外业务表现良好，在SVG、储能业务等方面均取得突破，中标多个项目。如公司参与的老挝首个光伏+储能项目成功投运，公司为其提供了5MW/10MWh储能系统、储能系统集成解决方案及全部配套设施。</w:t>
            </w:r>
          </w:p>
          <w:p w14:paraId="56CDD7B2">
            <w:pPr>
              <w:spacing w:line="360" w:lineRule="auto"/>
              <w:rPr>
                <w:rFonts w:hint="default" w:ascii="Times New Roman" w:hAnsi="Times New Roman" w:eastAsia="宋体" w:cs="Times New Roman"/>
                <w:color w:val="auto"/>
                <w:sz w:val="24"/>
                <w:szCs w:val="24"/>
              </w:rPr>
            </w:pPr>
          </w:p>
          <w:p w14:paraId="507A6F2C">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Q3：国网配网集采模式以及产品价格对公司的配网业务的影响有多大？</w:t>
            </w:r>
          </w:p>
          <w:p w14:paraId="06E190A3">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公司配网业务占比不高，且主要集中在南网区域，在国网的业务占比相对较小。关于价格问题受招标模式变化带来的短期效应等多重因素的影响，长期来看公司仍会关注产品质量、技术创新，实现配网业务的高质量发展。</w:t>
            </w:r>
          </w:p>
          <w:p w14:paraId="7850BF8D">
            <w:pPr>
              <w:spacing w:line="360" w:lineRule="auto"/>
              <w:rPr>
                <w:rFonts w:hint="default" w:ascii="Times New Roman" w:hAnsi="Times New Roman" w:eastAsia="宋体" w:cs="Times New Roman"/>
                <w:color w:val="auto"/>
                <w:sz w:val="24"/>
                <w:szCs w:val="24"/>
              </w:rPr>
            </w:pPr>
          </w:p>
          <w:p w14:paraId="48ED7119">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Q4：公司对投资并购是如何考虑的，有没有什么布局？</w:t>
            </w:r>
          </w:p>
          <w:p w14:paraId="12AA61B1">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现在市场鼓励采用投资并购等方式促进上市公司高质量发展，公司也积极拥抱，秉持稳健与前瞻并重的原则，保持开放且积极的对外合作态度，期望通过整合各方资源，实现优势互补，开辟新的业务赛道。一方面，我们积极与上下游建立深度协同合作关系，通过资源共享与优势互补，巩固公司在行业内的核心地位。另一方面，公司密切关注新技术趋势和市场动态，尤其是人工智能、机器人等前沿领域，积极探索其与公司业务的融合点，以期开拓新的增长空间。同时积极布局新兴领域，培育新的利润增长点，以实现公司的可持续发展。</w:t>
            </w:r>
          </w:p>
          <w:p w14:paraId="216FB2A1">
            <w:pPr>
              <w:spacing w:line="360" w:lineRule="auto"/>
              <w:rPr>
                <w:rFonts w:hint="default" w:ascii="Times New Roman" w:hAnsi="Times New Roman" w:eastAsia="宋体" w:cs="Times New Roman"/>
                <w:color w:val="auto"/>
                <w:sz w:val="24"/>
                <w:szCs w:val="24"/>
              </w:rPr>
            </w:pPr>
          </w:p>
          <w:p w14:paraId="4FF4F386">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Q5：雅下水电工程开工建设对公司业务的影响？</w:t>
            </w:r>
          </w:p>
          <w:p w14:paraId="2C241017">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公司长期深耕能源电力领域，为电力的发、输、配、用、储等环节提供继电保护、自动化与控制系统、电力电子、一二次融合、智慧物联等产品及解决方案，同时积极拓展其他工业自动化、智能化领域。凭借卓越的技术实力和可靠的工程质量，公司先后参与了1000kV特高压工程、三峡工程、西电东送、青藏铁路、白鹤滩水电站等国家重点示范工程的建设，积极服务国家能源战略。在水电站工程领域，公司参与了三峡工程、白鹤滩水电站等项目的建设，积累了丰富的工程经验。在区域服务方面，公司在西藏设有销售中心，服务覆盖川渝藏区域，具备在高原地区开展业务的成熟能力与实践经验。雅下水电工程作为国家重大能源战略项目，具有极其重要的战略意义和广阔的发展前景，并带动规模性的配套产业链建设。</w:t>
            </w:r>
            <w:r>
              <w:rPr>
                <w:rFonts w:hint="eastAsia" w:ascii="Times New Roman" w:hAnsi="Times New Roman" w:eastAsia="宋体" w:cs="Times New Roman"/>
                <w:color w:val="auto"/>
                <w:sz w:val="24"/>
                <w:szCs w:val="24"/>
                <w:lang w:val="en-US" w:eastAsia="zh-CN"/>
              </w:rPr>
              <w:t>目前，</w:t>
            </w:r>
            <w:r>
              <w:rPr>
                <w:rFonts w:hint="default" w:ascii="Times New Roman" w:hAnsi="Times New Roman" w:eastAsia="宋体" w:cs="Times New Roman"/>
                <w:color w:val="auto"/>
                <w:sz w:val="24"/>
                <w:szCs w:val="24"/>
                <w:lang w:val="en-US" w:eastAsia="zh-CN"/>
              </w:rPr>
              <w:t>公司</w:t>
            </w:r>
            <w:r>
              <w:rPr>
                <w:rFonts w:hint="eastAsia" w:ascii="Times New Roman" w:hAnsi="Times New Roman" w:eastAsia="宋体" w:cs="Times New Roman"/>
                <w:color w:val="auto"/>
                <w:sz w:val="24"/>
                <w:szCs w:val="24"/>
                <w:lang w:val="en-US" w:eastAsia="zh-CN"/>
              </w:rPr>
              <w:t>已</w:t>
            </w:r>
            <w:r>
              <w:rPr>
                <w:rFonts w:hint="default" w:ascii="Times New Roman" w:hAnsi="Times New Roman" w:eastAsia="宋体" w:cs="Times New Roman"/>
                <w:color w:val="auto"/>
                <w:sz w:val="24"/>
                <w:szCs w:val="24"/>
                <w:lang w:val="en-US" w:eastAsia="zh-CN"/>
              </w:rPr>
              <w:t>中标华能雅江公司JX水电站继电器保护系统设备</w:t>
            </w:r>
            <w:r>
              <w:rPr>
                <w:rFonts w:hint="eastAsia" w:ascii="Times New Roman" w:hAnsi="Times New Roman" w:eastAsia="宋体" w:cs="Times New Roman"/>
                <w:color w:val="auto"/>
                <w:sz w:val="24"/>
                <w:szCs w:val="24"/>
                <w:lang w:val="en-US" w:eastAsia="zh-CN"/>
              </w:rPr>
              <w:t>标包</w:t>
            </w:r>
            <w:r>
              <w:rPr>
                <w:rFonts w:hint="default" w:ascii="Times New Roman" w:hAnsi="Times New Roman" w:eastAsia="宋体" w:cs="Times New Roman"/>
                <w:color w:val="auto"/>
                <w:sz w:val="24"/>
                <w:szCs w:val="24"/>
                <w:lang w:val="en-US" w:eastAsia="zh-CN"/>
              </w:rPr>
              <w:t>。未来，</w:t>
            </w:r>
            <w:r>
              <w:rPr>
                <w:rFonts w:hint="default" w:ascii="Times New Roman" w:hAnsi="Times New Roman" w:eastAsia="宋体" w:cs="Times New Roman"/>
                <w:color w:val="auto"/>
                <w:sz w:val="24"/>
                <w:szCs w:val="24"/>
              </w:rPr>
              <w:t>公司将</w:t>
            </w:r>
            <w:r>
              <w:rPr>
                <w:rFonts w:hint="eastAsia" w:ascii="Times New Roman" w:hAnsi="Times New Roman" w:eastAsia="宋体" w:cs="Times New Roman"/>
                <w:color w:val="auto"/>
                <w:sz w:val="24"/>
                <w:szCs w:val="24"/>
                <w:lang w:val="en-US" w:eastAsia="zh-CN"/>
              </w:rPr>
              <w:t>持续</w:t>
            </w:r>
            <w:r>
              <w:rPr>
                <w:rFonts w:hint="default" w:ascii="Times New Roman" w:hAnsi="Times New Roman" w:eastAsia="宋体" w:cs="Times New Roman"/>
                <w:color w:val="auto"/>
                <w:sz w:val="24"/>
                <w:szCs w:val="24"/>
              </w:rPr>
              <w:t>密切关注工程配套电网及能源技术服务的招标动态，依托技术优势积极争取参与</w:t>
            </w:r>
            <w:r>
              <w:rPr>
                <w:rFonts w:hint="eastAsia" w:ascii="Times New Roman" w:hAnsi="Times New Roman" w:eastAsia="宋体" w:cs="Times New Roman"/>
                <w:color w:val="auto"/>
                <w:sz w:val="24"/>
                <w:szCs w:val="24"/>
                <w:lang w:val="en-US" w:eastAsia="zh-CN"/>
              </w:rPr>
              <w:t>更多</w:t>
            </w:r>
            <w:r>
              <w:rPr>
                <w:rFonts w:hint="default" w:ascii="Times New Roman" w:hAnsi="Times New Roman" w:eastAsia="宋体" w:cs="Times New Roman"/>
                <w:color w:val="auto"/>
                <w:sz w:val="24"/>
                <w:szCs w:val="24"/>
              </w:rPr>
              <w:t>工程建设。</w:t>
            </w:r>
          </w:p>
          <w:p w14:paraId="3F91F4B5">
            <w:pPr>
              <w:spacing w:line="360" w:lineRule="auto"/>
              <w:rPr>
                <w:rFonts w:hint="default" w:ascii="Times New Roman" w:hAnsi="Times New Roman" w:eastAsia="宋体" w:cs="Times New Roman"/>
                <w:color w:val="auto"/>
                <w:sz w:val="24"/>
                <w:szCs w:val="24"/>
              </w:rPr>
            </w:pPr>
          </w:p>
          <w:p w14:paraId="446B295F">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Q6：公司近期推出多项科技成果通过鉴定，能简单介绍一下吗？</w:t>
            </w:r>
          </w:p>
          <w:p w14:paraId="0E3AD0D6">
            <w:pPr>
              <w:spacing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color w:val="auto"/>
                <w:sz w:val="24"/>
                <w:szCs w:val="24"/>
              </w:rPr>
              <w:t>公司近期通过鉴定的科技成果分别是：</w:t>
            </w:r>
            <w:r>
              <w:rPr>
                <w:rFonts w:hint="default" w:ascii="Times New Roman" w:hAnsi="Times New Roman" w:eastAsia="宋体" w:cs="Times New Roman"/>
                <w:b/>
                <w:bCs/>
                <w:color w:val="auto"/>
                <w:sz w:val="24"/>
                <w:szCs w:val="24"/>
              </w:rPr>
              <w:t>1.“高精度行波测距技术研究及应用”，</w:t>
            </w:r>
            <w:r>
              <w:rPr>
                <w:rFonts w:hint="default" w:ascii="Times New Roman" w:hAnsi="Times New Roman" w:eastAsia="宋体" w:cs="Times New Roman"/>
                <w:color w:val="auto"/>
                <w:sz w:val="24"/>
                <w:szCs w:val="24"/>
              </w:rPr>
              <w:t>实现了行波的精确标定和波速度的在线校正，突破了高精度对时同步等关键技术，满足了电网高精度故障定位的迫切需求，全面提升了故障测距的准确率和精确度，对降低运维成本、减少停电损失和保障电力系统稳定等有着重要意义。</w:t>
            </w:r>
            <w:r>
              <w:rPr>
                <w:rFonts w:hint="default" w:ascii="Times New Roman" w:hAnsi="Times New Roman" w:eastAsia="宋体" w:cs="Times New Roman"/>
                <w:b/>
                <w:bCs/>
                <w:color w:val="auto"/>
                <w:sz w:val="24"/>
                <w:szCs w:val="24"/>
              </w:rPr>
              <w:t>2.“集成全网分功能的自主可控智能录波器研制及应用”，</w:t>
            </w:r>
            <w:r>
              <w:rPr>
                <w:rFonts w:hint="default" w:ascii="Times New Roman" w:hAnsi="Times New Roman" w:eastAsia="宋体" w:cs="Times New Roman"/>
                <w:color w:val="auto"/>
                <w:sz w:val="24"/>
                <w:szCs w:val="24"/>
              </w:rPr>
              <w:t>完成高并发数据采集、异常精准感知、高效远程运维、全面安全防护等技术攻关，成功研制集成全网分功能的自主可控智能录波器系列产品，具备 “高安全、高可靠、易运维” 特性，为电网安全运行和高效运维提供数智化支撑。</w:t>
            </w:r>
            <w:r>
              <w:rPr>
                <w:rFonts w:hint="default" w:ascii="Times New Roman" w:hAnsi="Times New Roman" w:eastAsia="宋体" w:cs="Times New Roman"/>
                <w:b/>
                <w:bCs/>
                <w:color w:val="auto"/>
                <w:sz w:val="24"/>
                <w:szCs w:val="24"/>
              </w:rPr>
              <w:t>3.“自主可控轨道交通直流保护装置研制及应用”，</w:t>
            </w:r>
            <w:r>
              <w:rPr>
                <w:rFonts w:hint="default" w:ascii="Times New Roman" w:hAnsi="Times New Roman" w:eastAsia="宋体" w:cs="Times New Roman"/>
                <w:color w:val="auto"/>
                <w:sz w:val="24"/>
                <w:szCs w:val="24"/>
              </w:rPr>
              <w:t>融合多项核心技术，包括缓存一致性虚拟数据总线、变量聚类优化编译全流程实时纠错、动态拓扑双端故障测距，以及三级安全防护无线运维技术，全面提升了保护装置的速动性、可靠性、易用性及安全性。</w:t>
            </w:r>
            <w:r>
              <w:rPr>
                <w:rFonts w:hint="default" w:ascii="Times New Roman" w:hAnsi="Times New Roman" w:eastAsia="宋体" w:cs="Times New Roman"/>
                <w:b/>
                <w:bCs/>
                <w:color w:val="auto"/>
                <w:sz w:val="24"/>
                <w:szCs w:val="24"/>
              </w:rPr>
              <w:t>4.“融合AI的二次设备运维管控智能化研究及应用”，</w:t>
            </w:r>
            <w:r>
              <w:rPr>
                <w:rFonts w:hint="default" w:ascii="Times New Roman" w:hAnsi="Times New Roman" w:eastAsia="宋体" w:cs="Times New Roman"/>
                <w:color w:val="auto"/>
                <w:sz w:val="24"/>
                <w:szCs w:val="24"/>
              </w:rPr>
              <w:t>研究融合AI的二次设备运维管控智能化技术，通过多编码模型级联语义建模、自然语言融合专家知识的定值建模、多模态协同学习的电网故障智能分析、二次运维主站镜像保真测试和一二次系统智能自适应协同控制，为优化二次运维模式提供技术支撑手段，有效缓解现场运维压力，全面提升运维管控技术水平与效能。</w:t>
            </w:r>
            <w:r>
              <w:rPr>
                <w:rFonts w:hint="default" w:ascii="Times New Roman" w:hAnsi="Times New Roman" w:eastAsia="宋体" w:cs="Times New Roman"/>
                <w:b/>
                <w:bCs/>
                <w:color w:val="auto"/>
                <w:sz w:val="24"/>
                <w:szCs w:val="24"/>
              </w:rPr>
              <w:t>5.“基于分层协同机制的电力系统宽频振荡智能监测溯源技术及应用”，</w:t>
            </w:r>
            <w:r>
              <w:rPr>
                <w:rFonts w:hint="default" w:ascii="Times New Roman" w:hAnsi="Times New Roman" w:eastAsia="宋体" w:cs="Times New Roman"/>
                <w:color w:val="auto"/>
                <w:sz w:val="24"/>
                <w:szCs w:val="24"/>
              </w:rPr>
              <w:t>聚焦新型电力系统下多模式振荡交织凸显等问题，研制了“采集高效-感知灵敏-诊断可信-分层协同”的宽频监测与分析系统，在宽频振荡监测架构、宽频振荡识别与风险预警、振荡溯源与智能诊断、宽频振荡协同分析等4个方面取得关键技术突破。该项技术已在多个电网调控中心、电厂及新能源场站成功应用，系统运行稳定可靠，显著提升了调度侧对广域电网振荡事件的监测分析能力和厂站侧对宽频振荡的实时监测和本地响应能力，为电网安全稳定运行提供了有力支撑。</w:t>
            </w:r>
            <w:r>
              <w:rPr>
                <w:rFonts w:hint="default" w:ascii="Times New Roman" w:hAnsi="Times New Roman" w:eastAsia="宋体" w:cs="Times New Roman"/>
                <w:b/>
                <w:bCs/>
                <w:color w:val="auto"/>
                <w:sz w:val="24"/>
                <w:szCs w:val="24"/>
              </w:rPr>
              <w:t>6.“新能源高渗透率下构网型SVG主动支撑和安全稳定运行关键技术及应用”，</w:t>
            </w:r>
            <w:r>
              <w:rPr>
                <w:rFonts w:hint="default" w:ascii="Times New Roman" w:hAnsi="Times New Roman" w:eastAsia="宋体" w:cs="Times New Roman"/>
                <w:color w:val="auto"/>
                <w:sz w:val="24"/>
                <w:szCs w:val="24"/>
              </w:rPr>
              <w:t>以双高电力系统存在低惯性、欠阻尼等安全稳定问题为导向，提出了参数动态调整、快速响应控制、附加阻尼振荡抑制和超级电容系统柔性重构等关键技术，实现了构网SVG在多场景下的主动支撑能力、对电网变化的快速响应能力和对宽频振荡的有效抑制能力，并提升了设备整体运行安全性与使用寿命。构网型SVG产品及相关技术成果已在多个省区电网实现工程应用，经济和社会效益显著。</w:t>
            </w:r>
            <w:r>
              <w:rPr>
                <w:rFonts w:hint="default" w:ascii="Times New Roman" w:hAnsi="Times New Roman" w:eastAsia="宋体" w:cs="Times New Roman"/>
                <w:color w:val="auto"/>
                <w:sz w:val="24"/>
                <w:szCs w:val="24"/>
                <w:shd w:val="clear" w:color="auto" w:fill="FFFFFF"/>
              </w:rPr>
              <w:t>经鉴定，上述技术成果均处于国际领先水平，成果创新性突出，具有良好的社会、经济效益和推广应用前景。</w:t>
            </w:r>
          </w:p>
        </w:tc>
      </w:tr>
      <w:tr w14:paraId="33B6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99D047E">
            <w:pPr>
              <w:spacing w:before="156" w:beforeLines="50" w:after="156" w:afterLines="50" w:line="30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时间</w:t>
            </w:r>
          </w:p>
        </w:tc>
        <w:tc>
          <w:tcPr>
            <w:tcW w:w="6741" w:type="dxa"/>
            <w:vAlign w:val="center"/>
          </w:tcPr>
          <w:p w14:paraId="5463F22A">
            <w:pPr>
              <w:spacing w:before="156" w:beforeLines="50" w:after="156" w:afterLines="50" w:line="30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2025年7月1日——2025年7月31日</w:t>
            </w:r>
          </w:p>
        </w:tc>
      </w:tr>
    </w:tbl>
    <w:p w14:paraId="42731ADF">
      <w:pPr>
        <w:spacing w:before="156" w:beforeLines="50" w:after="156" w:afterLines="50" w:line="300" w:lineRule="auto"/>
        <w:ind w:firstLine="480" w:firstLineChars="200"/>
        <w:rPr>
          <w:rFonts w:ascii="Times New Roman" w:hAnsi="Times New Roman" w:eastAsia="宋体" w:cs="Times New Roman"/>
          <w:sz w:val="24"/>
          <w:szCs w:val="24"/>
        </w:rPr>
      </w:pPr>
      <w:r>
        <w:rPr>
          <w:rFonts w:hint="default" w:ascii="Times New Roman" w:hAnsi="Times New Roman" w:eastAsia="宋体" w:cs="Times New Roman"/>
          <w:color w:val="auto"/>
          <w:sz w:val="24"/>
          <w:szCs w:val="24"/>
        </w:rPr>
        <w:t>特此发布。敬请广大投资者注意投资风险，理性</w:t>
      </w:r>
      <w:r>
        <w:rPr>
          <w:rFonts w:ascii="Times New Roman" w:hAnsi="Times New Roman" w:eastAsia="宋体" w:cs="Times New Roman"/>
          <w:color w:val="auto"/>
          <w:sz w:val="24"/>
          <w:szCs w:val="24"/>
        </w:rPr>
        <w:t>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B1"/>
    <w:rsid w:val="00003A3E"/>
    <w:rsid w:val="00030D8E"/>
    <w:rsid w:val="0004504C"/>
    <w:rsid w:val="00073B14"/>
    <w:rsid w:val="000754C7"/>
    <w:rsid w:val="0008270A"/>
    <w:rsid w:val="000858FF"/>
    <w:rsid w:val="00092E1F"/>
    <w:rsid w:val="00094DAA"/>
    <w:rsid w:val="000A0B27"/>
    <w:rsid w:val="000A7E02"/>
    <w:rsid w:val="000B49BB"/>
    <w:rsid w:val="000C344A"/>
    <w:rsid w:val="000C5723"/>
    <w:rsid w:val="000E2A90"/>
    <w:rsid w:val="000E4F30"/>
    <w:rsid w:val="000F0516"/>
    <w:rsid w:val="000F1971"/>
    <w:rsid w:val="000F340B"/>
    <w:rsid w:val="000F3F8A"/>
    <w:rsid w:val="00105239"/>
    <w:rsid w:val="0011479E"/>
    <w:rsid w:val="0012401E"/>
    <w:rsid w:val="00150C02"/>
    <w:rsid w:val="001572B1"/>
    <w:rsid w:val="00161711"/>
    <w:rsid w:val="00162F87"/>
    <w:rsid w:val="00164332"/>
    <w:rsid w:val="00167C02"/>
    <w:rsid w:val="00170230"/>
    <w:rsid w:val="0017261E"/>
    <w:rsid w:val="00173A8B"/>
    <w:rsid w:val="001801D3"/>
    <w:rsid w:val="00181B5D"/>
    <w:rsid w:val="001851F9"/>
    <w:rsid w:val="00186E49"/>
    <w:rsid w:val="00192255"/>
    <w:rsid w:val="001A5771"/>
    <w:rsid w:val="001A62F9"/>
    <w:rsid w:val="001B589D"/>
    <w:rsid w:val="001B74B0"/>
    <w:rsid w:val="001C0B6C"/>
    <w:rsid w:val="001D1079"/>
    <w:rsid w:val="001D33DA"/>
    <w:rsid w:val="001D657B"/>
    <w:rsid w:val="001E217C"/>
    <w:rsid w:val="001E28B7"/>
    <w:rsid w:val="001F2F71"/>
    <w:rsid w:val="001F688E"/>
    <w:rsid w:val="00206A69"/>
    <w:rsid w:val="00210ACF"/>
    <w:rsid w:val="00210C33"/>
    <w:rsid w:val="00213DA1"/>
    <w:rsid w:val="00215A01"/>
    <w:rsid w:val="0021641F"/>
    <w:rsid w:val="00224D32"/>
    <w:rsid w:val="00225136"/>
    <w:rsid w:val="0022732E"/>
    <w:rsid w:val="002435FD"/>
    <w:rsid w:val="00250C47"/>
    <w:rsid w:val="00252AB7"/>
    <w:rsid w:val="00252C29"/>
    <w:rsid w:val="00254569"/>
    <w:rsid w:val="00256A9A"/>
    <w:rsid w:val="00265DD5"/>
    <w:rsid w:val="00282FB7"/>
    <w:rsid w:val="00290432"/>
    <w:rsid w:val="002963A0"/>
    <w:rsid w:val="002A436A"/>
    <w:rsid w:val="002A4375"/>
    <w:rsid w:val="002B0CCD"/>
    <w:rsid w:val="002B1550"/>
    <w:rsid w:val="002C5CC5"/>
    <w:rsid w:val="002C640A"/>
    <w:rsid w:val="002C7341"/>
    <w:rsid w:val="002D1EB5"/>
    <w:rsid w:val="002D3DBE"/>
    <w:rsid w:val="002D4490"/>
    <w:rsid w:val="002D4A05"/>
    <w:rsid w:val="002D5590"/>
    <w:rsid w:val="002D59B7"/>
    <w:rsid w:val="002D6B52"/>
    <w:rsid w:val="002D7201"/>
    <w:rsid w:val="002D7F4C"/>
    <w:rsid w:val="002E4751"/>
    <w:rsid w:val="003042E3"/>
    <w:rsid w:val="00307CB5"/>
    <w:rsid w:val="003144EE"/>
    <w:rsid w:val="00325176"/>
    <w:rsid w:val="00330698"/>
    <w:rsid w:val="00345C04"/>
    <w:rsid w:val="003478EC"/>
    <w:rsid w:val="003713BC"/>
    <w:rsid w:val="00383462"/>
    <w:rsid w:val="003871A9"/>
    <w:rsid w:val="00390403"/>
    <w:rsid w:val="00391BC1"/>
    <w:rsid w:val="003A0823"/>
    <w:rsid w:val="003A72C4"/>
    <w:rsid w:val="003A7C03"/>
    <w:rsid w:val="003B000A"/>
    <w:rsid w:val="003B098F"/>
    <w:rsid w:val="003B4456"/>
    <w:rsid w:val="003C1992"/>
    <w:rsid w:val="003C2D49"/>
    <w:rsid w:val="003C574F"/>
    <w:rsid w:val="003D3603"/>
    <w:rsid w:val="003D5F3C"/>
    <w:rsid w:val="003D6C9F"/>
    <w:rsid w:val="003E38FC"/>
    <w:rsid w:val="003E429A"/>
    <w:rsid w:val="003E5358"/>
    <w:rsid w:val="003E5B0D"/>
    <w:rsid w:val="003E5E1D"/>
    <w:rsid w:val="003F1E1E"/>
    <w:rsid w:val="003F7890"/>
    <w:rsid w:val="004006A3"/>
    <w:rsid w:val="00401AD3"/>
    <w:rsid w:val="00405B05"/>
    <w:rsid w:val="00406A4A"/>
    <w:rsid w:val="00412C70"/>
    <w:rsid w:val="004131B0"/>
    <w:rsid w:val="00422846"/>
    <w:rsid w:val="00436F5E"/>
    <w:rsid w:val="00470637"/>
    <w:rsid w:val="004735AA"/>
    <w:rsid w:val="0047685D"/>
    <w:rsid w:val="00477CEB"/>
    <w:rsid w:val="00481C00"/>
    <w:rsid w:val="00483C85"/>
    <w:rsid w:val="004972B2"/>
    <w:rsid w:val="004A4F63"/>
    <w:rsid w:val="004A5BFC"/>
    <w:rsid w:val="004A65E7"/>
    <w:rsid w:val="004C62BA"/>
    <w:rsid w:val="004C7D68"/>
    <w:rsid w:val="004E15F7"/>
    <w:rsid w:val="004E651F"/>
    <w:rsid w:val="004F2587"/>
    <w:rsid w:val="00500099"/>
    <w:rsid w:val="005018B8"/>
    <w:rsid w:val="00502CFB"/>
    <w:rsid w:val="005052CE"/>
    <w:rsid w:val="00506DB8"/>
    <w:rsid w:val="0052119A"/>
    <w:rsid w:val="00521FE9"/>
    <w:rsid w:val="00522C10"/>
    <w:rsid w:val="0053049B"/>
    <w:rsid w:val="0053276D"/>
    <w:rsid w:val="0054311A"/>
    <w:rsid w:val="00543B93"/>
    <w:rsid w:val="00544832"/>
    <w:rsid w:val="00550318"/>
    <w:rsid w:val="00563C64"/>
    <w:rsid w:val="00581DC0"/>
    <w:rsid w:val="00590932"/>
    <w:rsid w:val="00592C63"/>
    <w:rsid w:val="00594077"/>
    <w:rsid w:val="00597302"/>
    <w:rsid w:val="005A6927"/>
    <w:rsid w:val="005B3EEB"/>
    <w:rsid w:val="005B4CA9"/>
    <w:rsid w:val="005B7046"/>
    <w:rsid w:val="005C2B90"/>
    <w:rsid w:val="005C395F"/>
    <w:rsid w:val="005D1AE6"/>
    <w:rsid w:val="005D31F5"/>
    <w:rsid w:val="005E4598"/>
    <w:rsid w:val="005F12CF"/>
    <w:rsid w:val="005F3FB8"/>
    <w:rsid w:val="00601767"/>
    <w:rsid w:val="00610261"/>
    <w:rsid w:val="00610D5C"/>
    <w:rsid w:val="00612F3A"/>
    <w:rsid w:val="0061510E"/>
    <w:rsid w:val="00632FB1"/>
    <w:rsid w:val="006432C2"/>
    <w:rsid w:val="0064762F"/>
    <w:rsid w:val="00670D81"/>
    <w:rsid w:val="0068077C"/>
    <w:rsid w:val="0068212A"/>
    <w:rsid w:val="00686819"/>
    <w:rsid w:val="006A1FE1"/>
    <w:rsid w:val="006B030B"/>
    <w:rsid w:val="006B5E5C"/>
    <w:rsid w:val="006C752F"/>
    <w:rsid w:val="006D3564"/>
    <w:rsid w:val="006D7F0B"/>
    <w:rsid w:val="006E0C67"/>
    <w:rsid w:val="006E2F47"/>
    <w:rsid w:val="006F580F"/>
    <w:rsid w:val="0070391F"/>
    <w:rsid w:val="007048DC"/>
    <w:rsid w:val="00705CDD"/>
    <w:rsid w:val="00705FA8"/>
    <w:rsid w:val="0070685E"/>
    <w:rsid w:val="00711674"/>
    <w:rsid w:val="00716495"/>
    <w:rsid w:val="00720BFF"/>
    <w:rsid w:val="00733DD3"/>
    <w:rsid w:val="00737585"/>
    <w:rsid w:val="00744BC8"/>
    <w:rsid w:val="007450D1"/>
    <w:rsid w:val="00746B4F"/>
    <w:rsid w:val="00747117"/>
    <w:rsid w:val="00750B86"/>
    <w:rsid w:val="007542BA"/>
    <w:rsid w:val="00761151"/>
    <w:rsid w:val="00764B40"/>
    <w:rsid w:val="007701C6"/>
    <w:rsid w:val="00773F4C"/>
    <w:rsid w:val="007826FB"/>
    <w:rsid w:val="00784025"/>
    <w:rsid w:val="0079322F"/>
    <w:rsid w:val="00793795"/>
    <w:rsid w:val="00794348"/>
    <w:rsid w:val="00795E2E"/>
    <w:rsid w:val="00797FE5"/>
    <w:rsid w:val="007C453F"/>
    <w:rsid w:val="007C75E2"/>
    <w:rsid w:val="007D03A4"/>
    <w:rsid w:val="007D2E29"/>
    <w:rsid w:val="007E6B57"/>
    <w:rsid w:val="007F139C"/>
    <w:rsid w:val="007F2B99"/>
    <w:rsid w:val="00801FD8"/>
    <w:rsid w:val="0080541B"/>
    <w:rsid w:val="00806F6F"/>
    <w:rsid w:val="00814FDA"/>
    <w:rsid w:val="0081609F"/>
    <w:rsid w:val="008160BF"/>
    <w:rsid w:val="00821CBC"/>
    <w:rsid w:val="008404D7"/>
    <w:rsid w:val="00856D88"/>
    <w:rsid w:val="00867E65"/>
    <w:rsid w:val="00873614"/>
    <w:rsid w:val="00881E8C"/>
    <w:rsid w:val="00882E60"/>
    <w:rsid w:val="00887A4B"/>
    <w:rsid w:val="00894A83"/>
    <w:rsid w:val="00895254"/>
    <w:rsid w:val="008972E2"/>
    <w:rsid w:val="008973B5"/>
    <w:rsid w:val="008A5000"/>
    <w:rsid w:val="008A5480"/>
    <w:rsid w:val="008A5E76"/>
    <w:rsid w:val="008C79DE"/>
    <w:rsid w:val="008D2AAC"/>
    <w:rsid w:val="008D51F7"/>
    <w:rsid w:val="008E2738"/>
    <w:rsid w:val="008E6DBD"/>
    <w:rsid w:val="008E7B0E"/>
    <w:rsid w:val="00904D7A"/>
    <w:rsid w:val="00906AE3"/>
    <w:rsid w:val="009074DD"/>
    <w:rsid w:val="00915448"/>
    <w:rsid w:val="00917D4C"/>
    <w:rsid w:val="00920338"/>
    <w:rsid w:val="00924791"/>
    <w:rsid w:val="00944FF3"/>
    <w:rsid w:val="009528F6"/>
    <w:rsid w:val="00955DB9"/>
    <w:rsid w:val="00961284"/>
    <w:rsid w:val="00964965"/>
    <w:rsid w:val="0097014F"/>
    <w:rsid w:val="0099536A"/>
    <w:rsid w:val="00995851"/>
    <w:rsid w:val="00995BB8"/>
    <w:rsid w:val="009A3819"/>
    <w:rsid w:val="009A446D"/>
    <w:rsid w:val="009A5236"/>
    <w:rsid w:val="009A53B4"/>
    <w:rsid w:val="009A5FE0"/>
    <w:rsid w:val="009A602A"/>
    <w:rsid w:val="009A7F7F"/>
    <w:rsid w:val="009B0CA8"/>
    <w:rsid w:val="009B781F"/>
    <w:rsid w:val="009C2972"/>
    <w:rsid w:val="009C560E"/>
    <w:rsid w:val="009D2020"/>
    <w:rsid w:val="009D7E19"/>
    <w:rsid w:val="009E4899"/>
    <w:rsid w:val="009F4BF6"/>
    <w:rsid w:val="009F7638"/>
    <w:rsid w:val="00A00EFA"/>
    <w:rsid w:val="00A025C8"/>
    <w:rsid w:val="00A05FA4"/>
    <w:rsid w:val="00A06B97"/>
    <w:rsid w:val="00A13043"/>
    <w:rsid w:val="00A175BA"/>
    <w:rsid w:val="00A20863"/>
    <w:rsid w:val="00A209AA"/>
    <w:rsid w:val="00A20DE0"/>
    <w:rsid w:val="00A33BAF"/>
    <w:rsid w:val="00A36AE9"/>
    <w:rsid w:val="00A413BA"/>
    <w:rsid w:val="00A56163"/>
    <w:rsid w:val="00A62B5D"/>
    <w:rsid w:val="00A63871"/>
    <w:rsid w:val="00A82BBA"/>
    <w:rsid w:val="00A857FA"/>
    <w:rsid w:val="00A900F6"/>
    <w:rsid w:val="00A90A58"/>
    <w:rsid w:val="00AA0FC3"/>
    <w:rsid w:val="00AA30BB"/>
    <w:rsid w:val="00AA7F89"/>
    <w:rsid w:val="00AB0C39"/>
    <w:rsid w:val="00AB4DC0"/>
    <w:rsid w:val="00AC0C6F"/>
    <w:rsid w:val="00AC4159"/>
    <w:rsid w:val="00AC5E4E"/>
    <w:rsid w:val="00AC6111"/>
    <w:rsid w:val="00AE3E16"/>
    <w:rsid w:val="00AE56DF"/>
    <w:rsid w:val="00AF23F6"/>
    <w:rsid w:val="00B015BA"/>
    <w:rsid w:val="00B12798"/>
    <w:rsid w:val="00B14E98"/>
    <w:rsid w:val="00B1604F"/>
    <w:rsid w:val="00B1690D"/>
    <w:rsid w:val="00B174DD"/>
    <w:rsid w:val="00B2544D"/>
    <w:rsid w:val="00B25643"/>
    <w:rsid w:val="00B30734"/>
    <w:rsid w:val="00B31F44"/>
    <w:rsid w:val="00B41ACE"/>
    <w:rsid w:val="00B42564"/>
    <w:rsid w:val="00B44777"/>
    <w:rsid w:val="00B53F66"/>
    <w:rsid w:val="00B54444"/>
    <w:rsid w:val="00B54987"/>
    <w:rsid w:val="00B55413"/>
    <w:rsid w:val="00B56BD3"/>
    <w:rsid w:val="00B5747E"/>
    <w:rsid w:val="00B6324E"/>
    <w:rsid w:val="00B654DF"/>
    <w:rsid w:val="00B66386"/>
    <w:rsid w:val="00B66914"/>
    <w:rsid w:val="00B73C50"/>
    <w:rsid w:val="00B73E4C"/>
    <w:rsid w:val="00B74417"/>
    <w:rsid w:val="00B77978"/>
    <w:rsid w:val="00B8007B"/>
    <w:rsid w:val="00B84357"/>
    <w:rsid w:val="00B874F7"/>
    <w:rsid w:val="00B877C3"/>
    <w:rsid w:val="00B91FC1"/>
    <w:rsid w:val="00B95549"/>
    <w:rsid w:val="00BA64AF"/>
    <w:rsid w:val="00BD14B9"/>
    <w:rsid w:val="00BD2F25"/>
    <w:rsid w:val="00BE0B8B"/>
    <w:rsid w:val="00BE2622"/>
    <w:rsid w:val="00BF1F86"/>
    <w:rsid w:val="00C0077D"/>
    <w:rsid w:val="00C10139"/>
    <w:rsid w:val="00C11289"/>
    <w:rsid w:val="00C173E0"/>
    <w:rsid w:val="00C24390"/>
    <w:rsid w:val="00C31E80"/>
    <w:rsid w:val="00C33817"/>
    <w:rsid w:val="00C43F1C"/>
    <w:rsid w:val="00C43F58"/>
    <w:rsid w:val="00C705B1"/>
    <w:rsid w:val="00C70601"/>
    <w:rsid w:val="00C71E18"/>
    <w:rsid w:val="00C80465"/>
    <w:rsid w:val="00C8246A"/>
    <w:rsid w:val="00C95A0C"/>
    <w:rsid w:val="00CB69F1"/>
    <w:rsid w:val="00CB7389"/>
    <w:rsid w:val="00CC0F3A"/>
    <w:rsid w:val="00CC3088"/>
    <w:rsid w:val="00CC616A"/>
    <w:rsid w:val="00CC685E"/>
    <w:rsid w:val="00CD575E"/>
    <w:rsid w:val="00CD5DFE"/>
    <w:rsid w:val="00CD661E"/>
    <w:rsid w:val="00CE04F0"/>
    <w:rsid w:val="00CE2C0F"/>
    <w:rsid w:val="00CE34AD"/>
    <w:rsid w:val="00CF329A"/>
    <w:rsid w:val="00CF3A3A"/>
    <w:rsid w:val="00CF592E"/>
    <w:rsid w:val="00D048C2"/>
    <w:rsid w:val="00D05553"/>
    <w:rsid w:val="00D06460"/>
    <w:rsid w:val="00D06F7B"/>
    <w:rsid w:val="00D272B7"/>
    <w:rsid w:val="00D308CD"/>
    <w:rsid w:val="00D30C73"/>
    <w:rsid w:val="00D355A8"/>
    <w:rsid w:val="00D36D68"/>
    <w:rsid w:val="00D3763A"/>
    <w:rsid w:val="00D547B4"/>
    <w:rsid w:val="00D621C3"/>
    <w:rsid w:val="00D66BCF"/>
    <w:rsid w:val="00D74CBC"/>
    <w:rsid w:val="00D860EE"/>
    <w:rsid w:val="00DA4B0B"/>
    <w:rsid w:val="00DA6CF7"/>
    <w:rsid w:val="00DB0950"/>
    <w:rsid w:val="00DB6148"/>
    <w:rsid w:val="00DD0A0D"/>
    <w:rsid w:val="00DD3067"/>
    <w:rsid w:val="00DE49F7"/>
    <w:rsid w:val="00DE542F"/>
    <w:rsid w:val="00DE68D8"/>
    <w:rsid w:val="00DE7DE3"/>
    <w:rsid w:val="00DF04AE"/>
    <w:rsid w:val="00DF103E"/>
    <w:rsid w:val="00DF1640"/>
    <w:rsid w:val="00DF2DD2"/>
    <w:rsid w:val="00DF6944"/>
    <w:rsid w:val="00E00783"/>
    <w:rsid w:val="00E40424"/>
    <w:rsid w:val="00E43D20"/>
    <w:rsid w:val="00E470ED"/>
    <w:rsid w:val="00E56C5F"/>
    <w:rsid w:val="00E57EB9"/>
    <w:rsid w:val="00E711B5"/>
    <w:rsid w:val="00E7768A"/>
    <w:rsid w:val="00E825B8"/>
    <w:rsid w:val="00E903DE"/>
    <w:rsid w:val="00E9543C"/>
    <w:rsid w:val="00EA058C"/>
    <w:rsid w:val="00EA2E90"/>
    <w:rsid w:val="00EA3116"/>
    <w:rsid w:val="00EA4342"/>
    <w:rsid w:val="00EA5031"/>
    <w:rsid w:val="00EA7879"/>
    <w:rsid w:val="00EB5318"/>
    <w:rsid w:val="00EB536B"/>
    <w:rsid w:val="00ED27D4"/>
    <w:rsid w:val="00ED3800"/>
    <w:rsid w:val="00EE2058"/>
    <w:rsid w:val="00EE693B"/>
    <w:rsid w:val="00EF0D3F"/>
    <w:rsid w:val="00EF10F1"/>
    <w:rsid w:val="00EF21FE"/>
    <w:rsid w:val="00EF6BA0"/>
    <w:rsid w:val="00EF7EFB"/>
    <w:rsid w:val="00F017A3"/>
    <w:rsid w:val="00F047CE"/>
    <w:rsid w:val="00F13E15"/>
    <w:rsid w:val="00F23C67"/>
    <w:rsid w:val="00F2576F"/>
    <w:rsid w:val="00F26B12"/>
    <w:rsid w:val="00F31FEA"/>
    <w:rsid w:val="00F476E8"/>
    <w:rsid w:val="00F5713C"/>
    <w:rsid w:val="00F60647"/>
    <w:rsid w:val="00F704BF"/>
    <w:rsid w:val="00F713B1"/>
    <w:rsid w:val="00F71CD6"/>
    <w:rsid w:val="00F750BE"/>
    <w:rsid w:val="00F75388"/>
    <w:rsid w:val="00F80521"/>
    <w:rsid w:val="00F84D35"/>
    <w:rsid w:val="00F8633B"/>
    <w:rsid w:val="00F9266B"/>
    <w:rsid w:val="00F94756"/>
    <w:rsid w:val="00FA0894"/>
    <w:rsid w:val="00FA090B"/>
    <w:rsid w:val="00FA152D"/>
    <w:rsid w:val="00FA600B"/>
    <w:rsid w:val="00FA6733"/>
    <w:rsid w:val="00FC4BE5"/>
    <w:rsid w:val="00FC7FF4"/>
    <w:rsid w:val="00FD746D"/>
    <w:rsid w:val="00FE37E0"/>
    <w:rsid w:val="00FE5EAF"/>
    <w:rsid w:val="00FE76C8"/>
    <w:rsid w:val="00FE7EEE"/>
    <w:rsid w:val="00FF651C"/>
    <w:rsid w:val="014001AC"/>
    <w:rsid w:val="01E414FF"/>
    <w:rsid w:val="02331F5B"/>
    <w:rsid w:val="028B18FB"/>
    <w:rsid w:val="029E1CF3"/>
    <w:rsid w:val="02EE30B6"/>
    <w:rsid w:val="035E171E"/>
    <w:rsid w:val="03C33AB5"/>
    <w:rsid w:val="040A4E42"/>
    <w:rsid w:val="04411538"/>
    <w:rsid w:val="048615DD"/>
    <w:rsid w:val="060C5547"/>
    <w:rsid w:val="07283BBC"/>
    <w:rsid w:val="07660241"/>
    <w:rsid w:val="07ED3E37"/>
    <w:rsid w:val="083E4D1A"/>
    <w:rsid w:val="08DF3250"/>
    <w:rsid w:val="09B94F9F"/>
    <w:rsid w:val="09E75808"/>
    <w:rsid w:val="0A252635"/>
    <w:rsid w:val="0A8A693C"/>
    <w:rsid w:val="0B3800B6"/>
    <w:rsid w:val="0B952ADC"/>
    <w:rsid w:val="0BFBFAAA"/>
    <w:rsid w:val="0CC51EAD"/>
    <w:rsid w:val="0CDD71F7"/>
    <w:rsid w:val="0D8F2A9B"/>
    <w:rsid w:val="0DF76CF0"/>
    <w:rsid w:val="0E116281"/>
    <w:rsid w:val="0E9E6512"/>
    <w:rsid w:val="0EAA7385"/>
    <w:rsid w:val="0EB6471F"/>
    <w:rsid w:val="0F7C4064"/>
    <w:rsid w:val="0FEB3B29"/>
    <w:rsid w:val="104135F9"/>
    <w:rsid w:val="111807FE"/>
    <w:rsid w:val="116137C7"/>
    <w:rsid w:val="117E41D3"/>
    <w:rsid w:val="121216F1"/>
    <w:rsid w:val="1246139A"/>
    <w:rsid w:val="130C25E4"/>
    <w:rsid w:val="13FC4E78"/>
    <w:rsid w:val="13FF4C55"/>
    <w:rsid w:val="14757D15"/>
    <w:rsid w:val="147D4A90"/>
    <w:rsid w:val="1491212E"/>
    <w:rsid w:val="14A14FAE"/>
    <w:rsid w:val="15B80793"/>
    <w:rsid w:val="15D26F32"/>
    <w:rsid w:val="15E215CF"/>
    <w:rsid w:val="16227A29"/>
    <w:rsid w:val="16B201C8"/>
    <w:rsid w:val="16D36F75"/>
    <w:rsid w:val="183E3E7C"/>
    <w:rsid w:val="193463F1"/>
    <w:rsid w:val="19EE2754"/>
    <w:rsid w:val="19FA0EA4"/>
    <w:rsid w:val="1BB9498B"/>
    <w:rsid w:val="1DFB12EB"/>
    <w:rsid w:val="1E3BF0DA"/>
    <w:rsid w:val="1E420AD8"/>
    <w:rsid w:val="1E71154D"/>
    <w:rsid w:val="1E974C77"/>
    <w:rsid w:val="1F2C2D5F"/>
    <w:rsid w:val="1F8613E5"/>
    <w:rsid w:val="1FA92F69"/>
    <w:rsid w:val="1FC14756"/>
    <w:rsid w:val="20410B4E"/>
    <w:rsid w:val="212A0CF4"/>
    <w:rsid w:val="223631D9"/>
    <w:rsid w:val="22F10EAE"/>
    <w:rsid w:val="23FA1B4B"/>
    <w:rsid w:val="242B611F"/>
    <w:rsid w:val="24636D9B"/>
    <w:rsid w:val="24857EBF"/>
    <w:rsid w:val="26D07D0F"/>
    <w:rsid w:val="26E12642"/>
    <w:rsid w:val="27585E25"/>
    <w:rsid w:val="27EC7E96"/>
    <w:rsid w:val="28312838"/>
    <w:rsid w:val="2A500BB0"/>
    <w:rsid w:val="2A9A007E"/>
    <w:rsid w:val="2ABC4498"/>
    <w:rsid w:val="2B7F799F"/>
    <w:rsid w:val="2B9238D6"/>
    <w:rsid w:val="2BE850F4"/>
    <w:rsid w:val="2C8A69EB"/>
    <w:rsid w:val="2CDA0C05"/>
    <w:rsid w:val="2D261455"/>
    <w:rsid w:val="2D9318EA"/>
    <w:rsid w:val="2E292214"/>
    <w:rsid w:val="2EA27501"/>
    <w:rsid w:val="2EEE5640"/>
    <w:rsid w:val="2FAD43CD"/>
    <w:rsid w:val="30F5600E"/>
    <w:rsid w:val="3162469E"/>
    <w:rsid w:val="31D070A7"/>
    <w:rsid w:val="32567224"/>
    <w:rsid w:val="33353039"/>
    <w:rsid w:val="34867D43"/>
    <w:rsid w:val="34DF14AF"/>
    <w:rsid w:val="34FD149E"/>
    <w:rsid w:val="359027A9"/>
    <w:rsid w:val="35951B6D"/>
    <w:rsid w:val="359F22BA"/>
    <w:rsid w:val="35A31898"/>
    <w:rsid w:val="35D72DDF"/>
    <w:rsid w:val="36164E43"/>
    <w:rsid w:val="36EE48AF"/>
    <w:rsid w:val="36F40B16"/>
    <w:rsid w:val="3742355C"/>
    <w:rsid w:val="37E33064"/>
    <w:rsid w:val="38013404"/>
    <w:rsid w:val="3848400B"/>
    <w:rsid w:val="3982668F"/>
    <w:rsid w:val="39E92488"/>
    <w:rsid w:val="3AAB3F75"/>
    <w:rsid w:val="3AE315CD"/>
    <w:rsid w:val="3C6F3118"/>
    <w:rsid w:val="3C8039B1"/>
    <w:rsid w:val="3CE358B4"/>
    <w:rsid w:val="3CFD7A6F"/>
    <w:rsid w:val="3D017677"/>
    <w:rsid w:val="3D1D5DB9"/>
    <w:rsid w:val="3D9B33F2"/>
    <w:rsid w:val="3DE6F019"/>
    <w:rsid w:val="3E375EB7"/>
    <w:rsid w:val="3E8F6C46"/>
    <w:rsid w:val="3EED0D19"/>
    <w:rsid w:val="3F6105E1"/>
    <w:rsid w:val="3F7B6278"/>
    <w:rsid w:val="3F7FA137"/>
    <w:rsid w:val="3FBA6341"/>
    <w:rsid w:val="3FDF79FA"/>
    <w:rsid w:val="400E791C"/>
    <w:rsid w:val="402A2B77"/>
    <w:rsid w:val="40933B51"/>
    <w:rsid w:val="40BA6517"/>
    <w:rsid w:val="40C17CBA"/>
    <w:rsid w:val="40C94DC1"/>
    <w:rsid w:val="411422B9"/>
    <w:rsid w:val="42605623"/>
    <w:rsid w:val="42693F02"/>
    <w:rsid w:val="42695622"/>
    <w:rsid w:val="42980EEF"/>
    <w:rsid w:val="42A71DE3"/>
    <w:rsid w:val="42D73111"/>
    <w:rsid w:val="42E268CE"/>
    <w:rsid w:val="435B43F6"/>
    <w:rsid w:val="44615A3C"/>
    <w:rsid w:val="455D2936"/>
    <w:rsid w:val="47D046A0"/>
    <w:rsid w:val="4950607F"/>
    <w:rsid w:val="49E656D2"/>
    <w:rsid w:val="4A1D3A8C"/>
    <w:rsid w:val="4A3774D5"/>
    <w:rsid w:val="4A673C54"/>
    <w:rsid w:val="4AD12446"/>
    <w:rsid w:val="4ADD35DB"/>
    <w:rsid w:val="4B6E218B"/>
    <w:rsid w:val="4B83273C"/>
    <w:rsid w:val="4BE45B54"/>
    <w:rsid w:val="4BED4C7B"/>
    <w:rsid w:val="4CD60B0D"/>
    <w:rsid w:val="4D2A29AE"/>
    <w:rsid w:val="4D5C0978"/>
    <w:rsid w:val="4DFF6959"/>
    <w:rsid w:val="4E08517B"/>
    <w:rsid w:val="4E3A0E3B"/>
    <w:rsid w:val="4E4F2DA9"/>
    <w:rsid w:val="4FAFE429"/>
    <w:rsid w:val="4FC7696F"/>
    <w:rsid w:val="4FCE762F"/>
    <w:rsid w:val="4FE6773D"/>
    <w:rsid w:val="4FFBAF22"/>
    <w:rsid w:val="50112E5F"/>
    <w:rsid w:val="501E6ED7"/>
    <w:rsid w:val="50391857"/>
    <w:rsid w:val="510065DD"/>
    <w:rsid w:val="53964C3B"/>
    <w:rsid w:val="54372316"/>
    <w:rsid w:val="543F3687"/>
    <w:rsid w:val="54DA301B"/>
    <w:rsid w:val="555818F4"/>
    <w:rsid w:val="55F50ABA"/>
    <w:rsid w:val="564B02FA"/>
    <w:rsid w:val="56986138"/>
    <w:rsid w:val="56FF174F"/>
    <w:rsid w:val="57883DC5"/>
    <w:rsid w:val="57A203EE"/>
    <w:rsid w:val="57F124D9"/>
    <w:rsid w:val="582D6ECD"/>
    <w:rsid w:val="58433BC3"/>
    <w:rsid w:val="589D0BB5"/>
    <w:rsid w:val="58B8154B"/>
    <w:rsid w:val="5A3E7F6B"/>
    <w:rsid w:val="5BEE2A2D"/>
    <w:rsid w:val="5BFD4B61"/>
    <w:rsid w:val="5BFEEEB9"/>
    <w:rsid w:val="5C3B496D"/>
    <w:rsid w:val="5C835DA4"/>
    <w:rsid w:val="5C9E03A3"/>
    <w:rsid w:val="5CBC4D5E"/>
    <w:rsid w:val="5DA10786"/>
    <w:rsid w:val="5DBD47E8"/>
    <w:rsid w:val="5DC36436"/>
    <w:rsid w:val="5DD906CC"/>
    <w:rsid w:val="5E510478"/>
    <w:rsid w:val="5E5C6742"/>
    <w:rsid w:val="5E766837"/>
    <w:rsid w:val="5EEA09A8"/>
    <w:rsid w:val="5EF332DD"/>
    <w:rsid w:val="5FA267D3"/>
    <w:rsid w:val="5FB711F3"/>
    <w:rsid w:val="5FD34B2E"/>
    <w:rsid w:val="5FE8720C"/>
    <w:rsid w:val="604E1113"/>
    <w:rsid w:val="614B1509"/>
    <w:rsid w:val="61696FB2"/>
    <w:rsid w:val="62A414BE"/>
    <w:rsid w:val="62A72510"/>
    <w:rsid w:val="62F12D86"/>
    <w:rsid w:val="63A22E71"/>
    <w:rsid w:val="63DD3261"/>
    <w:rsid w:val="64075BDA"/>
    <w:rsid w:val="651F307E"/>
    <w:rsid w:val="65827169"/>
    <w:rsid w:val="65E240AB"/>
    <w:rsid w:val="66F703CC"/>
    <w:rsid w:val="68837508"/>
    <w:rsid w:val="68AD73E4"/>
    <w:rsid w:val="6A52203C"/>
    <w:rsid w:val="6AFF00F2"/>
    <w:rsid w:val="6B4E23EA"/>
    <w:rsid w:val="6B9D2F4E"/>
    <w:rsid w:val="6BA936A1"/>
    <w:rsid w:val="6BFB5EC7"/>
    <w:rsid w:val="6C4F1E88"/>
    <w:rsid w:val="6CFEC4DC"/>
    <w:rsid w:val="6D57537F"/>
    <w:rsid w:val="6DBE68FE"/>
    <w:rsid w:val="6EC82F51"/>
    <w:rsid w:val="6EE7ADAF"/>
    <w:rsid w:val="6F0118FB"/>
    <w:rsid w:val="6F1F51D8"/>
    <w:rsid w:val="6F2F2072"/>
    <w:rsid w:val="6FB6DD6C"/>
    <w:rsid w:val="70E77AE2"/>
    <w:rsid w:val="71164BAB"/>
    <w:rsid w:val="719F5F35"/>
    <w:rsid w:val="71B2527A"/>
    <w:rsid w:val="71F7E6A0"/>
    <w:rsid w:val="72BF6E30"/>
    <w:rsid w:val="72F86CBC"/>
    <w:rsid w:val="73571C35"/>
    <w:rsid w:val="736F14B1"/>
    <w:rsid w:val="736F2F6C"/>
    <w:rsid w:val="738E51DF"/>
    <w:rsid w:val="73A11102"/>
    <w:rsid w:val="73BFEAD0"/>
    <w:rsid w:val="73FB740F"/>
    <w:rsid w:val="741FC724"/>
    <w:rsid w:val="74546174"/>
    <w:rsid w:val="7479E77C"/>
    <w:rsid w:val="74FF42C9"/>
    <w:rsid w:val="757C7081"/>
    <w:rsid w:val="76420A34"/>
    <w:rsid w:val="76D96E05"/>
    <w:rsid w:val="76F16235"/>
    <w:rsid w:val="77204A34"/>
    <w:rsid w:val="77A4EA1F"/>
    <w:rsid w:val="77D238E5"/>
    <w:rsid w:val="77EE41A8"/>
    <w:rsid w:val="77FCD03E"/>
    <w:rsid w:val="77FFA9B4"/>
    <w:rsid w:val="787F133D"/>
    <w:rsid w:val="78EA00BA"/>
    <w:rsid w:val="79EE5AD5"/>
    <w:rsid w:val="7A2741E7"/>
    <w:rsid w:val="7A6390F1"/>
    <w:rsid w:val="7AF577F4"/>
    <w:rsid w:val="7B8228A1"/>
    <w:rsid w:val="7BB3A749"/>
    <w:rsid w:val="7BD858DD"/>
    <w:rsid w:val="7BDF910D"/>
    <w:rsid w:val="7C0B5CB2"/>
    <w:rsid w:val="7C2A605D"/>
    <w:rsid w:val="7C776B7F"/>
    <w:rsid w:val="7CE612DD"/>
    <w:rsid w:val="7E283678"/>
    <w:rsid w:val="7EE54B20"/>
    <w:rsid w:val="7F3DFEC3"/>
    <w:rsid w:val="7F7211B1"/>
    <w:rsid w:val="7F8C710A"/>
    <w:rsid w:val="7FBD3767"/>
    <w:rsid w:val="7FDFEE12"/>
    <w:rsid w:val="7FF8DCFF"/>
    <w:rsid w:val="7FFB2D61"/>
    <w:rsid w:val="8F7F6C89"/>
    <w:rsid w:val="9D5B4DCC"/>
    <w:rsid w:val="9E5D5468"/>
    <w:rsid w:val="AECF8EB8"/>
    <w:rsid w:val="AFDB387C"/>
    <w:rsid w:val="BFFB478C"/>
    <w:rsid w:val="CFFA544B"/>
    <w:rsid w:val="D5CF1924"/>
    <w:rsid w:val="D7E1D983"/>
    <w:rsid w:val="DAB79E35"/>
    <w:rsid w:val="DBFF8918"/>
    <w:rsid w:val="DF5B7DBF"/>
    <w:rsid w:val="DFB7F630"/>
    <w:rsid w:val="DFF3FF19"/>
    <w:rsid w:val="EFD7603F"/>
    <w:rsid w:val="F2FD01AC"/>
    <w:rsid w:val="F5CC22F8"/>
    <w:rsid w:val="F6A1191E"/>
    <w:rsid w:val="F6AFAA41"/>
    <w:rsid w:val="F7E09A21"/>
    <w:rsid w:val="F9FBA920"/>
    <w:rsid w:val="FAF78A88"/>
    <w:rsid w:val="FBAB11D8"/>
    <w:rsid w:val="FBB79D8F"/>
    <w:rsid w:val="FBFFB937"/>
    <w:rsid w:val="FDCBB794"/>
    <w:rsid w:val="FEB20FE4"/>
    <w:rsid w:val="FEFD5DE1"/>
    <w:rsid w:val="FF7D41BC"/>
    <w:rsid w:val="FFBD98DC"/>
    <w:rsid w:val="FFD719EE"/>
    <w:rsid w:val="FFDF03EA"/>
    <w:rsid w:val="FFEFBEA3"/>
    <w:rsid w:val="FFF7A456"/>
    <w:rsid w:val="FFF93317"/>
    <w:rsid w:val="FFFEAC0E"/>
    <w:rsid w:val="FFFF2E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emailstyle15"/>
    <w:basedOn w:val="11"/>
    <w:qFormat/>
    <w:uiPriority w:val="0"/>
    <w:rPr>
      <w:rFonts w:hint="eastAsia" w:ascii="等线" w:hAnsi="等线" w:eastAsia="等线" w:cs="Times New Roman"/>
      <w:color w:val="auto"/>
      <w:sz w:val="21"/>
      <w:szCs w:val="22"/>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1"/>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4349D-2D2E-4E97-A4A3-18E5A0C7E23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2831</Words>
  <Characters>2966</Characters>
  <Lines>21</Lines>
  <Paragraphs>5</Paragraphs>
  <TotalTime>45</TotalTime>
  <ScaleCrop>false</ScaleCrop>
  <LinksUpToDate>false</LinksUpToDate>
  <CharactersWithSpaces>3016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2024-04-04T10:13:00Z</dcterms:created>
  <dc:creator>秦誉文</dc:creator>
  <cp:lastModifiedBy>Yu Fan</cp:lastModifiedBy>
  <dcterms:modified xsi:type="dcterms:W3CDTF">2025-08-01T08:49:01Z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eyJoZGlkIjoiOWNhZjVkOGM4MzRkZDQ2Y2IyZjIyODljYjcyOGJhYjciLCJ1c2VySWQiOiIyNTYzMDc2NDQifQ==</vt:lpwstr>
  </property>
  <property fmtid="{D5CDD505-2E9C-101B-9397-08002B2CF9AE}" pid="4" name="ICV">
    <vt:lpwstr>B52BA013761B46F4BB585B9FE29F8397_12</vt:lpwstr>
  </property>
</Properties>
</file>