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jc w:val="center"/>
        <w:rPr>
          <w:rFonts w:ascii="CTBiaoSongSJ" w:eastAsia="CTBiaoSongSJ"/>
          <w:sz w:val="44"/>
          <w:szCs w:val="44"/>
        </w:rPr>
      </w:pPr>
      <w:r>
        <w:rPr>
          <w:rFonts w:ascii="CTBiaoSongSJ" w:eastAsia="CTBiaoSongSJ" w:hint="eastAsia"/>
          <w:sz w:val="44"/>
          <w:szCs w:val="44"/>
        </w:rPr>
        <w:t>兖矿能源2</w:t>
      </w:r>
      <w:r>
        <w:rPr>
          <w:rFonts w:ascii="CTBiaoSongSJ" w:eastAsia="CTBiaoSongSJ"/>
          <w:sz w:val="44"/>
          <w:szCs w:val="44"/>
        </w:rPr>
        <w:t>025</w:t>
      </w:r>
      <w:r>
        <w:rPr>
          <w:rFonts w:ascii="CTBiaoSongSJ" w:eastAsia="CTBiaoSongSJ" w:hint="eastAsia"/>
          <w:sz w:val="44"/>
          <w:szCs w:val="44"/>
        </w:rPr>
        <w:t>年第二季度投资者关系活动记录</w:t>
      </w:r>
    </w:p>
    <w:p>
      <w:pPr>
        <w:jc w:val="center"/>
        <w:rPr>
          <w:rFonts w:ascii="CTBiaoSongSJ" w:eastAsia="CTBiaoSongSJ"/>
          <w:sz w:val="44"/>
          <w:szCs w:val="44"/>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985"/>
        <w:gridCol w:w="2542"/>
        <w:gridCol w:w="1568"/>
        <w:gridCol w:w="3251"/>
        <w:gridCol w:w="2561"/>
        <w:gridCol w:w="2126"/>
      </w:tblGrid>
      <w:tr>
        <w:trPr>
          <w:jc w:val="center"/>
        </w:trPr>
        <w:tc>
          <w:tcPr>
            <w:tcW w:w="997" w:type="dxa"/>
            <w:vAlign w:val="center"/>
          </w:tcPr>
          <w:p>
            <w:pPr>
              <w:spacing w:line="400" w:lineRule="exact"/>
              <w:jc w:val="center"/>
              <w:rPr>
                <w:rFonts w:ascii="仿宋_GB2312" w:eastAsia="仿宋_GB2312"/>
                <w:b/>
                <w:bCs/>
                <w:sz w:val="28"/>
                <w:szCs w:val="28"/>
              </w:rPr>
            </w:pPr>
            <w:r>
              <w:rPr>
                <w:rFonts w:ascii="仿宋_GB2312" w:eastAsia="仿宋_GB2312" w:hint="eastAsia"/>
                <w:b/>
                <w:bCs/>
                <w:sz w:val="28"/>
                <w:szCs w:val="28"/>
              </w:rPr>
              <w:t>序号</w:t>
            </w:r>
          </w:p>
        </w:tc>
        <w:tc>
          <w:tcPr>
            <w:tcW w:w="1985" w:type="dxa"/>
            <w:vAlign w:val="center"/>
          </w:tcPr>
          <w:p>
            <w:pPr>
              <w:spacing w:line="400" w:lineRule="exact"/>
              <w:jc w:val="center"/>
              <w:rPr>
                <w:rFonts w:ascii="仿宋_GB2312" w:eastAsia="仿宋_GB2312"/>
                <w:b/>
                <w:bCs/>
                <w:sz w:val="28"/>
                <w:szCs w:val="28"/>
              </w:rPr>
            </w:pPr>
            <w:r>
              <w:rPr>
                <w:rFonts w:ascii="仿宋_GB2312" w:eastAsia="仿宋_GB2312" w:hint="eastAsia"/>
                <w:b/>
                <w:bCs/>
                <w:sz w:val="28"/>
                <w:szCs w:val="28"/>
              </w:rPr>
              <w:t>形式</w:t>
            </w:r>
          </w:p>
        </w:tc>
        <w:tc>
          <w:tcPr>
            <w:tcW w:w="2542"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时间</w:t>
            </w:r>
          </w:p>
        </w:tc>
        <w:tc>
          <w:tcPr>
            <w:tcW w:w="1568"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地点</w:t>
            </w:r>
          </w:p>
        </w:tc>
        <w:tc>
          <w:tcPr>
            <w:tcW w:w="3251"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接待对象</w:t>
            </w:r>
          </w:p>
        </w:tc>
        <w:tc>
          <w:tcPr>
            <w:tcW w:w="2561" w:type="dxa"/>
            <w:vAlign w:val="center"/>
          </w:tcPr>
          <w:p>
            <w:pPr>
              <w:spacing w:line="400" w:lineRule="exact"/>
              <w:jc w:val="center"/>
              <w:rPr>
                <w:rFonts w:ascii="仿宋_GB2312" w:eastAsia="仿宋_GB2312" w:hAnsi="宋体"/>
                <w:b/>
                <w:bCs/>
                <w:sz w:val="28"/>
                <w:szCs w:val="28"/>
              </w:rPr>
            </w:pPr>
            <w:r>
              <w:rPr>
                <w:rFonts w:ascii="仿宋_GB2312" w:eastAsia="仿宋_GB2312" w:hint="eastAsia"/>
                <w:b/>
                <w:bCs/>
                <w:sz w:val="28"/>
                <w:szCs w:val="28"/>
              </w:rPr>
              <w:t>接待人员</w:t>
            </w:r>
          </w:p>
        </w:tc>
        <w:tc>
          <w:tcPr>
            <w:tcW w:w="2126"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是否涉及应当披露重大信息</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4</w:t>
            </w:r>
            <w:r>
              <w:rPr>
                <w:rFonts w:ascii="仿宋_GB2312" w:eastAsia="仿宋_GB2312" w:hAnsi="宋体" w:hint="eastAsia"/>
                <w:sz w:val="28"/>
                <w:szCs w:val="28"/>
              </w:rPr>
              <w:t>月</w:t>
            </w:r>
            <w:r>
              <w:rPr>
                <w:rFonts w:ascii="仿宋_GB2312" w:eastAsia="仿宋_GB2312" w:hAnsi="宋体"/>
                <w:sz w:val="28"/>
                <w:szCs w:val="28"/>
              </w:rPr>
              <w:t>9</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华夏基金、中粮资本、国寿养老</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4</w:t>
            </w:r>
            <w:r>
              <w:rPr>
                <w:rFonts w:ascii="仿宋_GB2312" w:eastAsia="仿宋_GB2312" w:hAnsi="宋体" w:hint="eastAsia"/>
                <w:sz w:val="28"/>
                <w:szCs w:val="28"/>
              </w:rPr>
              <w:t>月</w:t>
            </w:r>
            <w:r>
              <w:rPr>
                <w:rFonts w:ascii="仿宋_GB2312" w:eastAsia="仿宋_GB2312" w:hAnsi="宋体"/>
                <w:sz w:val="28"/>
                <w:szCs w:val="28"/>
              </w:rPr>
              <w:t>10</w:t>
            </w:r>
            <w:r>
              <w:rPr>
                <w:rFonts w:ascii="仿宋_GB2312" w:eastAsia="仿宋_GB2312" w:hAnsi="宋体" w:hint="eastAsia"/>
                <w:sz w:val="28"/>
                <w:szCs w:val="28"/>
              </w:rPr>
              <w:t>日</w:t>
            </w:r>
          </w:p>
        </w:tc>
        <w:tc>
          <w:tcPr>
            <w:tcW w:w="1568" w:type="dxa"/>
            <w:vAlign w:val="center"/>
          </w:tcPr>
          <w:p>
            <w:pPr>
              <w:jc w:val="cente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新华资管、泰康资管</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4</w:t>
            </w:r>
            <w:r>
              <w:rPr>
                <w:rFonts w:ascii="仿宋_GB2312" w:eastAsia="仿宋_GB2312" w:hAnsi="宋体" w:hint="eastAsia"/>
                <w:sz w:val="28"/>
                <w:szCs w:val="28"/>
              </w:rPr>
              <w:t>月</w:t>
            </w:r>
            <w:r>
              <w:rPr>
                <w:rFonts w:ascii="仿宋_GB2312" w:eastAsia="仿宋_GB2312" w:hAnsi="宋体"/>
                <w:sz w:val="28"/>
                <w:szCs w:val="28"/>
              </w:rPr>
              <w:t>14</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南方基金、大成基金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招银理财、鹏华基金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4</w:t>
            </w:r>
            <w:r>
              <w:rPr>
                <w:rFonts w:ascii="仿宋_GB2312" w:eastAsia="仿宋_GB2312" w:hAnsi="宋体" w:hint="eastAsia"/>
                <w:sz w:val="28"/>
                <w:szCs w:val="28"/>
              </w:rPr>
              <w:t>月</w:t>
            </w:r>
            <w:r>
              <w:rPr>
                <w:rFonts w:ascii="仿宋_GB2312" w:eastAsia="仿宋_GB2312" w:hAnsi="宋体"/>
                <w:sz w:val="28"/>
                <w:szCs w:val="28"/>
              </w:rPr>
              <w:t>15</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sz w:val="28"/>
                <w:szCs w:val="28"/>
              </w:rPr>
              <w:t>广州</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易方达基金、广发证券</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4</w:t>
            </w:r>
            <w:r>
              <w:rPr>
                <w:rFonts w:ascii="仿宋_GB2312" w:eastAsia="仿宋_GB2312" w:hAnsi="宋体" w:hint="eastAsia"/>
                <w:sz w:val="28"/>
                <w:szCs w:val="28"/>
              </w:rPr>
              <w:t>月</w:t>
            </w:r>
            <w:r>
              <w:rPr>
                <w:rFonts w:ascii="仿宋_GB2312" w:eastAsia="仿宋_GB2312" w:hAnsi="宋体"/>
                <w:sz w:val="28"/>
                <w:szCs w:val="28"/>
              </w:rPr>
              <w:t>27</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一季度业绩说明投资者</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党委书记、董事、总经理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财务总监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4</w:t>
            </w:r>
            <w:r>
              <w:rPr>
                <w:rFonts w:ascii="仿宋_GB2312" w:eastAsia="仿宋_GB2312" w:hAnsi="宋体" w:hint="eastAsia"/>
                <w:sz w:val="28"/>
                <w:szCs w:val="28"/>
              </w:rPr>
              <w:t>月</w:t>
            </w:r>
            <w:r>
              <w:rPr>
                <w:rFonts w:ascii="仿宋_GB2312" w:eastAsia="仿宋_GB2312" w:hAnsi="宋体"/>
                <w:sz w:val="28"/>
                <w:szCs w:val="28"/>
              </w:rPr>
              <w:t>27</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信达证券及其客户</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国盛证券及其客户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lastRenderedPageBreak/>
              <w:t>相关业务负责人</w:t>
            </w:r>
          </w:p>
        </w:tc>
        <w:tc>
          <w:tcPr>
            <w:tcW w:w="2126" w:type="dxa"/>
            <w:vAlign w:val="center"/>
          </w:tcPr>
          <w:p>
            <w:pPr>
              <w:jc w:val="center"/>
            </w:pPr>
            <w:r>
              <w:rPr>
                <w:rFonts w:ascii="仿宋_GB2312" w:eastAsia="仿宋_GB2312" w:hAnsi="宋体" w:hint="eastAsia"/>
                <w:sz w:val="28"/>
                <w:szCs w:val="28"/>
              </w:rPr>
              <w:lastRenderedPageBreak/>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400" w:lineRule="exact"/>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4</w:t>
            </w:r>
            <w:r>
              <w:rPr>
                <w:rFonts w:ascii="仿宋_GB2312" w:eastAsia="仿宋_GB2312" w:hAnsi="宋体" w:hint="eastAsia"/>
                <w:sz w:val="28"/>
                <w:szCs w:val="28"/>
              </w:rPr>
              <w:t>月</w:t>
            </w:r>
            <w:r>
              <w:rPr>
                <w:rFonts w:ascii="仿宋_GB2312" w:eastAsia="仿宋_GB2312" w:hAnsi="宋体"/>
                <w:sz w:val="28"/>
                <w:szCs w:val="28"/>
              </w:rPr>
              <w:t>28</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长江证券及其客户</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开源证券及其客户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4</w:t>
            </w:r>
            <w:r>
              <w:rPr>
                <w:rFonts w:ascii="仿宋_GB2312" w:eastAsia="仿宋_GB2312" w:hAnsi="宋体" w:hint="eastAsia"/>
                <w:sz w:val="28"/>
                <w:szCs w:val="28"/>
              </w:rPr>
              <w:t>月</w:t>
            </w:r>
            <w:r>
              <w:rPr>
                <w:rFonts w:ascii="仿宋_GB2312" w:eastAsia="仿宋_GB2312" w:hAnsi="宋体"/>
                <w:sz w:val="28"/>
                <w:szCs w:val="28"/>
              </w:rPr>
              <w:t>29</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申万宏源及其客户</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民生证券及其客户</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中泰证券及其客户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7</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东吴证券自营</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党委书记、董事、总经理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7</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华泰柏瑞</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富国基金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8</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东方证券、国泰君安</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平安资管、招商基金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银华基金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9</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中银基金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13</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陕西榆林</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反路演投资者</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独立董事</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19</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富国基金、新华资产</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千禧基金、柏骏资本</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20</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益尚资本、守正基金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贝莱德、璞林资本</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21</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广发证券及其客户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27</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扬州</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国盛证券及其客户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28</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方正证券及其客户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29</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中信证券及其客户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2025年5月29日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股东大会参会投资者</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第九届董监高</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w:t>
            </w:r>
            <w:r>
              <w:rPr>
                <w:rFonts w:ascii="仿宋_GB2312" w:eastAsia="仿宋_GB2312" w:hAnsi="宋体"/>
                <w:sz w:val="28"/>
                <w:szCs w:val="28"/>
              </w:rPr>
              <w:t>6</w:t>
            </w:r>
            <w:r>
              <w:rPr>
                <w:rFonts w:ascii="仿宋_GB2312" w:eastAsia="仿宋_GB2312" w:hAnsi="宋体" w:hint="eastAsia"/>
                <w:sz w:val="28"/>
                <w:szCs w:val="28"/>
              </w:rPr>
              <w:t>月</w:t>
            </w:r>
            <w:r>
              <w:rPr>
                <w:rFonts w:ascii="仿宋_GB2312" w:eastAsia="仿宋_GB2312" w:hAnsi="宋体"/>
                <w:sz w:val="28"/>
                <w:szCs w:val="28"/>
              </w:rPr>
              <w:t>5</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上交所集体业绩说明会</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党委书记、董事、总经理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独立董事</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w:t>
            </w:r>
            <w:r>
              <w:rPr>
                <w:rFonts w:ascii="仿宋_GB2312" w:eastAsia="仿宋_GB2312" w:hAnsi="宋体"/>
                <w:sz w:val="28"/>
                <w:szCs w:val="28"/>
              </w:rPr>
              <w:t>6</w:t>
            </w:r>
            <w:r>
              <w:rPr>
                <w:rFonts w:ascii="仿宋_GB2312" w:eastAsia="仿宋_GB2312" w:hAnsi="宋体" w:hint="eastAsia"/>
                <w:sz w:val="28"/>
                <w:szCs w:val="28"/>
              </w:rPr>
              <w:t>月</w:t>
            </w:r>
            <w:r>
              <w:rPr>
                <w:rFonts w:ascii="仿宋_GB2312" w:eastAsia="仿宋_GB2312" w:hAnsi="宋体"/>
                <w:sz w:val="28"/>
                <w:szCs w:val="28"/>
              </w:rPr>
              <w:t>5</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国盛证券及客户、</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华宝基金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w:t>
            </w:r>
            <w:r>
              <w:rPr>
                <w:rFonts w:ascii="仿宋_GB2312" w:eastAsia="仿宋_GB2312" w:hAnsi="宋体"/>
                <w:sz w:val="28"/>
                <w:szCs w:val="28"/>
              </w:rPr>
              <w:t>6</w:t>
            </w:r>
            <w:r>
              <w:rPr>
                <w:rFonts w:ascii="仿宋_GB2312" w:eastAsia="仿宋_GB2312" w:hAnsi="宋体" w:hint="eastAsia"/>
                <w:sz w:val="28"/>
                <w:szCs w:val="28"/>
              </w:rPr>
              <w:t>月</w:t>
            </w:r>
            <w:r>
              <w:rPr>
                <w:rFonts w:ascii="仿宋_GB2312" w:eastAsia="仿宋_GB2312" w:hAnsi="宋体"/>
                <w:sz w:val="28"/>
                <w:szCs w:val="28"/>
              </w:rPr>
              <w:t>12</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中金公司及其客户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w:t>
            </w:r>
            <w:r>
              <w:rPr>
                <w:rFonts w:ascii="仿宋_GB2312" w:eastAsia="仿宋_GB2312" w:hAnsi="宋体"/>
                <w:sz w:val="28"/>
                <w:szCs w:val="28"/>
              </w:rPr>
              <w:t>6</w:t>
            </w:r>
            <w:r>
              <w:rPr>
                <w:rFonts w:ascii="仿宋_GB2312" w:eastAsia="仿宋_GB2312" w:hAnsi="宋体" w:hint="eastAsia"/>
                <w:sz w:val="28"/>
                <w:szCs w:val="28"/>
              </w:rPr>
              <w:t>月</w:t>
            </w:r>
            <w:r>
              <w:rPr>
                <w:rFonts w:ascii="仿宋_GB2312" w:eastAsia="仿宋_GB2312" w:hAnsi="宋体"/>
                <w:sz w:val="28"/>
                <w:szCs w:val="28"/>
              </w:rPr>
              <w:t>12</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东方财富、华福证券</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2025年6月25日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泰康资产</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tcBorders>
              <w:bottom w:val="single" w:sz="4" w:space="0" w:color="auto"/>
            </w:tcBorders>
            <w:shd w:val="clear" w:color="auto" w:fill="FFFFFF"/>
          </w:tcPr>
          <w:p>
            <w:pPr>
              <w:snapToGrid w:val="0"/>
              <w:spacing w:line="440" w:lineRule="exact"/>
              <w:ind w:firstLineChars="200" w:firstLine="562"/>
              <w:rPr>
                <w:rFonts w:ascii="宋体" w:hAnsi="宋体"/>
                <w:b/>
                <w:sz w:val="28"/>
                <w:szCs w:val="28"/>
              </w:rPr>
            </w:pPr>
          </w:p>
        </w:tc>
        <w:tc>
          <w:tcPr>
            <w:tcW w:w="14033" w:type="dxa"/>
            <w:gridSpan w:val="6"/>
            <w:tcBorders>
              <w:bottom w:val="single" w:sz="4" w:space="0" w:color="auto"/>
            </w:tcBorders>
            <w:shd w:val="clear" w:color="auto" w:fill="FFFFFF"/>
            <w:vAlign w:val="center"/>
          </w:tcPr>
          <w:p>
            <w:pPr>
              <w:snapToGrid w:val="0"/>
              <w:spacing w:line="440" w:lineRule="exact"/>
              <w:ind w:firstLineChars="200" w:firstLine="562"/>
              <w:rPr>
                <w:rFonts w:ascii="宋体" w:hAnsi="宋体"/>
                <w:b/>
                <w:sz w:val="28"/>
                <w:szCs w:val="28"/>
              </w:rPr>
            </w:pPr>
            <w:r>
              <w:rPr>
                <w:rFonts w:ascii="宋体" w:hAnsi="宋体" w:hint="eastAsia"/>
                <w:b/>
                <w:sz w:val="28"/>
                <w:szCs w:val="28"/>
              </w:rPr>
              <w:t>主要交流内容：</w:t>
            </w:r>
          </w:p>
          <w:p>
            <w:pPr>
              <w:snapToGrid w:val="0"/>
              <w:spacing w:line="440" w:lineRule="exact"/>
              <w:ind w:firstLineChars="200" w:firstLine="560"/>
              <w:rPr>
                <w:rFonts w:ascii="宋体" w:hAnsi="宋体"/>
                <w:bCs/>
                <w:sz w:val="28"/>
                <w:szCs w:val="28"/>
              </w:rPr>
            </w:pPr>
            <w:r>
              <w:rPr>
                <w:rFonts w:ascii="宋体" w:hAnsi="宋体" w:hint="eastAsia"/>
                <w:bCs/>
                <w:sz w:val="28"/>
                <w:szCs w:val="28"/>
              </w:rPr>
              <w:t>一、公司一季度商品煤产量如何？25年商品煤产量计划？</w:t>
            </w:r>
          </w:p>
          <w:p>
            <w:pPr>
              <w:snapToGrid w:val="0"/>
              <w:spacing w:line="440" w:lineRule="exact"/>
              <w:ind w:firstLineChars="200" w:firstLine="560"/>
              <w:rPr>
                <w:rFonts w:ascii="宋体" w:hAnsi="宋体"/>
                <w:bCs/>
                <w:sz w:val="28"/>
                <w:szCs w:val="28"/>
              </w:rPr>
            </w:pPr>
            <w:r>
              <w:rPr>
                <w:rFonts w:ascii="宋体" w:hAnsi="宋体" w:hint="eastAsia"/>
                <w:bCs/>
                <w:sz w:val="28"/>
                <w:szCs w:val="28"/>
              </w:rPr>
              <w:t>2025年一季度本集团商品煤产量3680万吨，同比增加217万吨或6.3%。其中：</w:t>
            </w:r>
          </w:p>
          <w:p>
            <w:pPr>
              <w:snapToGrid w:val="0"/>
              <w:spacing w:line="440" w:lineRule="exact"/>
              <w:ind w:firstLineChars="200" w:firstLine="560"/>
              <w:rPr>
                <w:rFonts w:ascii="宋体" w:hAnsi="宋体"/>
                <w:bCs/>
                <w:sz w:val="28"/>
                <w:szCs w:val="28"/>
              </w:rPr>
            </w:pPr>
            <w:r>
              <w:rPr>
                <w:rFonts w:ascii="宋体" w:hAnsi="宋体" w:hint="eastAsia"/>
                <w:bCs/>
                <w:sz w:val="28"/>
                <w:szCs w:val="28"/>
              </w:rPr>
              <w:t>山东基地产量900万吨，同比2024年905万吨减少4万吨或0.5%。</w:t>
            </w:r>
          </w:p>
          <w:p>
            <w:pPr>
              <w:snapToGrid w:val="0"/>
              <w:spacing w:line="440" w:lineRule="exact"/>
              <w:ind w:firstLineChars="200" w:firstLine="560"/>
              <w:rPr>
                <w:rFonts w:ascii="宋体" w:hAnsi="宋体"/>
                <w:bCs/>
                <w:sz w:val="28"/>
                <w:szCs w:val="28"/>
              </w:rPr>
            </w:pPr>
            <w:r>
              <w:rPr>
                <w:rFonts w:ascii="宋体" w:hAnsi="宋体" w:hint="eastAsia"/>
                <w:bCs/>
                <w:sz w:val="28"/>
                <w:szCs w:val="28"/>
              </w:rPr>
              <w:t>陕蒙基地产量1148万吨，同比2024年1018万吨增加129万吨或12.7%；</w:t>
            </w:r>
          </w:p>
          <w:p>
            <w:pPr>
              <w:snapToGrid w:val="0"/>
              <w:spacing w:line="440" w:lineRule="exact"/>
              <w:ind w:firstLineChars="200" w:firstLine="560"/>
              <w:rPr>
                <w:rFonts w:ascii="宋体" w:hAnsi="宋体"/>
                <w:bCs/>
                <w:sz w:val="28"/>
                <w:szCs w:val="28"/>
              </w:rPr>
            </w:pPr>
            <w:r>
              <w:rPr>
                <w:rFonts w:ascii="宋体" w:hAnsi="宋体" w:hint="eastAsia"/>
                <w:bCs/>
                <w:sz w:val="28"/>
                <w:szCs w:val="28"/>
              </w:rPr>
              <w:t>新疆基地产量551万吨，同比2024年528万吨增加22万吨或4.3%；</w:t>
            </w:r>
          </w:p>
          <w:p>
            <w:pPr>
              <w:snapToGrid w:val="0"/>
              <w:spacing w:line="440" w:lineRule="exact"/>
              <w:ind w:firstLineChars="200" w:firstLine="560"/>
              <w:rPr>
                <w:rFonts w:ascii="宋体" w:hAnsi="宋体"/>
                <w:bCs/>
                <w:sz w:val="28"/>
                <w:szCs w:val="28"/>
              </w:rPr>
            </w:pPr>
            <w:r>
              <w:rPr>
                <w:rFonts w:ascii="宋体" w:hAnsi="宋体" w:hint="eastAsia"/>
                <w:bCs/>
                <w:sz w:val="28"/>
                <w:szCs w:val="28"/>
              </w:rPr>
              <w:t>澳洲基地产量1081万吨，同比2024年1012万吨增加69万吨或6.8%。</w:t>
            </w:r>
          </w:p>
          <w:p>
            <w:pPr>
              <w:snapToGrid w:val="0"/>
              <w:spacing w:line="440" w:lineRule="exact"/>
              <w:ind w:firstLineChars="200" w:firstLine="560"/>
              <w:rPr>
                <w:rFonts w:ascii="宋体" w:hAnsi="宋体"/>
                <w:bCs/>
                <w:sz w:val="28"/>
                <w:szCs w:val="28"/>
              </w:rPr>
            </w:pPr>
            <w:r>
              <w:rPr>
                <w:rFonts w:ascii="宋体" w:hAnsi="宋体" w:hint="eastAsia"/>
                <w:bCs/>
                <w:sz w:val="28"/>
                <w:szCs w:val="28"/>
              </w:rPr>
              <w:t>随着新疆五彩湾四号露天矿建成投产和万福煤矿的逐步达产，公司对于完成全年商品煤产量目标1.55-1.6亿吨充满信心。此外，本集团2025年7月完成了西北矿业并表，为公司贡献商品煤产量约3000万吨，公司年内合并口径商品煤产量有望达到1.8亿-1.9亿吨。</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t>二、公司2025年第一季度吨煤销售成本如何？能否进一步下降？</w:t>
            </w:r>
          </w:p>
          <w:p>
            <w:pPr>
              <w:snapToGrid w:val="0"/>
              <w:spacing w:line="440" w:lineRule="exact"/>
              <w:ind w:firstLineChars="200" w:firstLine="560"/>
              <w:rPr>
                <w:rFonts w:ascii="宋体" w:hAnsi="宋体"/>
                <w:bCs/>
                <w:sz w:val="28"/>
                <w:szCs w:val="28"/>
              </w:rPr>
            </w:pPr>
            <w:r>
              <w:rPr>
                <w:rFonts w:ascii="宋体" w:hAnsi="宋体" w:hint="eastAsia"/>
                <w:bCs/>
                <w:sz w:val="28"/>
                <w:szCs w:val="28"/>
              </w:rPr>
              <w:t>2025年第一季度本集团自产商品煤吨煤销售成本318元/吨，同比下降51元/吨或13.8%。后续公司将继续加强控本降费力度，有效对冲煤价下降影响。</w:t>
            </w:r>
          </w:p>
          <w:p>
            <w:pPr>
              <w:snapToGrid w:val="0"/>
              <w:spacing w:line="440" w:lineRule="exact"/>
              <w:ind w:firstLineChars="200" w:firstLine="560"/>
              <w:rPr>
                <w:rFonts w:ascii="宋体" w:hAnsi="宋体"/>
                <w:bCs/>
                <w:sz w:val="28"/>
                <w:szCs w:val="28"/>
              </w:rPr>
            </w:pPr>
            <w:r>
              <w:rPr>
                <w:rFonts w:ascii="宋体" w:hAnsi="宋体" w:hint="eastAsia"/>
                <w:bCs/>
                <w:sz w:val="28"/>
                <w:szCs w:val="28"/>
              </w:rPr>
              <w:lastRenderedPageBreak/>
              <w:t>公司成本管控措施主要体现在：</w:t>
            </w:r>
          </w:p>
          <w:p>
            <w:pPr>
              <w:snapToGrid w:val="0"/>
              <w:spacing w:line="440" w:lineRule="exact"/>
              <w:ind w:firstLineChars="200" w:firstLine="560"/>
              <w:rPr>
                <w:rFonts w:ascii="宋体" w:hAnsi="宋体"/>
                <w:bCs/>
                <w:sz w:val="28"/>
                <w:szCs w:val="28"/>
              </w:rPr>
            </w:pPr>
            <w:r>
              <w:rPr>
                <w:rFonts w:ascii="宋体" w:hAnsi="宋体" w:hint="eastAsia"/>
                <w:bCs/>
                <w:sz w:val="28"/>
                <w:szCs w:val="28"/>
              </w:rPr>
              <w:t>一是强化生产降本。优化工艺流程和生产组织，提高生产效率。加大生产作业全流程管控，逐项分析生产单位产品单耗，重点压减材料、修理、设备租赁等费用。</w:t>
            </w:r>
          </w:p>
          <w:p>
            <w:pPr>
              <w:snapToGrid w:val="0"/>
              <w:spacing w:line="440" w:lineRule="exact"/>
              <w:ind w:firstLineChars="200" w:firstLine="560"/>
              <w:rPr>
                <w:rFonts w:ascii="宋体" w:hAnsi="宋体"/>
                <w:bCs/>
                <w:sz w:val="28"/>
                <w:szCs w:val="28"/>
              </w:rPr>
            </w:pPr>
            <w:r>
              <w:rPr>
                <w:rFonts w:ascii="宋体" w:hAnsi="宋体" w:hint="eastAsia"/>
                <w:bCs/>
                <w:sz w:val="28"/>
                <w:szCs w:val="28"/>
              </w:rPr>
              <w:t>二是深化管理降本。充分发挥财务共享平台刚性控制功能，分产业、分单位制定控费措施，严禁预算外支出。持续深化“六定管理”，优化人力资源配置，实现控员提效。</w:t>
            </w:r>
          </w:p>
          <w:p>
            <w:pPr>
              <w:snapToGrid w:val="0"/>
              <w:spacing w:line="440" w:lineRule="exact"/>
              <w:ind w:firstLineChars="200" w:firstLine="560"/>
              <w:rPr>
                <w:rFonts w:ascii="宋体" w:hAnsi="宋体"/>
                <w:bCs/>
                <w:sz w:val="28"/>
                <w:szCs w:val="28"/>
              </w:rPr>
            </w:pPr>
            <w:r>
              <w:rPr>
                <w:rFonts w:ascii="宋体" w:hAnsi="宋体" w:hint="eastAsia"/>
                <w:bCs/>
                <w:sz w:val="28"/>
                <w:szCs w:val="28"/>
              </w:rPr>
              <w:t>三是加强资金管理。强化资金集中管理，提高资金使用效率；用足用好国家专项贷款、利率优惠等资金政策，多措并举获取低成本资金；拓展融资渠道，强化低息置换高息。</w:t>
            </w:r>
          </w:p>
          <w:p>
            <w:pPr>
              <w:snapToGrid w:val="0"/>
              <w:spacing w:line="440" w:lineRule="exact"/>
              <w:ind w:firstLineChars="200" w:firstLine="560"/>
              <w:rPr>
                <w:rFonts w:ascii="宋体" w:hAnsi="宋体"/>
                <w:bCs/>
                <w:sz w:val="28"/>
                <w:szCs w:val="28"/>
              </w:rPr>
            </w:pPr>
            <w:r>
              <w:rPr>
                <w:rFonts w:ascii="宋体" w:hAnsi="宋体" w:hint="eastAsia"/>
                <w:bCs/>
                <w:sz w:val="28"/>
                <w:szCs w:val="28"/>
              </w:rPr>
              <w:t>四是优化物流管理。发挥物流多式联运、物销协同优势，定期分析铁运、汽运、水运效益，优化渠道、运输、储存和结算方式，降低销售费用。</w:t>
            </w:r>
          </w:p>
          <w:p>
            <w:pPr>
              <w:snapToGrid w:val="0"/>
              <w:spacing w:line="440" w:lineRule="exact"/>
              <w:ind w:firstLineChars="200" w:firstLine="560"/>
              <w:rPr>
                <w:rFonts w:ascii="宋体" w:hAnsi="宋体"/>
                <w:bCs/>
                <w:sz w:val="28"/>
                <w:szCs w:val="28"/>
              </w:rPr>
            </w:pPr>
            <w:r>
              <w:rPr>
                <w:rFonts w:ascii="宋体" w:hAnsi="宋体" w:hint="eastAsia"/>
                <w:bCs/>
                <w:sz w:val="28"/>
                <w:szCs w:val="28"/>
              </w:rPr>
              <w:t>五是盘活存量资产。加大清仓利库、修旧利废和闲置资产盘活，加强设备统筹管理，降低存量物资。</w:t>
            </w:r>
          </w:p>
          <w:p>
            <w:pPr>
              <w:snapToGrid w:val="0"/>
              <w:spacing w:line="440" w:lineRule="exact"/>
              <w:ind w:firstLineChars="200" w:firstLine="560"/>
              <w:rPr>
                <w:rFonts w:ascii="宋体" w:hAnsi="宋体"/>
                <w:bCs/>
                <w:sz w:val="28"/>
                <w:szCs w:val="28"/>
              </w:rPr>
            </w:pPr>
            <w:r>
              <w:rPr>
                <w:rFonts w:ascii="宋体" w:hAnsi="宋体" w:hint="eastAsia"/>
                <w:bCs/>
                <w:sz w:val="28"/>
                <w:szCs w:val="28"/>
              </w:rPr>
              <w:t>六是严控采购成本。把控采购源头支出，加大集中采购、统谈分签、比价采购，确保采购降本。</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t>三、近期煤炭市场价格表现？</w:t>
            </w:r>
          </w:p>
          <w:p>
            <w:pPr>
              <w:snapToGrid w:val="0"/>
              <w:spacing w:line="440" w:lineRule="exact"/>
              <w:ind w:firstLineChars="200" w:firstLine="560"/>
              <w:rPr>
                <w:rFonts w:ascii="宋体" w:hAnsi="宋体"/>
                <w:bCs/>
                <w:sz w:val="28"/>
                <w:szCs w:val="28"/>
              </w:rPr>
            </w:pPr>
            <w:r>
              <w:rPr>
                <w:rFonts w:ascii="宋体" w:hAnsi="宋体" w:hint="eastAsia"/>
                <w:bCs/>
                <w:sz w:val="28"/>
                <w:szCs w:val="28"/>
              </w:rPr>
              <w:t>2025年上半年，国内主产区煤炭产能稳定释放，进口煤量保持高位，全社会煤炭消费回落，新能源发电占比提升抑制火电需求，电厂日耗偏低、社会库存高位运行，国内煤炭市场供需相对宽松，煤炭价格震荡下行。</w:t>
            </w:r>
          </w:p>
          <w:p>
            <w:pPr>
              <w:snapToGrid w:val="0"/>
              <w:spacing w:line="440" w:lineRule="exact"/>
              <w:ind w:firstLineChars="200" w:firstLine="560"/>
              <w:rPr>
                <w:rFonts w:ascii="宋体" w:hAnsi="宋体"/>
                <w:bCs/>
                <w:sz w:val="28"/>
                <w:szCs w:val="28"/>
              </w:rPr>
            </w:pPr>
            <w:r>
              <w:rPr>
                <w:rFonts w:ascii="宋体" w:hAnsi="宋体" w:hint="eastAsia"/>
                <w:bCs/>
                <w:sz w:val="28"/>
                <w:szCs w:val="28"/>
              </w:rPr>
              <w:t>6月底以来，随着国内高温扩散，电厂日耗增加，煤价筑底反弹。预计在政府“反内卷”、查超产的政策支持下，下半年煤炭市场供需关系有望边际改善，煤炭价格修复性回升。</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lastRenderedPageBreak/>
              <w:t>四、公司202</w:t>
            </w:r>
            <w:r>
              <w:rPr>
                <w:rFonts w:ascii="宋体" w:hAnsi="宋体"/>
                <w:bCs/>
                <w:sz w:val="28"/>
                <w:szCs w:val="28"/>
              </w:rPr>
              <w:t>5</w:t>
            </w:r>
            <w:r>
              <w:rPr>
                <w:rFonts w:ascii="宋体" w:hAnsi="宋体" w:hint="eastAsia"/>
                <w:bCs/>
                <w:sz w:val="28"/>
                <w:szCs w:val="28"/>
              </w:rPr>
              <w:t xml:space="preserve">年煤炭中长期合同？ </w:t>
            </w:r>
          </w:p>
          <w:p>
            <w:pPr>
              <w:snapToGrid w:val="0"/>
              <w:spacing w:line="440" w:lineRule="exact"/>
              <w:ind w:firstLineChars="200" w:firstLine="560"/>
              <w:rPr>
                <w:rFonts w:ascii="宋体" w:hAnsi="宋体"/>
                <w:bCs/>
                <w:sz w:val="28"/>
                <w:szCs w:val="28"/>
              </w:rPr>
            </w:pPr>
            <w:r>
              <w:rPr>
                <w:rFonts w:ascii="宋体" w:hAnsi="宋体" w:hint="eastAsia"/>
                <w:bCs/>
                <w:sz w:val="28"/>
                <w:szCs w:val="28"/>
              </w:rPr>
              <w:t>公司已按照相关政策规定签订202</w:t>
            </w:r>
            <w:r>
              <w:rPr>
                <w:rFonts w:ascii="宋体" w:hAnsi="宋体"/>
                <w:bCs/>
                <w:sz w:val="28"/>
                <w:szCs w:val="28"/>
              </w:rPr>
              <w:t>5</w:t>
            </w:r>
            <w:r>
              <w:rPr>
                <w:rFonts w:ascii="宋体" w:hAnsi="宋体" w:hint="eastAsia"/>
                <w:bCs/>
                <w:sz w:val="28"/>
                <w:szCs w:val="28"/>
              </w:rPr>
              <w:t>年煤炭中长期合同，较202</w:t>
            </w:r>
            <w:r>
              <w:rPr>
                <w:rFonts w:ascii="宋体" w:hAnsi="宋体"/>
                <w:bCs/>
                <w:sz w:val="28"/>
                <w:szCs w:val="28"/>
              </w:rPr>
              <w:t>4</w:t>
            </w:r>
            <w:r>
              <w:rPr>
                <w:rFonts w:ascii="宋体" w:hAnsi="宋体" w:hint="eastAsia"/>
                <w:bCs/>
                <w:sz w:val="28"/>
                <w:szCs w:val="28"/>
              </w:rPr>
              <w:t>年合同签订数量基本持平。</w:t>
            </w:r>
          </w:p>
          <w:p>
            <w:pPr>
              <w:snapToGrid w:val="0"/>
              <w:spacing w:line="440" w:lineRule="exact"/>
              <w:ind w:firstLineChars="200" w:firstLine="560"/>
              <w:rPr>
                <w:rFonts w:ascii="宋体" w:hAnsi="宋体"/>
                <w:bCs/>
                <w:sz w:val="28"/>
                <w:szCs w:val="28"/>
              </w:rPr>
            </w:pPr>
            <w:r>
              <w:rPr>
                <w:rFonts w:ascii="宋体" w:hAnsi="宋体" w:hint="eastAsia"/>
                <w:bCs/>
                <w:sz w:val="28"/>
                <w:szCs w:val="28"/>
              </w:rPr>
              <w:t>电煤中长期合同定价机制与202</w:t>
            </w:r>
            <w:r>
              <w:rPr>
                <w:rFonts w:ascii="宋体" w:hAnsi="宋体"/>
                <w:bCs/>
                <w:sz w:val="28"/>
                <w:szCs w:val="28"/>
              </w:rPr>
              <w:t>4</w:t>
            </w:r>
            <w:r>
              <w:rPr>
                <w:rFonts w:ascii="宋体" w:hAnsi="宋体" w:hint="eastAsia"/>
                <w:bCs/>
                <w:sz w:val="28"/>
                <w:szCs w:val="28"/>
              </w:rPr>
              <w:t>年相同，山东区域定价公式为基准价+浮动价，5500大卡基础价675元/吨。陕蒙区域价格延续执行区域限价，即5500大卡动力煤陕西不超过520元/吨，蒙西不超过460元/吨，山西不超过570元/吨。</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五、“双碳”战略背景下，公司如何看待煤炭发展前景？</w:t>
            </w:r>
          </w:p>
          <w:p>
            <w:pPr>
              <w:snapToGrid w:val="0"/>
              <w:spacing w:line="440" w:lineRule="exact"/>
              <w:ind w:firstLineChars="200" w:firstLine="560"/>
              <w:rPr>
                <w:rFonts w:ascii="宋体" w:hAnsi="宋体"/>
                <w:bCs/>
                <w:sz w:val="28"/>
                <w:szCs w:val="28"/>
              </w:rPr>
            </w:pPr>
            <w:r>
              <w:rPr>
                <w:rFonts w:ascii="宋体" w:hAnsi="宋体" w:hint="eastAsia"/>
                <w:bCs/>
                <w:sz w:val="28"/>
                <w:szCs w:val="28"/>
              </w:rPr>
              <w:t>“双碳”战略背景下，能源结构加速变革调整。近年来，可再生能源投资发展提速，但基于中国“富煤贫油少气”的能源禀赋特征，煤炭仍然是经济、安全、可靠的基础保障能源，中短期内不会被可再生能源大规模取代。</w:t>
            </w:r>
          </w:p>
          <w:p>
            <w:pPr>
              <w:snapToGrid w:val="0"/>
              <w:spacing w:line="440" w:lineRule="exact"/>
              <w:ind w:firstLineChars="200" w:firstLine="560"/>
              <w:rPr>
                <w:rFonts w:ascii="宋体" w:hAnsi="宋体"/>
                <w:bCs/>
                <w:sz w:val="28"/>
                <w:szCs w:val="28"/>
              </w:rPr>
            </w:pPr>
            <w:r>
              <w:rPr>
                <w:rFonts w:ascii="宋体" w:hAnsi="宋体" w:hint="eastAsia"/>
                <w:bCs/>
                <w:sz w:val="28"/>
                <w:szCs w:val="28"/>
              </w:rPr>
              <w:t>“双碳”战略是一场广泛而深刻的变革,中国正在加快新型能源体系建设。兖矿能源将顺应能源变革趋势，积极响应、统筹谋划。一是有序调整传统主导产业。加快煤炭产业转型升级步伐，大力推进智能矿山建设，向绿色智能方向发展；加强煤炭清洁高效利用，延伸发展高端精细煤化工产业，推动高碳能源低碳化。二是加快发展新兴产业。在发挥煤炭兜底保障作用的基础上，积极推动高端装备制造、智慧物流产业实施绿色低碳发展路径，逐步提升绿电产品，锻造新利润增长产业。三是推动传统能源和新能源优化组合。构建多能互补耦合发展格局，稳步布局新能源产业，由“一煤独大”向“多能互补”转变，促进传统能源与新能源协同发展。</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六、兖煤澳洲煤炭主要销往哪些国家和地区？</w:t>
            </w:r>
          </w:p>
          <w:p>
            <w:pPr>
              <w:snapToGrid w:val="0"/>
              <w:spacing w:line="440" w:lineRule="exact"/>
              <w:ind w:firstLineChars="200" w:firstLine="560"/>
              <w:rPr>
                <w:rFonts w:ascii="宋体" w:hAnsi="宋体"/>
                <w:bCs/>
                <w:sz w:val="28"/>
                <w:szCs w:val="28"/>
              </w:rPr>
            </w:pPr>
            <w:r>
              <w:rPr>
                <w:rFonts w:ascii="宋体" w:hAnsi="宋体" w:hint="eastAsia"/>
                <w:bCs/>
                <w:sz w:val="28"/>
                <w:szCs w:val="28"/>
              </w:rPr>
              <w:t>兖煤澳洲的煤炭主要销往中国、日本、韩国、泰国等市场。</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七、兖煤澳洲销售合同定价机制？</w:t>
            </w:r>
          </w:p>
          <w:p>
            <w:pPr>
              <w:snapToGrid w:val="0"/>
              <w:spacing w:line="440" w:lineRule="exact"/>
              <w:ind w:firstLineChars="200" w:firstLine="560"/>
              <w:rPr>
                <w:rFonts w:ascii="宋体" w:hAnsi="宋体"/>
                <w:bCs/>
                <w:sz w:val="28"/>
                <w:szCs w:val="28"/>
              </w:rPr>
            </w:pPr>
            <w:r>
              <w:rPr>
                <w:rFonts w:ascii="宋体" w:hAnsi="宋体" w:hint="eastAsia"/>
                <w:bCs/>
                <w:sz w:val="28"/>
                <w:szCs w:val="28"/>
              </w:rPr>
              <w:t>出口动力煤一般按指数价格或年度固定价格定价。一般而言，较低灰分产品根据纽卡斯尔指数定价，而较高灰分产品则根据API5动力煤指数定价。年度固定价格合约主要根据日本电厂基准价格定价，该参考价格为澳大利亚主要供货商与日本电力公司的合约价格。其余销售按交易当日相对于市场的现货价格定价，大多为固定价格。在此期间，延迟的合约交付会导致实际价格较基准现货价格出现“滞后效应”。</w:t>
            </w:r>
          </w:p>
          <w:p>
            <w:pPr>
              <w:snapToGrid w:val="0"/>
              <w:spacing w:line="440" w:lineRule="exact"/>
              <w:ind w:firstLineChars="200" w:firstLine="560"/>
              <w:rPr>
                <w:rFonts w:ascii="宋体" w:hAnsi="宋体"/>
                <w:bCs/>
                <w:sz w:val="28"/>
                <w:szCs w:val="28"/>
              </w:rPr>
            </w:pPr>
            <w:r>
              <w:rPr>
                <w:rFonts w:ascii="宋体" w:hAnsi="宋体" w:hint="eastAsia"/>
                <w:bCs/>
                <w:sz w:val="28"/>
                <w:szCs w:val="28"/>
              </w:rPr>
              <w:t>出口冶金煤按基准价或现货价格基准定价。大部分定期合约按照澳大利亚主要供货商与日本钢铁厂按季度价格基准协商的定价机制定价。现货销售按当日的市场价（普氏指数）定价。</w:t>
            </w:r>
          </w:p>
          <w:p>
            <w:pPr>
              <w:snapToGrid w:val="0"/>
              <w:spacing w:line="44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八、公司资本开支计划如何？资金能否满足资本开支和分红？</w:t>
            </w:r>
          </w:p>
          <w:p>
            <w:pPr>
              <w:spacing w:line="520" w:lineRule="exact"/>
              <w:ind w:firstLineChars="200" w:firstLine="560"/>
              <w:rPr>
                <w:rFonts w:ascii="宋体" w:hAnsi="宋体"/>
                <w:bCs/>
                <w:sz w:val="28"/>
                <w:szCs w:val="28"/>
              </w:rPr>
            </w:pPr>
            <w:r>
              <w:rPr>
                <w:rFonts w:ascii="宋体" w:hAnsi="宋体" w:hint="eastAsia"/>
                <w:bCs/>
                <w:sz w:val="28"/>
                <w:szCs w:val="28"/>
              </w:rPr>
              <w:t>本集团2024年资本开支计划197亿元，实际支出174亿元，2025年资本开支计划195亿元。未来本集团每年资本开支将维持在目前的水平上，维简费约90亿元，项目建设约100亿元。</w:t>
            </w:r>
          </w:p>
          <w:p>
            <w:pPr>
              <w:spacing w:line="520" w:lineRule="exact"/>
              <w:ind w:firstLineChars="200" w:firstLine="560"/>
              <w:rPr>
                <w:rFonts w:ascii="宋体" w:hAnsi="宋体"/>
                <w:bCs/>
                <w:sz w:val="28"/>
                <w:szCs w:val="28"/>
              </w:rPr>
            </w:pPr>
            <w:r>
              <w:rPr>
                <w:rFonts w:ascii="宋体" w:hAnsi="宋体" w:hint="eastAsia"/>
                <w:bCs/>
                <w:sz w:val="28"/>
                <w:szCs w:val="28"/>
              </w:rPr>
              <w:t>本集团目前拥有较充裕的现金和畅通融资渠道，能够满足资本开支和现金分红的需求。</w:t>
            </w: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九、收购西北矿业的业绩承诺？</w:t>
            </w:r>
          </w:p>
          <w:p>
            <w:pPr>
              <w:spacing w:line="520" w:lineRule="exact"/>
              <w:ind w:firstLineChars="200" w:firstLine="560"/>
              <w:rPr>
                <w:rFonts w:ascii="宋体" w:hAnsi="宋体"/>
                <w:bCs/>
                <w:sz w:val="28"/>
                <w:szCs w:val="28"/>
              </w:rPr>
            </w:pPr>
            <w:r>
              <w:rPr>
                <w:rFonts w:ascii="宋体" w:hAnsi="宋体" w:hint="eastAsia"/>
                <w:bCs/>
                <w:sz w:val="28"/>
                <w:szCs w:val="28"/>
              </w:rPr>
              <w:t>为最大程度保护上市公司及股东利益，公司收购山东能源集团西北矿业有限公司（“西北矿业”）股权的交易设置了业绩承诺条款，西北矿业原股东方承诺西北矿业2025-2027三年累计扣非归母净利润不低于71亿元，承诺期</w:t>
            </w:r>
            <w:r>
              <w:rPr>
                <w:rFonts w:ascii="宋体" w:hAnsi="宋体" w:hint="eastAsia"/>
                <w:bCs/>
                <w:sz w:val="28"/>
                <w:szCs w:val="28"/>
              </w:rPr>
              <w:lastRenderedPageBreak/>
              <w:t>满后进行专项审计及评估，若实现净利润与业绩承诺有差距，或承诺期末评估值与本次交易评估值有差距，原股东方按照对应的差额孰高者乘以上市公司收购西北矿业的股权比例予以现金补足。</w:t>
            </w:r>
          </w:p>
          <w:p>
            <w:pPr>
              <w:spacing w:line="520" w:lineRule="exact"/>
              <w:ind w:firstLineChars="200" w:firstLine="560"/>
              <w:rPr>
                <w:rFonts w:ascii="宋体" w:hAnsi="宋体"/>
                <w:bCs/>
                <w:sz w:val="28"/>
                <w:szCs w:val="28"/>
              </w:rPr>
            </w:pPr>
            <w:r>
              <w:rPr>
                <w:rFonts w:ascii="宋体" w:hAnsi="宋体" w:hint="eastAsia"/>
                <w:bCs/>
                <w:sz w:val="28"/>
                <w:szCs w:val="28"/>
              </w:rPr>
              <w:t>上述机制既锁定中短期利润保障，又以资产重估机制防范资产减值风险，充分体现兖矿能源对投资者负责的态度，同时彰显标的资产质量与发展信心。</w:t>
            </w:r>
          </w:p>
          <w:p>
            <w:pPr>
              <w:spacing w:line="52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十、物泊科技的发展规划？</w:t>
            </w:r>
          </w:p>
          <w:p>
            <w:pPr>
              <w:spacing w:line="520" w:lineRule="exact"/>
              <w:ind w:firstLineChars="200" w:firstLine="560"/>
              <w:rPr>
                <w:rFonts w:ascii="宋体" w:hAnsi="宋体" w:hint="eastAsia"/>
                <w:bCs/>
                <w:sz w:val="28"/>
                <w:szCs w:val="28"/>
              </w:rPr>
            </w:pPr>
            <w:r>
              <w:rPr>
                <w:rFonts w:ascii="宋体" w:hAnsi="宋体" w:hint="eastAsia"/>
                <w:bCs/>
                <w:sz w:val="28"/>
                <w:szCs w:val="28"/>
              </w:rPr>
              <w:t>1.物流平台。物泊科技平台作为能源集团物流货运平台，所有公路、水路等物流货运业务统一通过平台发布、结算，实行市场化运行机制，实现业务流、货物流、票据流、资金流、信息流“五流合一”。</w:t>
            </w:r>
          </w:p>
          <w:p>
            <w:pPr>
              <w:spacing w:line="520" w:lineRule="exact"/>
              <w:ind w:firstLineChars="200" w:firstLine="560"/>
              <w:rPr>
                <w:rFonts w:ascii="宋体" w:hAnsi="宋体" w:hint="eastAsia"/>
                <w:bCs/>
                <w:sz w:val="28"/>
                <w:szCs w:val="28"/>
              </w:rPr>
            </w:pPr>
            <w:r>
              <w:rPr>
                <w:rFonts w:ascii="宋体" w:hAnsi="宋体" w:hint="eastAsia"/>
                <w:bCs/>
                <w:sz w:val="28"/>
                <w:szCs w:val="28"/>
              </w:rPr>
              <w:t>2.物流总包服务。以物泊科技平台为基础，优化配置能源集团物流节点资源，打造多式联运综合服务体系，提供个性化、端到端的“物流总包”服务。总包服务内的公路、水路（内河、沿海及国际航运）运输需通过物流平台发布进行确定，实现平台全程监管、结算。</w:t>
            </w:r>
          </w:p>
          <w:p>
            <w:pPr>
              <w:spacing w:line="520" w:lineRule="exact"/>
              <w:ind w:firstLineChars="200" w:firstLine="560"/>
              <w:rPr>
                <w:rFonts w:ascii="宋体" w:hAnsi="宋体" w:hint="eastAsia"/>
                <w:bCs/>
                <w:sz w:val="28"/>
                <w:szCs w:val="28"/>
              </w:rPr>
            </w:pPr>
            <w:r>
              <w:rPr>
                <w:rFonts w:ascii="宋体" w:hAnsi="宋体" w:hint="eastAsia"/>
                <w:bCs/>
                <w:sz w:val="28"/>
                <w:szCs w:val="28"/>
              </w:rPr>
              <w:t>3.自营虚拟车队服务。依托物泊科技平台，构建以电动重卡为主、氢能重卡为辅的实质轻资产运营模式虚拟车队。由自营虚拟车队（含油、气及新能源）承接能源集团“点对点”物流运输服务。</w:t>
            </w:r>
          </w:p>
          <w:p>
            <w:pPr>
              <w:spacing w:line="520" w:lineRule="exact"/>
              <w:ind w:firstLineChars="200" w:firstLine="560"/>
              <w:rPr>
                <w:rFonts w:ascii="宋体" w:hAnsi="宋体" w:hint="eastAsia"/>
                <w:bCs/>
                <w:sz w:val="28"/>
                <w:szCs w:val="28"/>
              </w:rPr>
            </w:pPr>
            <w:r>
              <w:rPr>
                <w:rFonts w:ascii="宋体" w:hAnsi="宋体" w:hint="eastAsia"/>
                <w:bCs/>
                <w:sz w:val="28"/>
                <w:szCs w:val="28"/>
              </w:rPr>
              <w:t>4.物流辅助服务。发挥物泊科技物流平台和客户资源优势，拓宽强化运输代理等服务产品线，包括装卸服务、货物代理、船运代理、港口代理、火运代理等物流辅助服务。</w:t>
            </w:r>
          </w:p>
          <w:p>
            <w:pPr>
              <w:spacing w:line="520" w:lineRule="exact"/>
              <w:ind w:firstLineChars="200" w:firstLine="560"/>
              <w:rPr>
                <w:rFonts w:ascii="宋体" w:hAnsi="宋体"/>
                <w:bCs/>
                <w:sz w:val="28"/>
                <w:szCs w:val="28"/>
              </w:rPr>
            </w:pPr>
            <w:r>
              <w:rPr>
                <w:rFonts w:ascii="宋体" w:hAnsi="宋体" w:hint="eastAsia"/>
                <w:bCs/>
                <w:sz w:val="28"/>
                <w:szCs w:val="28"/>
              </w:rPr>
              <w:t>5.车船后市场。利用物泊科技平台“车源”，衍生开发车船后市场增值服务。车船以租代售、工程车辆租赁，</w:t>
            </w:r>
            <w:r>
              <w:rPr>
                <w:rFonts w:ascii="宋体" w:hAnsi="宋体" w:hint="eastAsia"/>
                <w:bCs/>
                <w:sz w:val="28"/>
                <w:szCs w:val="28"/>
              </w:rPr>
              <w:lastRenderedPageBreak/>
              <w:t>车船汽柴油、轮胎、润滑油、车载数字监控、维保服务等。</w:t>
            </w: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十一、公司对化工板块的发展规划？</w:t>
            </w:r>
          </w:p>
          <w:p>
            <w:pPr>
              <w:spacing w:line="520" w:lineRule="exact"/>
              <w:ind w:firstLineChars="200" w:firstLine="560"/>
              <w:rPr>
                <w:rFonts w:ascii="宋体" w:hAnsi="宋体"/>
                <w:bCs/>
                <w:sz w:val="28"/>
                <w:szCs w:val="28"/>
              </w:rPr>
            </w:pPr>
            <w:r>
              <w:rPr>
                <w:rFonts w:ascii="宋体" w:hAnsi="宋体" w:hint="eastAsia"/>
                <w:bCs/>
                <w:sz w:val="28"/>
                <w:szCs w:val="28"/>
              </w:rPr>
              <w:t>公司对高端化工新材料产业的发展规划：一是加快延链增值。强化延链、补链和强链，拓展“一头多线”柔性生产，打造高技术、高附加值产品。二是绿色低碳转型。发挥煤化工在固碳、减碳方面的优势，加快煤炭转化关键核心技术攻关，发展高碳含量的煤基新材料；加快推动煤炭向燃料和原料并重发展。三是战略布局新疆。在做优做强鲁南化工、未来能源、荣信化工、榆林能化等4个化工园区的基础上，战略布局新疆区域，建设大煤化基地，发挥煤炭成本低、品种优、易开采等优势，推动煤炭深加工和高效利用。</w:t>
            </w:r>
          </w:p>
          <w:p>
            <w:pPr>
              <w:spacing w:line="520" w:lineRule="exact"/>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十二、公司负债率偏高是什么原因？</w:t>
            </w:r>
          </w:p>
          <w:p>
            <w:pPr>
              <w:spacing w:line="520" w:lineRule="exact"/>
              <w:ind w:firstLineChars="200" w:firstLine="560"/>
              <w:rPr>
                <w:rFonts w:ascii="宋体" w:hAnsi="宋体"/>
                <w:sz w:val="28"/>
                <w:szCs w:val="28"/>
              </w:rPr>
            </w:pPr>
            <w:r>
              <w:rPr>
                <w:rFonts w:ascii="宋体" w:hAnsi="宋体" w:hint="eastAsia"/>
                <w:sz w:val="28"/>
                <w:szCs w:val="28"/>
              </w:rPr>
              <w:t>截至2025年3月31日，本集团资产总额3668亿元，负债总额2295亿元，公司资产负债率62.59%，比年初62.90%降低0.31个百分点。</w:t>
            </w:r>
          </w:p>
          <w:p>
            <w:pPr>
              <w:spacing w:line="520" w:lineRule="exact"/>
              <w:ind w:firstLineChars="200" w:firstLine="560"/>
              <w:rPr>
                <w:rFonts w:ascii="宋体" w:hAnsi="宋体"/>
                <w:sz w:val="28"/>
                <w:szCs w:val="28"/>
              </w:rPr>
            </w:pPr>
            <w:r>
              <w:rPr>
                <w:rFonts w:ascii="宋体" w:hAnsi="宋体" w:hint="eastAsia"/>
                <w:sz w:val="28"/>
                <w:szCs w:val="28"/>
              </w:rPr>
              <w:t>公司双管双控负债规模和资产负债率，在满足生产经营、现金分红、投资并购支出情况下，全力降杠杆、减负债。扣除非经营性投资影响，力争资产负债率控制在60%以下。</w:t>
            </w:r>
          </w:p>
          <w:p>
            <w:pPr>
              <w:spacing w:line="520" w:lineRule="exact"/>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lastRenderedPageBreak/>
              <w:t>十三、控股股东是否存在新的增持计划？</w:t>
            </w:r>
          </w:p>
          <w:p>
            <w:pPr>
              <w:spacing w:line="520" w:lineRule="exact"/>
              <w:ind w:firstLineChars="200" w:firstLine="560"/>
              <w:rPr>
                <w:rFonts w:ascii="宋体" w:hAnsi="宋体"/>
                <w:sz w:val="28"/>
                <w:szCs w:val="28"/>
              </w:rPr>
            </w:pPr>
            <w:r>
              <w:rPr>
                <w:rFonts w:ascii="宋体" w:hAnsi="宋体" w:hint="eastAsia"/>
                <w:sz w:val="28"/>
                <w:szCs w:val="28"/>
              </w:rPr>
              <w:t>控股股东对兖矿能源发展前景及价值持续提升充满信心。山东能源于2</w:t>
            </w:r>
            <w:r>
              <w:rPr>
                <w:rFonts w:ascii="宋体" w:hAnsi="宋体"/>
                <w:sz w:val="28"/>
                <w:szCs w:val="28"/>
              </w:rPr>
              <w:t>024</w:t>
            </w:r>
            <w:r>
              <w:rPr>
                <w:rFonts w:ascii="宋体" w:hAnsi="宋体" w:hint="eastAsia"/>
                <w:sz w:val="28"/>
                <w:szCs w:val="28"/>
              </w:rPr>
              <w:t>年11月19日前已累计增持A股和H股股份共计2771万股，增持金额约3亿元。其中：增持公司A股618.74万股，增持金额人民币1亿元；增持公司H股2152.80万股，增持金额人民币2亿元，增持计划已顺利完成。</w:t>
            </w:r>
          </w:p>
          <w:p>
            <w:pPr>
              <w:spacing w:line="520" w:lineRule="exact"/>
              <w:ind w:firstLineChars="200" w:firstLine="560"/>
              <w:rPr>
                <w:rFonts w:ascii="宋体" w:hAnsi="宋体"/>
                <w:sz w:val="28"/>
                <w:szCs w:val="28"/>
              </w:rPr>
            </w:pPr>
            <w:r>
              <w:rPr>
                <w:rFonts w:ascii="宋体" w:hAnsi="宋体" w:hint="eastAsia"/>
                <w:sz w:val="28"/>
                <w:szCs w:val="28"/>
              </w:rPr>
              <w:t>山东能源将综合考量市场状况、窗口期限制等多方面因素，决定是否实施新的增持计划。公司将严格按照上市地监管规定，在山东能源增持时及时履行上市公司信息披露义务。</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十四、公司是否考虑回购H股？</w:t>
            </w:r>
          </w:p>
          <w:p>
            <w:pPr>
              <w:spacing w:line="520" w:lineRule="exact"/>
              <w:ind w:firstLineChars="200" w:firstLine="560"/>
              <w:rPr>
                <w:rFonts w:ascii="宋体" w:hAnsi="宋体"/>
                <w:sz w:val="28"/>
                <w:szCs w:val="28"/>
              </w:rPr>
            </w:pPr>
            <w:r>
              <w:rPr>
                <w:rFonts w:ascii="宋体" w:hAnsi="宋体" w:hint="eastAsia"/>
                <w:sz w:val="28"/>
                <w:szCs w:val="28"/>
              </w:rPr>
              <w:t>202</w:t>
            </w:r>
            <w:r>
              <w:rPr>
                <w:rFonts w:ascii="宋体" w:hAnsi="宋体"/>
                <w:sz w:val="28"/>
                <w:szCs w:val="28"/>
              </w:rPr>
              <w:t>5</w:t>
            </w:r>
            <w:r>
              <w:rPr>
                <w:rFonts w:ascii="宋体" w:hAnsi="宋体" w:hint="eastAsia"/>
                <w:sz w:val="28"/>
                <w:szCs w:val="28"/>
              </w:rPr>
              <w:t>年</w:t>
            </w:r>
            <w:r>
              <w:rPr>
                <w:rFonts w:ascii="宋体" w:hAnsi="宋体"/>
                <w:sz w:val="28"/>
                <w:szCs w:val="28"/>
              </w:rPr>
              <w:t>5</w:t>
            </w:r>
            <w:r>
              <w:rPr>
                <w:rFonts w:ascii="宋体" w:hAnsi="宋体" w:hint="eastAsia"/>
                <w:sz w:val="28"/>
                <w:szCs w:val="28"/>
              </w:rPr>
              <w:t>月</w:t>
            </w:r>
            <w:r>
              <w:rPr>
                <w:rFonts w:ascii="宋体" w:hAnsi="宋体"/>
                <w:sz w:val="28"/>
                <w:szCs w:val="28"/>
              </w:rPr>
              <w:t>30</w:t>
            </w:r>
            <w:r>
              <w:rPr>
                <w:rFonts w:ascii="宋体" w:hAnsi="宋体" w:hint="eastAsia"/>
                <w:sz w:val="28"/>
                <w:szCs w:val="28"/>
              </w:rPr>
              <w:t>日召开的公司202</w:t>
            </w:r>
            <w:r>
              <w:rPr>
                <w:rFonts w:ascii="宋体" w:hAnsi="宋体"/>
                <w:sz w:val="28"/>
                <w:szCs w:val="28"/>
              </w:rPr>
              <w:t>4</w:t>
            </w:r>
            <w:r>
              <w:rPr>
                <w:rFonts w:ascii="宋体" w:hAnsi="宋体" w:hint="eastAsia"/>
                <w:sz w:val="28"/>
                <w:szCs w:val="28"/>
              </w:rPr>
              <w:t>年度股东周年大会，已授权董事会择机回购H股，该议案为常规性年度授权。公司董事会将根据市场情况、窗口期、股价等多种因素综合考量是否回购H股。</w:t>
            </w:r>
          </w:p>
          <w:p>
            <w:pPr>
              <w:spacing w:line="520" w:lineRule="exact"/>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十五、2025年之后的分红派息政策如何制定？现金流能否满足资本开支和分红的需求？</w:t>
            </w:r>
          </w:p>
          <w:p>
            <w:pPr>
              <w:spacing w:line="520" w:lineRule="exact"/>
              <w:ind w:firstLineChars="200" w:firstLine="560"/>
              <w:rPr>
                <w:rFonts w:ascii="宋体" w:hAnsi="宋体"/>
                <w:sz w:val="28"/>
                <w:szCs w:val="28"/>
              </w:rPr>
            </w:pPr>
            <w:r>
              <w:rPr>
                <w:rFonts w:ascii="宋体" w:hAnsi="宋体" w:hint="eastAsia"/>
                <w:sz w:val="28"/>
                <w:szCs w:val="28"/>
              </w:rPr>
              <w:t>公司2023-2025年度分红政策为：每年度现金分红金额占当年扣除法定储备后净利润约60%，且不低于0.5元/股。兖矿能源始终践行“股东至上、价值共享”的理念，在央国企中率先坚持高比例现金分红，真诚回报投资者。公司严格执行分红政策，近五年分红比例均维持60%或以上，位居行业前列；上市以来，已累计实施现金分红850</w:t>
            </w:r>
            <w:r>
              <w:rPr>
                <w:rFonts w:ascii="宋体" w:hAnsi="宋体" w:hint="eastAsia"/>
                <w:sz w:val="28"/>
                <w:szCs w:val="28"/>
              </w:rPr>
              <w:lastRenderedPageBreak/>
              <w:t>亿元。</w:t>
            </w:r>
          </w:p>
          <w:p>
            <w:pPr>
              <w:spacing w:line="520" w:lineRule="exact"/>
              <w:ind w:firstLineChars="200" w:firstLine="560"/>
              <w:rPr>
                <w:rFonts w:ascii="宋体" w:hAnsi="宋体"/>
                <w:sz w:val="28"/>
                <w:szCs w:val="28"/>
              </w:rPr>
            </w:pPr>
            <w:r>
              <w:rPr>
                <w:rFonts w:ascii="宋体" w:hAnsi="宋体" w:hint="eastAsia"/>
                <w:sz w:val="28"/>
                <w:szCs w:val="28"/>
              </w:rPr>
              <w:t>兖矿能源将于2026年制定2026-2028年分红政策，报董事会、股东会审议批准并按规则进行披露。我们将继续坚持现金分红的理念和导向。公司预计未来的现金流、经济效益、发展预期完全可以支持现有分红水平。</w:t>
            </w:r>
          </w:p>
        </w:tc>
      </w:tr>
    </w:tbl>
    <w:p/>
    <w:sectPr>
      <w:footerReference w:type="even" r:id="rId7"/>
      <w:footerReference w:type="default" r:id="rId8"/>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TBiaoSongSJ">
    <w:panose1 w:val="00000000000000000000"/>
    <w:charset w:val="86"/>
    <w:family w:val="auto"/>
    <w:pitch w:val="variable"/>
    <w:sig w:usb0="00000201" w:usb1="080F0000" w:usb2="00000010" w:usb3="00000000" w:csb0="00160004"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032B"/>
    <w:multiLevelType w:val="hybridMultilevel"/>
    <w:tmpl w:val="AFB0A1BE"/>
    <w:lvl w:ilvl="0" w:tplc="E8DCDC72">
      <w:start w:val="1"/>
      <w:numFmt w:val="chineseCountingThousand"/>
      <w:suff w:val="nothing"/>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736C469E"/>
    <w:multiLevelType w:val="hybridMultilevel"/>
    <w:tmpl w:val="1EC4CB1E"/>
    <w:lvl w:ilvl="0" w:tplc="A9628EEA">
      <w:start w:val="1"/>
      <w:numFmt w:val="decimal"/>
      <w:suff w:val="nothing"/>
      <w:lvlText w:val="%1"/>
      <w:lvlJc w:val="center"/>
      <w:pPr>
        <w:ind w:left="1129" w:hanging="420"/>
      </w:pPr>
      <w:rPr>
        <w:rFonts w:eastAsia="宋体" w:hint="eastAsia"/>
        <w:spacing w:val="0"/>
        <w:position w:val="0"/>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15:restartNumberingAfterBreak="0">
    <w:nsid w:val="76EA417F"/>
    <w:multiLevelType w:val="hybridMultilevel"/>
    <w:tmpl w:val="F73071D6"/>
    <w:lvl w:ilvl="0" w:tplc="F2880CA2">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816534179">
    <w:abstractNumId w:val="1"/>
  </w:num>
  <w:num w:numId="2" w16cid:durableId="260144969">
    <w:abstractNumId w:val="2"/>
  </w:num>
  <w:num w:numId="3" w16cid:durableId="136801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BmZWRlMmNlOTUzMDE2NWRlY2Y1YjE4ZTA3ZmJkOWQ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chartTrackingRefBased/>
  <w15:docId w15:val="{DE659FAD-52C0-4C01-92FE-629A99E8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lang w:val="zh-CN"/>
    </w:rPr>
  </w:style>
  <w:style w:type="character" w:customStyle="1" w:styleId="a4">
    <w:name w:val="批注框文本 字符"/>
    <w:link w:val="a3"/>
    <w:qFormat/>
    <w:rPr>
      <w:kern w:val="2"/>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lang w:val="zh-CN"/>
    </w:rPr>
  </w:style>
  <w:style w:type="character" w:customStyle="1" w:styleId="a7">
    <w:name w:val="页眉 字符"/>
    <w:link w:val="a6"/>
    <w:qFormat/>
    <w:rPr>
      <w:kern w:val="2"/>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paragraph" w:styleId="aa">
    <w:name w:val="List Paragraph"/>
    <w:basedOn w:val="a"/>
    <w:link w:val="ab"/>
    <w:uiPriority w:val="34"/>
    <w:qFormat/>
    <w:pPr>
      <w:ind w:firstLineChars="200" w:firstLine="420"/>
    </w:pPr>
  </w:style>
  <w:style w:type="character" w:customStyle="1" w:styleId="ab">
    <w:name w:val="列表段落 字符"/>
    <w:basedOn w:val="a0"/>
    <w:link w:val="aa"/>
    <w:uiPriority w:val="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58500">
      <w:bodyDiv w:val="1"/>
      <w:marLeft w:val="0"/>
      <w:marRight w:val="0"/>
      <w:marTop w:val="0"/>
      <w:marBottom w:val="0"/>
      <w:divBdr>
        <w:top w:val="none" w:sz="0" w:space="0" w:color="auto"/>
        <w:left w:val="none" w:sz="0" w:space="0" w:color="auto"/>
        <w:bottom w:val="none" w:sz="0" w:space="0" w:color="auto"/>
        <w:right w:val="none" w:sz="0" w:space="0" w:color="auto"/>
      </w:divBdr>
    </w:div>
    <w:div w:id="1801458928">
      <w:bodyDiv w:val="1"/>
      <w:marLeft w:val="0"/>
      <w:marRight w:val="0"/>
      <w:marTop w:val="0"/>
      <w:marBottom w:val="0"/>
      <w:divBdr>
        <w:top w:val="none" w:sz="0" w:space="0" w:color="auto"/>
        <w:left w:val="none" w:sz="0" w:space="0" w:color="auto"/>
        <w:bottom w:val="none" w:sz="0" w:space="0" w:color="auto"/>
        <w:right w:val="none" w:sz="0" w:space="0" w:color="auto"/>
      </w:divBdr>
    </w:div>
    <w:div w:id="19461156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11</Pages>
  <Words>792</Words>
  <Characters>4517</Characters>
  <Application>Microsoft Office Word</Application>
  <DocSecurity>0</DocSecurity>
  <Lines>37</Lines>
  <Paragraphs>10</Paragraphs>
  <ScaleCrop>false</ScaleCrop>
  <Company>yanzhoucoal</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投资者来访会谈记录</dc:title>
  <dc:subject/>
  <dc:creator>熊振中</dc:creator>
  <cp:keywords/>
  <cp:lastModifiedBy>1432642317@qq.com</cp:lastModifiedBy>
  <cp:revision>15</cp:revision>
  <cp:lastPrinted>2024-07-18T10:37:00Z</cp:lastPrinted>
  <dcterms:created xsi:type="dcterms:W3CDTF">2025-07-28T02:16:00Z</dcterms:created>
  <dcterms:modified xsi:type="dcterms:W3CDTF">2025-08-12T11:16:00Z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0B56D47173624FFE8CDF18E7E08809E5</vt:lpwstr>
  </property>
</Properties>
</file>