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F14C9">
      <w:pPr>
        <w:spacing w:line="360" w:lineRule="auto"/>
        <w:ind w:firstLine="643" w:firstLineChars="200"/>
        <w:jc w:val="center"/>
        <w:rPr>
          <w:rFonts w:ascii="宋体" w:hAnsi="宋体" w:eastAsia="宋体"/>
          <w:b/>
          <w:sz w:val="32"/>
          <w:szCs w:val="32"/>
        </w:rPr>
      </w:pPr>
      <w:r>
        <w:rPr>
          <w:rFonts w:hint="eastAsia" w:ascii="宋体" w:hAnsi="宋体" w:eastAsia="宋体"/>
          <w:b/>
          <w:sz w:val="32"/>
          <w:szCs w:val="32"/>
        </w:rPr>
        <w:t>湖北振华化学股份有限公司</w:t>
      </w:r>
    </w:p>
    <w:p w14:paraId="04B0CDF1">
      <w:pPr>
        <w:spacing w:line="360" w:lineRule="auto"/>
        <w:ind w:firstLine="643" w:firstLineChars="200"/>
        <w:jc w:val="center"/>
        <w:rPr>
          <w:rFonts w:hint="eastAsia" w:ascii="宋体" w:hAnsi="宋体" w:eastAsia="宋体"/>
          <w:b/>
          <w:sz w:val="32"/>
          <w:szCs w:val="32"/>
          <w:lang w:val="en-US" w:eastAsia="zh-CN"/>
        </w:rPr>
      </w:pPr>
      <w:r>
        <w:rPr>
          <w:rFonts w:hint="eastAsia" w:ascii="宋体" w:hAnsi="宋体" w:eastAsia="宋体"/>
          <w:b/>
          <w:sz w:val="32"/>
          <w:szCs w:val="32"/>
          <w:lang w:val="en-US" w:eastAsia="zh-CN"/>
        </w:rPr>
        <w:t>2025年半年度报告</w:t>
      </w:r>
    </w:p>
    <w:p w14:paraId="7AAA535C">
      <w:pPr>
        <w:spacing w:line="360" w:lineRule="auto"/>
        <w:ind w:firstLine="643" w:firstLineChars="200"/>
        <w:jc w:val="center"/>
        <w:rPr>
          <w:rFonts w:hint="eastAsia" w:ascii="宋体" w:hAnsi="宋体" w:eastAsia="宋体"/>
          <w:b/>
          <w:sz w:val="32"/>
          <w:szCs w:val="32"/>
          <w:lang w:val="en-US" w:eastAsia="zh-CN"/>
        </w:rPr>
      </w:pPr>
      <w:r>
        <w:rPr>
          <w:rFonts w:hint="eastAsia" w:ascii="宋体" w:hAnsi="宋体" w:eastAsia="宋体"/>
          <w:b/>
          <w:sz w:val="32"/>
          <w:szCs w:val="32"/>
          <w:lang w:val="en-US" w:eastAsia="zh-CN"/>
        </w:rPr>
        <w:t>业绩交流会（通讯）内容纪要</w:t>
      </w:r>
    </w:p>
    <w:p w14:paraId="6ABBA092">
      <w:pPr>
        <w:spacing w:line="360" w:lineRule="auto"/>
        <w:ind w:firstLine="562" w:firstLineChars="200"/>
        <w:jc w:val="left"/>
        <w:rPr>
          <w:rFonts w:hint="eastAsia" w:ascii="宋体" w:hAnsi="宋体" w:eastAsia="宋体"/>
          <w:b/>
          <w:bCs/>
          <w:sz w:val="28"/>
          <w:szCs w:val="28"/>
          <w:lang w:val="en-US" w:eastAsia="zh-CN"/>
        </w:rPr>
      </w:pPr>
    </w:p>
    <w:p w14:paraId="3B3BA793">
      <w:pPr>
        <w:spacing w:line="240" w:lineRule="auto"/>
        <w:ind w:firstLine="562" w:firstLineChars="200"/>
        <w:jc w:val="left"/>
        <w:rPr>
          <w:rFonts w:ascii="宋体" w:hAnsi="宋体" w:eastAsia="宋体"/>
          <w:b/>
          <w:bCs/>
          <w:sz w:val="28"/>
          <w:szCs w:val="28"/>
        </w:rPr>
      </w:pPr>
      <w:r>
        <w:rPr>
          <w:rFonts w:hint="eastAsia" w:ascii="宋体" w:hAnsi="宋体" w:eastAsia="宋体"/>
          <w:b/>
          <w:bCs/>
          <w:sz w:val="28"/>
          <w:szCs w:val="28"/>
          <w:lang w:val="en-US" w:eastAsia="zh-CN"/>
        </w:rPr>
        <w:t>一、</w:t>
      </w:r>
      <w:r>
        <w:rPr>
          <w:rFonts w:hint="eastAsia" w:ascii="宋体" w:hAnsi="宋体" w:eastAsia="宋体"/>
          <w:b/>
          <w:bCs/>
          <w:sz w:val="28"/>
          <w:szCs w:val="28"/>
        </w:rPr>
        <w:t>会议基本情况</w:t>
      </w:r>
    </w:p>
    <w:p w14:paraId="7A9883D9">
      <w:pPr>
        <w:spacing w:line="240" w:lineRule="auto"/>
        <w:ind w:firstLine="562" w:firstLineChars="200"/>
        <w:jc w:val="left"/>
        <w:rPr>
          <w:rFonts w:ascii="宋体" w:hAnsi="宋体" w:eastAsia="宋体"/>
          <w:color w:val="FF0000"/>
          <w:sz w:val="28"/>
          <w:szCs w:val="28"/>
        </w:rPr>
      </w:pPr>
      <w:r>
        <w:rPr>
          <w:rFonts w:hint="eastAsia" w:ascii="宋体" w:hAnsi="宋体" w:eastAsia="宋体"/>
          <w:b/>
          <w:bCs/>
          <w:sz w:val="28"/>
          <w:szCs w:val="28"/>
          <w:lang w:val="en-US" w:eastAsia="zh-CN"/>
        </w:rPr>
        <w:t>会议</w:t>
      </w:r>
      <w:r>
        <w:rPr>
          <w:rFonts w:hint="eastAsia" w:ascii="宋体" w:hAnsi="宋体" w:eastAsia="宋体"/>
          <w:b/>
          <w:bCs/>
          <w:sz w:val="28"/>
          <w:szCs w:val="28"/>
        </w:rPr>
        <w:t>时间：</w:t>
      </w:r>
      <w:r>
        <w:rPr>
          <w:rFonts w:hint="eastAsia" w:ascii="宋体" w:hAnsi="宋体" w:eastAsia="宋体"/>
          <w:b/>
          <w:bCs/>
          <w:sz w:val="28"/>
          <w:szCs w:val="28"/>
          <w:lang w:val="en-US" w:eastAsia="zh-CN"/>
        </w:rPr>
        <w:t xml:space="preserve">    </w:t>
      </w:r>
      <w:r>
        <w:rPr>
          <w:rFonts w:hint="eastAsia" w:ascii="宋体" w:hAnsi="宋体" w:eastAsia="宋体"/>
          <w:sz w:val="28"/>
          <w:szCs w:val="28"/>
        </w:rPr>
        <w:t>20</w:t>
      </w:r>
      <w:r>
        <w:rPr>
          <w:rFonts w:hint="eastAsia" w:ascii="宋体" w:hAnsi="宋体" w:eastAsia="宋体"/>
          <w:sz w:val="28"/>
          <w:szCs w:val="28"/>
          <w:lang w:val="en-US" w:eastAsia="zh-CN"/>
        </w:rPr>
        <w:t>25</w:t>
      </w:r>
      <w:r>
        <w:rPr>
          <w:rFonts w:hint="eastAsia" w:ascii="宋体" w:hAnsi="宋体" w:eastAsia="宋体"/>
          <w:sz w:val="28"/>
          <w:szCs w:val="28"/>
        </w:rPr>
        <w:t>年</w:t>
      </w:r>
      <w:r>
        <w:rPr>
          <w:rFonts w:hint="eastAsia" w:ascii="宋体" w:hAnsi="宋体" w:eastAsia="宋体"/>
          <w:sz w:val="28"/>
          <w:szCs w:val="28"/>
          <w:lang w:val="en-US" w:eastAsia="zh-CN"/>
        </w:rPr>
        <w:t>8</w:t>
      </w:r>
      <w:r>
        <w:rPr>
          <w:rFonts w:hint="eastAsia" w:ascii="宋体" w:hAnsi="宋体" w:eastAsia="宋体"/>
          <w:sz w:val="28"/>
          <w:szCs w:val="28"/>
        </w:rPr>
        <w:t>月</w:t>
      </w:r>
      <w:r>
        <w:rPr>
          <w:rFonts w:hint="eastAsia" w:ascii="宋体" w:hAnsi="宋体" w:eastAsia="宋体"/>
          <w:sz w:val="28"/>
          <w:szCs w:val="28"/>
          <w:lang w:val="en-US" w:eastAsia="zh-CN"/>
        </w:rPr>
        <w:t>15</w:t>
      </w:r>
      <w:r>
        <w:rPr>
          <w:rFonts w:hint="eastAsia" w:ascii="宋体" w:hAnsi="宋体" w:eastAsia="宋体"/>
          <w:sz w:val="28"/>
          <w:szCs w:val="28"/>
        </w:rPr>
        <w:t>日</w:t>
      </w:r>
    </w:p>
    <w:p w14:paraId="0A1C6717">
      <w:pPr>
        <w:spacing w:line="240" w:lineRule="auto"/>
        <w:ind w:firstLine="562" w:firstLineChars="200"/>
        <w:jc w:val="left"/>
        <w:rPr>
          <w:rFonts w:hint="eastAsia" w:ascii="宋体" w:hAnsi="宋体" w:eastAsia="宋体"/>
          <w:sz w:val="28"/>
          <w:szCs w:val="28"/>
          <w:lang w:val="en-US" w:eastAsia="zh-CN"/>
        </w:rPr>
      </w:pPr>
      <w:r>
        <w:rPr>
          <w:rFonts w:hint="eastAsia" w:ascii="宋体" w:hAnsi="宋体" w:eastAsia="宋体"/>
          <w:b/>
          <w:bCs/>
          <w:sz w:val="28"/>
          <w:szCs w:val="28"/>
        </w:rPr>
        <w:t>公司参会人员：</w:t>
      </w:r>
      <w:r>
        <w:rPr>
          <w:rFonts w:hint="eastAsia" w:ascii="宋体" w:hAnsi="宋体" w:eastAsia="宋体"/>
          <w:sz w:val="28"/>
          <w:szCs w:val="28"/>
          <w:lang w:val="en-US" w:eastAsia="zh-CN"/>
        </w:rPr>
        <w:t>杨帆    董秘/财务总监</w:t>
      </w:r>
    </w:p>
    <w:p w14:paraId="50981BF3">
      <w:pPr>
        <w:spacing w:line="240" w:lineRule="auto"/>
        <w:ind w:firstLine="2520" w:firstLineChars="900"/>
        <w:jc w:val="left"/>
        <w:rPr>
          <w:rFonts w:ascii="宋体" w:hAnsi="宋体" w:eastAsia="宋体"/>
          <w:sz w:val="28"/>
          <w:szCs w:val="28"/>
        </w:rPr>
      </w:pPr>
      <w:r>
        <w:rPr>
          <w:rFonts w:hint="eastAsia" w:ascii="宋体" w:hAnsi="宋体" w:eastAsia="宋体"/>
          <w:sz w:val="28"/>
          <w:szCs w:val="28"/>
        </w:rPr>
        <w:t xml:space="preserve">韩翔  </w:t>
      </w:r>
      <w:r>
        <w:rPr>
          <w:rFonts w:hint="eastAsia" w:ascii="宋体" w:hAnsi="宋体" w:eastAsia="宋体"/>
          <w:sz w:val="28"/>
          <w:szCs w:val="28"/>
          <w:lang w:val="en-US" w:eastAsia="zh-CN"/>
        </w:rPr>
        <w:t xml:space="preserve">  </w:t>
      </w:r>
      <w:r>
        <w:rPr>
          <w:rFonts w:hint="eastAsia" w:ascii="宋体" w:hAnsi="宋体" w:eastAsia="宋体"/>
          <w:sz w:val="28"/>
          <w:szCs w:val="28"/>
        </w:rPr>
        <w:t>总经理助理</w:t>
      </w:r>
    </w:p>
    <w:p w14:paraId="767511D7">
      <w:pPr>
        <w:spacing w:line="240" w:lineRule="auto"/>
        <w:ind w:firstLine="562" w:firstLineChars="200"/>
        <w:jc w:val="left"/>
        <w:rPr>
          <w:rFonts w:ascii="宋体" w:hAnsi="宋体" w:eastAsia="宋体"/>
          <w:sz w:val="28"/>
          <w:szCs w:val="28"/>
        </w:rPr>
      </w:pPr>
      <w:r>
        <w:rPr>
          <w:rFonts w:hint="eastAsia" w:ascii="宋体" w:hAnsi="宋体" w:eastAsia="宋体"/>
          <w:b/>
          <w:bCs/>
          <w:sz w:val="28"/>
          <w:szCs w:val="28"/>
        </w:rPr>
        <w:t>参会机构：</w:t>
      </w:r>
      <w:r>
        <w:rPr>
          <w:rFonts w:hint="eastAsia" w:ascii="宋体" w:hAnsi="宋体" w:eastAsia="宋体"/>
          <w:b/>
          <w:bCs/>
          <w:sz w:val="28"/>
          <w:szCs w:val="28"/>
          <w:lang w:val="en-US" w:eastAsia="zh-CN"/>
        </w:rPr>
        <w:t xml:space="preserve">    </w:t>
      </w:r>
      <w:r>
        <w:rPr>
          <w:rFonts w:hint="eastAsia" w:ascii="宋体" w:hAnsi="宋体" w:eastAsia="宋体"/>
          <w:sz w:val="28"/>
          <w:szCs w:val="28"/>
        </w:rPr>
        <w:t>详见附件“参会机构清单”</w:t>
      </w:r>
    </w:p>
    <w:p w14:paraId="0392CCA1">
      <w:pPr>
        <w:ind w:firstLine="562" w:firstLineChars="200"/>
        <w:jc w:val="left"/>
        <w:rPr>
          <w:rFonts w:hint="eastAsia" w:ascii="宋体" w:hAnsi="宋体" w:eastAsia="宋体"/>
          <w:b/>
          <w:bCs/>
          <w:sz w:val="28"/>
          <w:szCs w:val="28"/>
          <w:lang w:val="en-US" w:eastAsia="zh-CN"/>
        </w:rPr>
      </w:pPr>
    </w:p>
    <w:p w14:paraId="793420D9">
      <w:pPr>
        <w:ind w:firstLine="562" w:firstLineChars="200"/>
        <w:jc w:val="left"/>
        <w:rPr>
          <w:rFonts w:hint="eastAsia" w:ascii="楷体" w:hAnsi="楷体" w:eastAsia="楷体"/>
          <w:b/>
          <w:bCs/>
          <w:sz w:val="24"/>
          <w:szCs w:val="24"/>
          <w:lang w:val="en-US" w:eastAsia="zh-CN"/>
        </w:rPr>
      </w:pPr>
      <w:r>
        <w:rPr>
          <w:rFonts w:hint="eastAsia" w:ascii="宋体" w:hAnsi="宋体" w:eastAsia="宋体"/>
          <w:b/>
          <w:bCs/>
          <w:sz w:val="28"/>
          <w:szCs w:val="28"/>
          <w:lang w:val="en-US" w:eastAsia="zh-CN"/>
        </w:rPr>
        <w:t>二、会议交流的主要内容</w:t>
      </w:r>
    </w:p>
    <w:p w14:paraId="47AE3106">
      <w:pPr>
        <w:numPr>
          <w:ilvl w:val="0"/>
          <w:numId w:val="0"/>
        </w:numPr>
        <w:spacing w:line="360" w:lineRule="auto"/>
        <w:ind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（一）公司情况介绍</w:t>
      </w:r>
    </w:p>
    <w:p w14:paraId="284663CB">
      <w:pPr>
        <w:spacing w:line="360" w:lineRule="auto"/>
        <w:ind w:firstLine="420" w:firstLineChars="0"/>
        <w:rPr>
          <w:rFonts w:hint="eastAsia"/>
          <w:sz w:val="24"/>
          <w:szCs w:val="24"/>
          <w:lang w:val="en-US" w:eastAsia="zh-CN"/>
        </w:rPr>
      </w:pPr>
      <w:r>
        <w:rPr>
          <w:rFonts w:hint="eastAsia"/>
          <w:sz w:val="24"/>
          <w:szCs w:val="24"/>
          <w:lang w:val="en-US" w:eastAsia="zh-CN"/>
        </w:rPr>
        <w:t>公司发布了半年报和上半年经营数据，我就相关的数据做一些概要性的解读。从基本数据来看，公司上半年利润涨幅高于收入的涨幅，主要的驱动因素是来自公司产销量的增长，产成品形态向附加值比较高、规模效应比较强的产品倾斜，由此导致产品的单吨价差变动并不显著，但是乘以销量之后的表现就很可观了。</w:t>
      </w:r>
    </w:p>
    <w:p w14:paraId="12265987">
      <w:pPr>
        <w:spacing w:line="360" w:lineRule="auto"/>
        <w:ind w:firstLine="420" w:firstLineChars="0"/>
        <w:rPr>
          <w:rFonts w:hint="eastAsia"/>
          <w:sz w:val="24"/>
          <w:szCs w:val="24"/>
          <w:lang w:val="en-US" w:eastAsia="zh-CN"/>
        </w:rPr>
      </w:pPr>
      <w:r>
        <w:rPr>
          <w:rFonts w:hint="eastAsia"/>
          <w:sz w:val="24"/>
          <w:szCs w:val="24"/>
          <w:lang w:val="en-US" w:eastAsia="zh-CN"/>
        </w:rPr>
        <w:t>具体来看，上半年各项原料价格涨跌互现，折算到单吨重铬酸钠上，成本增长了约5个点，而主要铬盐产品的售价也增加了大约5个点，即主要产品单吨价差变化只能说略有提升，并不明显；另一方面，今年上半年公司主要产品产销平衡，产量约14.7万吨，二季度产量约7.8万吨，均达到了历史最高点，导致单吨成本折重铬酸钠下降幅度显著。规模效益带来的成本优化是驱动业绩增长的主要因素。</w:t>
      </w:r>
    </w:p>
    <w:p w14:paraId="37D01081">
      <w:pPr>
        <w:spacing w:line="360" w:lineRule="auto"/>
        <w:ind w:firstLine="420" w:firstLineChars="0"/>
        <w:rPr>
          <w:rFonts w:hint="eastAsia"/>
          <w:sz w:val="24"/>
          <w:szCs w:val="24"/>
          <w:lang w:val="en-US" w:eastAsia="zh-CN"/>
        </w:rPr>
      </w:pPr>
      <w:r>
        <w:rPr>
          <w:rFonts w:hint="eastAsia"/>
          <w:sz w:val="24"/>
          <w:szCs w:val="24"/>
          <w:lang w:val="en-US" w:eastAsia="zh-CN"/>
        </w:rPr>
        <w:t>环比来看，今年二季度相较一季度，期间费用增幅较大，这其中主要是公司技改和扩产对应的前置性费用；公司未产生效益的对外投资和一些闲置设备也及时做了充分的减值计提。我们希望公司的资产质量尽可能体现得扎实一些，不要有虚高。毛利率方面，二季度环比提升明显，再次印证了公司以量驱动、兼顾价格的经营策略带来的成效。保持产品单价走势的长期温和，以量增体现成长性，我们认为在A股市场上能够长期兑现这种成长逻辑的企业是比较稀缺的。</w:t>
      </w:r>
    </w:p>
    <w:p w14:paraId="3A83C9DE">
      <w:pPr>
        <w:spacing w:line="360" w:lineRule="auto"/>
        <w:ind w:firstLine="420" w:firstLineChars="0"/>
        <w:rPr>
          <w:rFonts w:hint="default"/>
          <w:sz w:val="24"/>
          <w:szCs w:val="24"/>
          <w:lang w:val="en-US" w:eastAsia="zh-CN"/>
        </w:rPr>
      </w:pPr>
      <w:r>
        <w:rPr>
          <w:rFonts w:hint="eastAsia"/>
          <w:sz w:val="24"/>
          <w:szCs w:val="24"/>
          <w:lang w:val="en-US" w:eastAsia="zh-CN"/>
        </w:rPr>
        <w:t>最后回应一下市场比较关注的具体产品的近期表现。今年上半年金属铬产品是量价齐升的，出货量超过5400吨。公司金属铬产线短期的产能极限在1200吨左右。经营数据中的合金添加剂科目包括金属铬及其副产物，今年一季度没有售卖副产物，所以一季度的合金添加剂只有金属铬，二季度副产物开始销售，所以该科目的产品均价就拉低了。从出货节奏来看，欧美是全球高温合金的主要市场，海外下游市场目前受夏休影响，开工率不是很足，7月以来公司产品售价没有下降，出货量有所减少。进入到八月之后，市场之前预期的需求增量在逐步兑现，目前国内也有一些厂家在谋求扩产，从我们与客户和同行的交流来看，二季度末三季度初，金属铬的行情有观望情绪，市场普遍预期四季度会有比较好的表现。从铬铁矿到金属铬的产业链比较长，从单质铬到目前市场关注的终端设备，中间要经过的链条更长，最终端的需求向金属铬传导，其过程必然是波动式、脉冲式的，我们作为源头厂商，觉得这个传导可能才刚开始，当前还没有充分体现，这个过程中年度数据相较于月度和季度的高频数据，其参考价值会大很多。</w:t>
      </w:r>
    </w:p>
    <w:p w14:paraId="34791309">
      <w:pPr>
        <w:spacing w:line="360" w:lineRule="auto"/>
        <w:rPr>
          <w:rFonts w:hint="default"/>
          <w:sz w:val="24"/>
          <w:szCs w:val="24"/>
          <w:lang w:val="en-US" w:eastAsia="zh-CN"/>
        </w:rPr>
      </w:pPr>
    </w:p>
    <w:p w14:paraId="3A12AB37">
      <w:pPr>
        <w:spacing w:line="360" w:lineRule="auto"/>
        <w:rPr>
          <w:sz w:val="24"/>
          <w:szCs w:val="24"/>
        </w:rPr>
      </w:pPr>
    </w:p>
    <w:p w14:paraId="52F3C4B4">
      <w:pPr>
        <w:numPr>
          <w:ilvl w:val="0"/>
          <w:numId w:val="0"/>
        </w:numPr>
        <w:spacing w:line="360" w:lineRule="auto"/>
        <w:ind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（二）问答情况</w:t>
      </w:r>
    </w:p>
    <w:p w14:paraId="01F334DA">
      <w:pPr>
        <w:widowControl w:val="0"/>
        <w:numPr>
          <w:ilvl w:val="0"/>
          <w:numId w:val="0"/>
        </w:numPr>
        <w:jc w:val="both"/>
        <w:rPr>
          <w:rFonts w:hint="default"/>
          <w:lang w:val="en-US" w:eastAsia="zh-CN"/>
        </w:rPr>
      </w:pPr>
    </w:p>
    <w:p w14:paraId="4166D973">
      <w:pPr>
        <w:widowControl w:val="0"/>
        <w:numPr>
          <w:ilvl w:val="0"/>
          <w:numId w:val="1"/>
        </w:numPr>
        <w:spacing w:line="360" w:lineRule="auto"/>
        <w:jc w:val="both"/>
        <w:rPr>
          <w:rFonts w:hint="eastAsia"/>
          <w:b/>
          <w:bCs/>
          <w:sz w:val="24"/>
          <w:szCs w:val="24"/>
          <w:lang w:val="en-US" w:eastAsia="zh-CN"/>
        </w:rPr>
      </w:pPr>
      <w:r>
        <w:rPr>
          <w:rFonts w:hint="eastAsia"/>
          <w:b/>
          <w:bCs/>
          <w:sz w:val="24"/>
          <w:szCs w:val="24"/>
          <w:lang w:val="en-US" w:eastAsia="zh-CN"/>
        </w:rPr>
        <w:t>下游需求端，</w:t>
      </w:r>
      <w:bookmarkStart w:id="0" w:name="_GoBack"/>
      <w:bookmarkEnd w:id="0"/>
      <w:r>
        <w:rPr>
          <w:rFonts w:hint="eastAsia"/>
          <w:b/>
          <w:bCs/>
          <w:sz w:val="24"/>
          <w:szCs w:val="24"/>
          <w:lang w:val="en-US" w:eastAsia="zh-CN"/>
        </w:rPr>
        <w:t>铬金属往下游传导，能看到哪些需求？应用领域的分布？</w:t>
      </w:r>
    </w:p>
    <w:p w14:paraId="625F27DF">
      <w:pPr>
        <w:widowControl w:val="0"/>
        <w:numPr>
          <w:ilvl w:val="0"/>
          <w:numId w:val="0"/>
        </w:numPr>
        <w:spacing w:line="360" w:lineRule="auto"/>
        <w:ind w:firstLine="420" w:firstLineChars="0"/>
        <w:jc w:val="both"/>
        <w:rPr>
          <w:rFonts w:hint="default"/>
          <w:sz w:val="24"/>
          <w:szCs w:val="24"/>
          <w:lang w:val="en-US" w:eastAsia="zh-CN"/>
        </w:rPr>
      </w:pPr>
      <w:r>
        <w:rPr>
          <w:rFonts w:hint="eastAsia"/>
          <w:sz w:val="24"/>
          <w:szCs w:val="24"/>
          <w:lang w:val="en-US" w:eastAsia="zh-CN"/>
        </w:rPr>
        <w:t>今年三月初公司湖北本部基地组织现场调研的时候，我们也对大家做了一些简单的报告。金属铬下游直接的客户分布大体有四个序列，一是大家普遍了解的高温合金的主力工厂，如抚钢、钢研系企业等，宝武和中信特钢规模也很大，但没有单列高温合金产线，他们再往下游我们暂时接触不到；二是非高温合金的应用领域，比较高端的特种钢材料，以斯瑞新材为代表；三是我们的经销商，因金属铬下游需求非常分散，有很多特种材料需要使用，导致行业内有一批经销商依托其客情关系和销售渠道进行定向营销；四是海外的金属铬厂商，他们向我们采购金属铬的铬盐材料，海外金属铬产能非常集中，主要是英国和法国各有一家工厂，都是全球的合金制造巨头，其产品直供波音、空客、通用等高端设备商。今年以来，我司金属铬的铬盐材料出口量同比增幅巨大，反映出海外金属铬市场的景气度。</w:t>
      </w:r>
    </w:p>
    <w:p w14:paraId="54AA3B78">
      <w:pPr>
        <w:widowControl w:val="0"/>
        <w:numPr>
          <w:ilvl w:val="0"/>
          <w:numId w:val="0"/>
        </w:numPr>
        <w:spacing w:line="360" w:lineRule="auto"/>
        <w:jc w:val="both"/>
        <w:rPr>
          <w:rFonts w:hint="default"/>
          <w:sz w:val="24"/>
          <w:szCs w:val="24"/>
          <w:lang w:val="en-US" w:eastAsia="zh-CN"/>
        </w:rPr>
      </w:pPr>
    </w:p>
    <w:p w14:paraId="1A583298">
      <w:pPr>
        <w:widowControl w:val="0"/>
        <w:numPr>
          <w:ilvl w:val="0"/>
          <w:numId w:val="1"/>
        </w:numPr>
        <w:spacing w:line="360" w:lineRule="auto"/>
        <w:ind w:left="0" w:leftChars="0" w:firstLine="0" w:firstLineChars="0"/>
        <w:jc w:val="both"/>
        <w:rPr>
          <w:rFonts w:hint="eastAsia"/>
          <w:b/>
          <w:bCs/>
          <w:sz w:val="24"/>
          <w:szCs w:val="24"/>
          <w:lang w:val="en-US" w:eastAsia="zh-CN"/>
        </w:rPr>
      </w:pPr>
      <w:r>
        <w:rPr>
          <w:rFonts w:hint="eastAsia"/>
          <w:b/>
          <w:bCs/>
          <w:sz w:val="24"/>
          <w:szCs w:val="24"/>
          <w:lang w:val="en-US" w:eastAsia="zh-CN"/>
        </w:rPr>
        <w:t>产销量折重铬酸钠对比2022年增长了多少，是出口更多，还是内销的增长更多？</w:t>
      </w:r>
    </w:p>
    <w:p w14:paraId="7F4DC774">
      <w:pPr>
        <w:widowControl w:val="0"/>
        <w:numPr>
          <w:ilvl w:val="0"/>
          <w:numId w:val="0"/>
        </w:numPr>
        <w:spacing w:line="360" w:lineRule="auto"/>
        <w:ind w:leftChars="0" w:firstLine="420" w:firstLineChars="0"/>
        <w:jc w:val="both"/>
        <w:rPr>
          <w:rFonts w:hint="eastAsia"/>
          <w:sz w:val="24"/>
          <w:szCs w:val="24"/>
          <w:lang w:val="en-US" w:eastAsia="zh-CN"/>
        </w:rPr>
      </w:pPr>
      <w:r>
        <w:rPr>
          <w:rFonts w:hint="eastAsia"/>
          <w:sz w:val="24"/>
          <w:szCs w:val="24"/>
          <w:lang w:val="en-US" w:eastAsia="zh-CN"/>
        </w:rPr>
        <w:t>产量数据以公司年度报告的披露为准。这两年我们出口每年都有两位数以上的增长，比我们的总销售额的增长比例高。但出口中也有一部分是非铬业务，如维生素K3。但因基数较低，铬化学品出口的增长不足以消纳公司近几年的产能增量，主要增量还是来自于国内。现在我们对海外客户的需求也比较清楚，未来会加强对海外的销售力度。因国内铬盐出口不退税，含税价格在国际市场上优势不明显，解决之道就是进行节能降耗的低成本扩产，使公司产品以不含税价进行出口销售时仍能获取合理利润，届时对海外销售可能会有规模上的突破。</w:t>
      </w:r>
    </w:p>
    <w:p w14:paraId="0EDCA6C5">
      <w:pPr>
        <w:widowControl w:val="0"/>
        <w:numPr>
          <w:ilvl w:val="0"/>
          <w:numId w:val="0"/>
        </w:numPr>
        <w:spacing w:line="360" w:lineRule="auto"/>
        <w:ind w:leftChars="0"/>
        <w:jc w:val="both"/>
        <w:rPr>
          <w:rFonts w:hint="eastAsia"/>
          <w:b/>
          <w:bCs/>
          <w:sz w:val="24"/>
          <w:szCs w:val="24"/>
          <w:lang w:val="en-US" w:eastAsia="zh-CN"/>
        </w:rPr>
      </w:pPr>
    </w:p>
    <w:p w14:paraId="66FD9A6E">
      <w:pPr>
        <w:widowControl w:val="0"/>
        <w:numPr>
          <w:ilvl w:val="0"/>
          <w:numId w:val="1"/>
        </w:numPr>
        <w:spacing w:line="360" w:lineRule="auto"/>
        <w:ind w:left="0" w:leftChars="0" w:firstLine="0" w:firstLineChars="0"/>
        <w:jc w:val="both"/>
        <w:rPr>
          <w:rFonts w:hint="eastAsia"/>
          <w:b/>
          <w:bCs/>
          <w:sz w:val="24"/>
          <w:szCs w:val="24"/>
          <w:lang w:val="en-US" w:eastAsia="zh-CN"/>
        </w:rPr>
      </w:pPr>
      <w:r>
        <w:rPr>
          <w:rFonts w:hint="eastAsia"/>
          <w:b/>
          <w:bCs/>
          <w:sz w:val="24"/>
          <w:szCs w:val="24"/>
          <w:lang w:val="en-US" w:eastAsia="zh-CN"/>
        </w:rPr>
        <w:t>铬盐的定价策略？</w:t>
      </w:r>
    </w:p>
    <w:p w14:paraId="0D40D10E">
      <w:pPr>
        <w:widowControl w:val="0"/>
        <w:numPr>
          <w:ilvl w:val="0"/>
          <w:numId w:val="0"/>
        </w:numPr>
        <w:spacing w:line="360" w:lineRule="auto"/>
        <w:ind w:firstLine="420" w:firstLineChars="0"/>
        <w:jc w:val="both"/>
        <w:rPr>
          <w:rFonts w:hint="default"/>
          <w:sz w:val="24"/>
          <w:szCs w:val="24"/>
          <w:lang w:val="en-US" w:eastAsia="zh-CN"/>
        </w:rPr>
      </w:pPr>
      <w:r>
        <w:rPr>
          <w:rFonts w:hint="eastAsia"/>
          <w:sz w:val="24"/>
          <w:szCs w:val="24"/>
          <w:lang w:val="en-US" w:eastAsia="zh-CN"/>
        </w:rPr>
        <w:t>大的逻辑是成本加成，但这两年铬盐产品下游需求整体在扩容，也出现月度内满负荷生产但货不够卖的情况，公司内部也有领导提出阶段性的销售策略不用太过于考虑下游客户的感受。但这种情况下，以董事长为首的管理层还是比较克制，多数情况下还是基于原材料的价格做加成再向市场覆盖。以全年维度看，公司的产能增量基本能覆盖市场的需求。公司产品的下游应用领域太广泛，产品价格受各种因素影响，季度间常有波动，全年来看总体是稳中有进的。</w:t>
      </w:r>
    </w:p>
    <w:p w14:paraId="067CB17F">
      <w:pPr>
        <w:widowControl w:val="0"/>
        <w:numPr>
          <w:ilvl w:val="0"/>
          <w:numId w:val="0"/>
        </w:numPr>
        <w:spacing w:line="360" w:lineRule="auto"/>
        <w:jc w:val="both"/>
        <w:rPr>
          <w:rFonts w:hint="eastAsia"/>
          <w:sz w:val="24"/>
          <w:szCs w:val="24"/>
          <w:lang w:val="en-US" w:eastAsia="zh-CN"/>
        </w:rPr>
      </w:pPr>
    </w:p>
    <w:p w14:paraId="3C049345">
      <w:pPr>
        <w:widowControl w:val="0"/>
        <w:numPr>
          <w:ilvl w:val="0"/>
          <w:numId w:val="1"/>
        </w:numPr>
        <w:spacing w:line="360" w:lineRule="auto"/>
        <w:ind w:left="0" w:leftChars="0" w:firstLine="0" w:firstLineChars="0"/>
        <w:jc w:val="both"/>
        <w:rPr>
          <w:rFonts w:hint="eastAsia"/>
          <w:b/>
          <w:bCs/>
          <w:sz w:val="24"/>
          <w:szCs w:val="24"/>
          <w:lang w:val="en-US" w:eastAsia="zh-CN"/>
        </w:rPr>
      </w:pPr>
      <w:r>
        <w:rPr>
          <w:rFonts w:hint="eastAsia"/>
          <w:b/>
          <w:bCs/>
          <w:sz w:val="24"/>
          <w:szCs w:val="24"/>
          <w:lang w:val="en-US" w:eastAsia="zh-CN"/>
        </w:rPr>
        <w:t>二季度毛利率提升，提升能否维持？其他的竞争对手有没有扩产计划？新疆沈宏重整的进展？</w:t>
      </w:r>
    </w:p>
    <w:p w14:paraId="3B9F4B72">
      <w:pPr>
        <w:widowControl w:val="0"/>
        <w:numPr>
          <w:ilvl w:val="0"/>
          <w:numId w:val="0"/>
        </w:numPr>
        <w:spacing w:line="360" w:lineRule="auto"/>
        <w:ind w:leftChars="0" w:firstLine="420" w:firstLineChars="0"/>
        <w:jc w:val="both"/>
        <w:rPr>
          <w:rFonts w:hint="eastAsia"/>
          <w:sz w:val="24"/>
          <w:szCs w:val="24"/>
          <w:lang w:val="en-US" w:eastAsia="zh-CN"/>
        </w:rPr>
      </w:pPr>
      <w:r>
        <w:rPr>
          <w:rFonts w:hint="eastAsia"/>
          <w:sz w:val="24"/>
          <w:szCs w:val="24"/>
          <w:lang w:val="en-US" w:eastAsia="zh-CN"/>
        </w:rPr>
        <w:t>从2021年整合民丰之后，我们占到国内市场50%左右的份额。从彼时起，公司毛利率走势总体非常平稳。今年二季度毛利率达到了历史中枢的上端位置。从公开市场信息可知，公司毛利率与行业其他主流厂商相比，有十三到十五个百分点的优势，因为行业本身需求有增量，竞争对手近年来也在努力成长，公司认为未来市场竞争格局有进一步优化和再平衡的必要。</w:t>
      </w:r>
    </w:p>
    <w:p w14:paraId="6ED13DD6">
      <w:pPr>
        <w:widowControl w:val="0"/>
        <w:numPr>
          <w:ilvl w:val="0"/>
          <w:numId w:val="0"/>
        </w:numPr>
        <w:spacing w:line="360" w:lineRule="auto"/>
        <w:ind w:leftChars="0" w:firstLine="420" w:firstLineChars="0"/>
        <w:jc w:val="both"/>
        <w:rPr>
          <w:rFonts w:hint="default"/>
          <w:sz w:val="24"/>
          <w:szCs w:val="24"/>
          <w:lang w:val="en-US" w:eastAsia="zh-CN"/>
        </w:rPr>
      </w:pPr>
      <w:r>
        <w:rPr>
          <w:rFonts w:hint="eastAsia"/>
          <w:sz w:val="24"/>
          <w:szCs w:val="24"/>
          <w:lang w:val="en-US" w:eastAsia="zh-CN"/>
        </w:rPr>
        <w:t>新疆沈宏当前业务规模较鼎盛时期虽然萎缩较多，但在当地仍是最大的民营企业，当地政府对其破产重整的处理是很慎重的。该企业未来的经营也确实是机遇与挑战并存，只有在我司的主导下进行整合，才能产生三基地协同的增量价值。公司将秉承为投资人和当地产业相关方充分负责的态度，在充分论证投资性价比的基础上进行后续决策。</w:t>
      </w:r>
    </w:p>
    <w:p w14:paraId="10E4BD72">
      <w:pPr>
        <w:widowControl w:val="0"/>
        <w:numPr>
          <w:ilvl w:val="0"/>
          <w:numId w:val="0"/>
        </w:numPr>
        <w:spacing w:line="360" w:lineRule="auto"/>
        <w:ind w:leftChars="0"/>
        <w:jc w:val="both"/>
        <w:rPr>
          <w:rFonts w:hint="default"/>
          <w:b/>
          <w:bCs/>
          <w:sz w:val="24"/>
          <w:szCs w:val="24"/>
          <w:lang w:val="en-US" w:eastAsia="zh-CN"/>
        </w:rPr>
      </w:pPr>
    </w:p>
    <w:p w14:paraId="32A70401">
      <w:pPr>
        <w:widowControl w:val="0"/>
        <w:numPr>
          <w:ilvl w:val="0"/>
          <w:numId w:val="1"/>
        </w:numPr>
        <w:spacing w:line="360" w:lineRule="auto"/>
        <w:ind w:left="0" w:leftChars="0" w:firstLine="0" w:firstLineChars="0"/>
        <w:jc w:val="both"/>
        <w:rPr>
          <w:rFonts w:hint="eastAsia"/>
          <w:b/>
          <w:bCs/>
          <w:sz w:val="24"/>
          <w:szCs w:val="24"/>
          <w:lang w:val="en-US" w:eastAsia="zh-CN"/>
        </w:rPr>
      </w:pPr>
      <w:r>
        <w:rPr>
          <w:rFonts w:hint="eastAsia"/>
          <w:b/>
          <w:bCs/>
          <w:sz w:val="24"/>
          <w:szCs w:val="24"/>
          <w:lang w:val="en-US" w:eastAsia="zh-CN"/>
        </w:rPr>
        <w:t>今年上半年现金流要少一些，是什么原因？锂离子电解液和超细氢氧化铝的情况如何？</w:t>
      </w:r>
    </w:p>
    <w:p w14:paraId="39855BF0">
      <w:pPr>
        <w:widowControl w:val="0"/>
        <w:numPr>
          <w:ilvl w:val="0"/>
          <w:numId w:val="0"/>
        </w:numPr>
        <w:spacing w:line="360" w:lineRule="auto"/>
        <w:ind w:leftChars="0" w:firstLine="420" w:firstLineChars="0"/>
        <w:jc w:val="both"/>
        <w:rPr>
          <w:rFonts w:hint="eastAsia"/>
          <w:sz w:val="24"/>
          <w:szCs w:val="24"/>
          <w:lang w:val="en-US" w:eastAsia="zh-CN"/>
        </w:rPr>
      </w:pPr>
      <w:r>
        <w:rPr>
          <w:rFonts w:hint="eastAsia"/>
          <w:sz w:val="24"/>
          <w:szCs w:val="24"/>
          <w:lang w:val="en-US" w:eastAsia="zh-CN"/>
        </w:rPr>
        <w:t>受原材料采购进度和下游客户交付及回款周期影响，公司经营性现金流净额历史上季度间波动一直较大，这是行业习惯造成的，季度数据并不具有太高的参考价值。但以年度来看，经营性现金流净额比净利润少，去年以来确实如此，主要是由于应收账款和一些特殊库存占款所致，公司对占款规模是高度关注的，也会进行密切的月度跟踪，当前占款风险充分可控。</w:t>
      </w:r>
    </w:p>
    <w:p w14:paraId="1DDB8421">
      <w:pPr>
        <w:widowControl w:val="0"/>
        <w:numPr>
          <w:ilvl w:val="0"/>
          <w:numId w:val="0"/>
        </w:numPr>
        <w:spacing w:line="360" w:lineRule="auto"/>
        <w:ind w:leftChars="0" w:firstLine="420" w:firstLineChars="0"/>
        <w:jc w:val="both"/>
        <w:rPr>
          <w:rFonts w:hint="default"/>
          <w:sz w:val="24"/>
          <w:szCs w:val="24"/>
          <w:lang w:val="en-US" w:eastAsia="zh-CN"/>
        </w:rPr>
      </w:pPr>
      <w:r>
        <w:rPr>
          <w:rFonts w:hint="eastAsia"/>
          <w:sz w:val="24"/>
          <w:szCs w:val="24"/>
          <w:lang w:val="en-US" w:eastAsia="zh-CN"/>
        </w:rPr>
        <w:t>超细氢氧化铝，在半年报中体现出产量还是扩展到了约2.9万吨，销量没有同步提升，跟去年同期相比略有增长。公司的氢氧化铝主要还是依托副产物来做原材料，募投项目立足于对重庆基地的副产物进行充分利用。因两大基地的工艺细节有差异，导致副产物的理化指标也有区别，作为原材料使用需要一些工艺上的调整，这个环节在正常进行，今年下半年预计会增长得多一些。锂离子电池电解液的经营主体是位于厦门的子公司，产量少，近年来毛利率在行业激烈的竞争格局中一直维持稳定，这殊为不易。公司还是会对电解液资产做有限扩产，希望他们在下游精细化学品领域能给铬材料带来一些新的应用空间，公司在这方面也有持续的研发布局。</w:t>
      </w:r>
    </w:p>
    <w:p w14:paraId="66FF024E">
      <w:pPr>
        <w:widowControl w:val="0"/>
        <w:numPr>
          <w:ilvl w:val="0"/>
          <w:numId w:val="0"/>
        </w:numPr>
        <w:spacing w:line="360" w:lineRule="auto"/>
        <w:ind w:leftChars="0"/>
        <w:jc w:val="both"/>
        <w:rPr>
          <w:rFonts w:hint="eastAsia"/>
          <w:sz w:val="24"/>
          <w:szCs w:val="24"/>
          <w:lang w:val="en-US" w:eastAsia="zh-CN"/>
        </w:rPr>
      </w:pPr>
    </w:p>
    <w:p w14:paraId="2433142E">
      <w:pPr>
        <w:widowControl w:val="0"/>
        <w:numPr>
          <w:ilvl w:val="0"/>
          <w:numId w:val="0"/>
        </w:numPr>
        <w:spacing w:line="360" w:lineRule="auto"/>
        <w:ind w:leftChars="0"/>
        <w:jc w:val="both"/>
        <w:rPr>
          <w:rFonts w:hint="default"/>
          <w:b/>
          <w:bCs/>
          <w:sz w:val="24"/>
          <w:szCs w:val="24"/>
          <w:lang w:val="en-US" w:eastAsia="zh-CN"/>
        </w:rPr>
      </w:pPr>
      <w:r>
        <w:rPr>
          <w:rFonts w:hint="eastAsia"/>
          <w:b/>
          <w:bCs/>
          <w:sz w:val="24"/>
          <w:szCs w:val="24"/>
          <w:lang w:val="en-US" w:eastAsia="zh-CN"/>
        </w:rPr>
        <w:t>6、其他企业有无后续的扩产计划？</w:t>
      </w:r>
    </w:p>
    <w:p w14:paraId="45CF596E">
      <w:pPr>
        <w:widowControl w:val="0"/>
        <w:numPr>
          <w:ilvl w:val="0"/>
          <w:numId w:val="0"/>
        </w:numPr>
        <w:spacing w:line="360" w:lineRule="auto"/>
        <w:ind w:firstLine="420" w:firstLineChars="0"/>
        <w:jc w:val="both"/>
        <w:rPr>
          <w:rFonts w:hint="eastAsia"/>
          <w:sz w:val="24"/>
          <w:szCs w:val="24"/>
          <w:lang w:val="en-US" w:eastAsia="zh-CN"/>
        </w:rPr>
      </w:pPr>
      <w:r>
        <w:rPr>
          <w:rFonts w:hint="eastAsia"/>
          <w:sz w:val="24"/>
          <w:szCs w:val="24"/>
          <w:lang w:val="en-US" w:eastAsia="zh-CN"/>
        </w:rPr>
        <w:t>近10年来的行业实践中，只有公司的黄石工厂在未更新主装置、未改变主工艺的前提下，通过节能降耗的技术改造，在降低总排放量的基础上实现了产能的大幅提升，这里面有很强的工艺诀窍。据我们所知，近几年部分同业厂商也有增量，但基于行业政策和技术投入方面的限制，国内尚未出现有效产能的大幅增加。</w:t>
      </w:r>
    </w:p>
    <w:p w14:paraId="5E0CDB96">
      <w:pPr>
        <w:widowControl w:val="0"/>
        <w:numPr>
          <w:ilvl w:val="0"/>
          <w:numId w:val="0"/>
        </w:numPr>
        <w:spacing w:line="360" w:lineRule="auto"/>
        <w:ind w:firstLine="420" w:firstLineChars="0"/>
        <w:jc w:val="both"/>
        <w:rPr>
          <w:rFonts w:hint="eastAsia"/>
          <w:sz w:val="24"/>
          <w:szCs w:val="24"/>
          <w:lang w:val="en-US" w:eastAsia="zh-CN"/>
        </w:rPr>
      </w:pPr>
    </w:p>
    <w:p w14:paraId="5EF3F8E9">
      <w:pPr>
        <w:widowControl w:val="0"/>
        <w:numPr>
          <w:ilvl w:val="0"/>
          <w:numId w:val="0"/>
        </w:numPr>
        <w:spacing w:line="360" w:lineRule="auto"/>
        <w:ind w:firstLine="420" w:firstLineChars="0"/>
        <w:jc w:val="both"/>
        <w:rPr>
          <w:rFonts w:hint="default"/>
          <w:sz w:val="24"/>
          <w:szCs w:val="24"/>
          <w:lang w:val="en-US" w:eastAsia="zh-CN"/>
        </w:rPr>
      </w:pPr>
    </w:p>
    <w:p w14:paraId="4D0A12AE">
      <w:pPr>
        <w:widowControl w:val="0"/>
        <w:numPr>
          <w:ilvl w:val="0"/>
          <w:numId w:val="0"/>
        </w:numPr>
        <w:spacing w:line="360" w:lineRule="auto"/>
        <w:jc w:val="both"/>
        <w:rPr>
          <w:rFonts w:hint="default"/>
          <w:sz w:val="24"/>
          <w:szCs w:val="24"/>
          <w:lang w:val="en-US" w:eastAsia="zh-CN"/>
        </w:rPr>
      </w:pPr>
    </w:p>
    <w:p w14:paraId="5471B910">
      <w:pPr>
        <w:widowControl w:val="0"/>
        <w:numPr>
          <w:ilvl w:val="0"/>
          <w:numId w:val="0"/>
        </w:numPr>
        <w:spacing w:line="360" w:lineRule="auto"/>
        <w:jc w:val="both"/>
        <w:rPr>
          <w:rFonts w:hint="default"/>
          <w:lang w:val="en-US" w:eastAsia="zh-CN"/>
        </w:rPr>
      </w:pPr>
      <w:r>
        <w:rPr>
          <w:rFonts w:hint="default"/>
          <w:sz w:val="24"/>
          <w:szCs w:val="24"/>
          <w:lang w:val="en-US" w:eastAsia="zh-CN"/>
        </w:rPr>
        <w:t>附：</w:t>
      </w:r>
      <w:r>
        <w:rPr>
          <w:rFonts w:hint="eastAsia"/>
          <w:sz w:val="24"/>
          <w:szCs w:val="24"/>
          <w:lang w:val="en-US" w:eastAsia="zh-CN"/>
        </w:rPr>
        <w:t>部分</w:t>
      </w:r>
      <w:r>
        <w:rPr>
          <w:rFonts w:hint="default"/>
          <w:sz w:val="24"/>
          <w:szCs w:val="24"/>
          <w:lang w:val="en-US" w:eastAsia="zh-CN"/>
        </w:rPr>
        <w:t>参会机构清单（排名不分先后）</w:t>
      </w:r>
    </w:p>
    <w:p w14:paraId="295CDA7A">
      <w:pPr>
        <w:widowControl w:val="0"/>
        <w:numPr>
          <w:ilvl w:val="0"/>
          <w:numId w:val="0"/>
        </w:numPr>
        <w:jc w:val="both"/>
        <w:rPr>
          <w:rFonts w:hint="default"/>
          <w:lang w:val="en-US" w:eastAsia="zh-CN"/>
        </w:rPr>
      </w:pPr>
    </w:p>
    <w:p w14:paraId="6A2CDE14">
      <w:pPr>
        <w:widowControl w:val="0"/>
        <w:numPr>
          <w:ilvl w:val="0"/>
          <w:numId w:val="0"/>
        </w:numPr>
        <w:jc w:val="both"/>
        <w:rPr>
          <w:rFonts w:hint="default"/>
          <w:lang w:val="en-US" w:eastAsia="zh-CN"/>
        </w:rPr>
        <w:sectPr>
          <w:pgSz w:w="11906" w:h="16838"/>
          <w:pgMar w:top="1440" w:right="1800" w:bottom="1440" w:left="1800" w:header="851" w:footer="992" w:gutter="0"/>
          <w:cols w:space="425" w:num="1"/>
          <w:docGrid w:type="lines" w:linePitch="312" w:charSpace="0"/>
        </w:sectPr>
      </w:pPr>
    </w:p>
    <w:p w14:paraId="193B675C">
      <w:pPr>
        <w:widowControl w:val="0"/>
        <w:numPr>
          <w:ilvl w:val="0"/>
          <w:numId w:val="0"/>
        </w:numPr>
        <w:spacing w:line="360" w:lineRule="auto"/>
        <w:ind w:firstLine="480" w:firstLineChars="200"/>
        <w:jc w:val="both"/>
        <w:rPr>
          <w:rFonts w:hint="default"/>
          <w:sz w:val="24"/>
          <w:szCs w:val="24"/>
          <w:lang w:val="en-US" w:eastAsia="zh-CN"/>
        </w:rPr>
      </w:pPr>
      <w:r>
        <w:rPr>
          <w:rFonts w:hint="default"/>
          <w:sz w:val="24"/>
          <w:szCs w:val="24"/>
          <w:lang w:val="en-US" w:eastAsia="zh-CN"/>
        </w:rPr>
        <w:t>国海证券</w:t>
      </w:r>
    </w:p>
    <w:p w14:paraId="43096BE8">
      <w:pPr>
        <w:widowControl w:val="0"/>
        <w:numPr>
          <w:ilvl w:val="0"/>
          <w:numId w:val="0"/>
        </w:numPr>
        <w:spacing w:line="360" w:lineRule="auto"/>
        <w:ind w:firstLine="480" w:firstLineChars="200"/>
        <w:jc w:val="both"/>
        <w:rPr>
          <w:rFonts w:hint="default"/>
          <w:sz w:val="24"/>
          <w:szCs w:val="24"/>
          <w:lang w:val="en-US" w:eastAsia="zh-CN"/>
        </w:rPr>
      </w:pPr>
      <w:r>
        <w:rPr>
          <w:rFonts w:hint="default"/>
          <w:sz w:val="24"/>
          <w:szCs w:val="24"/>
          <w:lang w:val="en-US" w:eastAsia="zh-CN"/>
        </w:rPr>
        <w:t>长城基金</w:t>
      </w:r>
    </w:p>
    <w:p w14:paraId="166EDBBF">
      <w:pPr>
        <w:widowControl w:val="0"/>
        <w:numPr>
          <w:ilvl w:val="0"/>
          <w:numId w:val="0"/>
        </w:numPr>
        <w:spacing w:line="360" w:lineRule="auto"/>
        <w:ind w:firstLine="480" w:firstLineChars="200"/>
        <w:jc w:val="both"/>
        <w:rPr>
          <w:rFonts w:hint="default"/>
          <w:sz w:val="24"/>
          <w:szCs w:val="24"/>
          <w:lang w:val="en-US" w:eastAsia="zh-CN"/>
        </w:rPr>
      </w:pPr>
      <w:r>
        <w:rPr>
          <w:rFonts w:hint="default"/>
          <w:sz w:val="24"/>
          <w:szCs w:val="24"/>
          <w:lang w:val="en-US" w:eastAsia="zh-CN"/>
        </w:rPr>
        <w:t>英大保险</w:t>
      </w:r>
    </w:p>
    <w:p w14:paraId="618920F8">
      <w:pPr>
        <w:widowControl w:val="0"/>
        <w:numPr>
          <w:ilvl w:val="0"/>
          <w:numId w:val="0"/>
        </w:numPr>
        <w:spacing w:line="360" w:lineRule="auto"/>
        <w:ind w:firstLine="480" w:firstLineChars="200"/>
        <w:jc w:val="both"/>
        <w:rPr>
          <w:rFonts w:hint="default"/>
          <w:sz w:val="24"/>
          <w:szCs w:val="24"/>
          <w:lang w:val="en-US" w:eastAsia="zh-CN"/>
        </w:rPr>
      </w:pPr>
      <w:r>
        <w:rPr>
          <w:rFonts w:hint="default"/>
          <w:sz w:val="24"/>
          <w:szCs w:val="24"/>
          <w:lang w:val="en-US" w:eastAsia="zh-CN"/>
        </w:rPr>
        <w:t>彤源</w:t>
      </w:r>
      <w:r>
        <w:rPr>
          <w:rFonts w:hint="eastAsia"/>
          <w:sz w:val="24"/>
          <w:szCs w:val="24"/>
          <w:lang w:val="en-US" w:eastAsia="zh-CN"/>
        </w:rPr>
        <w:t>资本</w:t>
      </w:r>
    </w:p>
    <w:p w14:paraId="4BDFBC58">
      <w:pPr>
        <w:widowControl w:val="0"/>
        <w:numPr>
          <w:ilvl w:val="0"/>
          <w:numId w:val="0"/>
        </w:numPr>
        <w:spacing w:line="360" w:lineRule="auto"/>
        <w:ind w:firstLine="480" w:firstLineChars="200"/>
        <w:jc w:val="both"/>
        <w:rPr>
          <w:rFonts w:hint="default"/>
          <w:sz w:val="24"/>
          <w:szCs w:val="24"/>
          <w:lang w:val="en-US" w:eastAsia="zh-CN"/>
        </w:rPr>
      </w:pPr>
      <w:r>
        <w:rPr>
          <w:rFonts w:hint="default"/>
          <w:sz w:val="24"/>
          <w:szCs w:val="24"/>
          <w:lang w:val="en-US" w:eastAsia="zh-CN"/>
        </w:rPr>
        <w:t>中金资管</w:t>
      </w:r>
    </w:p>
    <w:p w14:paraId="7E65EA42">
      <w:pPr>
        <w:widowControl w:val="0"/>
        <w:numPr>
          <w:ilvl w:val="0"/>
          <w:numId w:val="0"/>
        </w:numPr>
        <w:spacing w:line="360" w:lineRule="auto"/>
        <w:ind w:firstLine="480" w:firstLineChars="200"/>
        <w:jc w:val="both"/>
        <w:rPr>
          <w:rFonts w:hint="default"/>
          <w:sz w:val="24"/>
          <w:szCs w:val="24"/>
          <w:lang w:val="en-US" w:eastAsia="zh-CN"/>
        </w:rPr>
      </w:pPr>
      <w:r>
        <w:rPr>
          <w:rFonts w:hint="default"/>
          <w:sz w:val="24"/>
          <w:szCs w:val="24"/>
          <w:lang w:val="en-US" w:eastAsia="zh-CN"/>
        </w:rPr>
        <w:t>霄沣投资</w:t>
      </w:r>
    </w:p>
    <w:p w14:paraId="4F122128">
      <w:pPr>
        <w:widowControl w:val="0"/>
        <w:numPr>
          <w:ilvl w:val="0"/>
          <w:numId w:val="0"/>
        </w:numPr>
        <w:spacing w:line="360" w:lineRule="auto"/>
        <w:ind w:firstLine="480" w:firstLineChars="200"/>
        <w:jc w:val="both"/>
        <w:rPr>
          <w:rFonts w:hint="default"/>
          <w:sz w:val="24"/>
          <w:szCs w:val="24"/>
          <w:lang w:val="en-US" w:eastAsia="zh-CN"/>
        </w:rPr>
      </w:pPr>
      <w:r>
        <w:rPr>
          <w:rFonts w:hint="default"/>
          <w:sz w:val="24"/>
          <w:szCs w:val="24"/>
          <w:lang w:val="en-US" w:eastAsia="zh-CN"/>
        </w:rPr>
        <w:t>正圆</w:t>
      </w:r>
      <w:r>
        <w:rPr>
          <w:rFonts w:hint="eastAsia"/>
          <w:sz w:val="24"/>
          <w:szCs w:val="24"/>
          <w:lang w:val="en-US" w:eastAsia="zh-CN"/>
        </w:rPr>
        <w:t>资管</w:t>
      </w:r>
    </w:p>
    <w:p w14:paraId="091B0EE6">
      <w:pPr>
        <w:widowControl w:val="0"/>
        <w:numPr>
          <w:ilvl w:val="0"/>
          <w:numId w:val="0"/>
        </w:numPr>
        <w:spacing w:line="360" w:lineRule="auto"/>
        <w:ind w:firstLine="480" w:firstLineChars="200"/>
        <w:jc w:val="both"/>
        <w:rPr>
          <w:rFonts w:hint="default"/>
          <w:sz w:val="24"/>
          <w:szCs w:val="24"/>
          <w:lang w:val="en-US" w:eastAsia="zh-CN"/>
        </w:rPr>
      </w:pPr>
      <w:r>
        <w:rPr>
          <w:rFonts w:hint="default"/>
          <w:sz w:val="24"/>
          <w:szCs w:val="24"/>
          <w:lang w:val="en-US" w:eastAsia="zh-CN"/>
        </w:rPr>
        <w:t>泰康资管</w:t>
      </w:r>
    </w:p>
    <w:p w14:paraId="2F6D897C">
      <w:pPr>
        <w:widowControl w:val="0"/>
        <w:numPr>
          <w:ilvl w:val="0"/>
          <w:numId w:val="0"/>
        </w:numPr>
        <w:spacing w:line="360" w:lineRule="auto"/>
        <w:ind w:firstLine="480" w:firstLineChars="200"/>
        <w:jc w:val="both"/>
        <w:rPr>
          <w:rFonts w:hint="default"/>
          <w:sz w:val="24"/>
          <w:szCs w:val="24"/>
          <w:lang w:val="en-US" w:eastAsia="zh-CN"/>
        </w:rPr>
      </w:pPr>
      <w:r>
        <w:rPr>
          <w:rFonts w:hint="default"/>
          <w:sz w:val="24"/>
          <w:szCs w:val="24"/>
          <w:lang w:val="en-US" w:eastAsia="zh-CN"/>
        </w:rPr>
        <w:t>启泰</w:t>
      </w:r>
      <w:r>
        <w:rPr>
          <w:rFonts w:hint="eastAsia"/>
          <w:sz w:val="24"/>
          <w:szCs w:val="24"/>
          <w:lang w:val="en-US" w:eastAsia="zh-CN"/>
        </w:rPr>
        <w:t>基金</w:t>
      </w:r>
    </w:p>
    <w:p w14:paraId="053D0D1E">
      <w:pPr>
        <w:widowControl w:val="0"/>
        <w:numPr>
          <w:ilvl w:val="0"/>
          <w:numId w:val="0"/>
        </w:numPr>
        <w:spacing w:line="360" w:lineRule="auto"/>
        <w:ind w:firstLine="480" w:firstLineChars="200"/>
        <w:jc w:val="both"/>
        <w:rPr>
          <w:rFonts w:hint="default"/>
          <w:sz w:val="24"/>
          <w:szCs w:val="24"/>
          <w:lang w:val="en-US" w:eastAsia="zh-CN"/>
        </w:rPr>
      </w:pPr>
      <w:r>
        <w:rPr>
          <w:rFonts w:hint="default"/>
          <w:sz w:val="24"/>
          <w:szCs w:val="24"/>
          <w:lang w:val="en-US" w:eastAsia="zh-CN"/>
        </w:rPr>
        <w:t>中信资管</w:t>
      </w:r>
    </w:p>
    <w:p w14:paraId="73A38AC3">
      <w:pPr>
        <w:widowControl w:val="0"/>
        <w:numPr>
          <w:ilvl w:val="0"/>
          <w:numId w:val="0"/>
        </w:numPr>
        <w:spacing w:line="360" w:lineRule="auto"/>
        <w:ind w:firstLine="480" w:firstLineChars="200"/>
        <w:jc w:val="both"/>
        <w:rPr>
          <w:rFonts w:hint="default"/>
          <w:sz w:val="24"/>
          <w:szCs w:val="24"/>
          <w:lang w:val="en-US" w:eastAsia="zh-CN"/>
        </w:rPr>
      </w:pPr>
      <w:r>
        <w:rPr>
          <w:rFonts w:hint="default"/>
          <w:sz w:val="24"/>
          <w:szCs w:val="24"/>
          <w:lang w:val="en-US" w:eastAsia="zh-CN"/>
        </w:rPr>
        <w:t>鹤禧投资</w:t>
      </w:r>
    </w:p>
    <w:p w14:paraId="3B1DEDA4">
      <w:pPr>
        <w:widowControl w:val="0"/>
        <w:numPr>
          <w:ilvl w:val="0"/>
          <w:numId w:val="0"/>
        </w:numPr>
        <w:spacing w:line="360" w:lineRule="auto"/>
        <w:ind w:firstLine="480" w:firstLineChars="200"/>
        <w:jc w:val="both"/>
        <w:rPr>
          <w:rFonts w:hint="default"/>
          <w:sz w:val="24"/>
          <w:szCs w:val="24"/>
          <w:lang w:val="en-US" w:eastAsia="zh-CN"/>
        </w:rPr>
      </w:pPr>
      <w:r>
        <w:rPr>
          <w:rFonts w:hint="default"/>
          <w:sz w:val="24"/>
          <w:szCs w:val="24"/>
          <w:lang w:val="en-US" w:eastAsia="zh-CN"/>
        </w:rPr>
        <w:t>中银资管</w:t>
      </w:r>
    </w:p>
    <w:p w14:paraId="54B2018C">
      <w:pPr>
        <w:widowControl w:val="0"/>
        <w:numPr>
          <w:ilvl w:val="0"/>
          <w:numId w:val="0"/>
        </w:numPr>
        <w:spacing w:line="360" w:lineRule="auto"/>
        <w:ind w:firstLine="480" w:firstLineChars="200"/>
        <w:jc w:val="both"/>
        <w:rPr>
          <w:rFonts w:hint="default"/>
          <w:sz w:val="24"/>
          <w:szCs w:val="24"/>
          <w:lang w:val="en-US" w:eastAsia="zh-CN"/>
        </w:rPr>
      </w:pPr>
      <w:r>
        <w:rPr>
          <w:rFonts w:hint="default"/>
          <w:sz w:val="24"/>
          <w:szCs w:val="24"/>
          <w:lang w:val="en-US" w:eastAsia="zh-CN"/>
        </w:rPr>
        <w:t>国泰基金</w:t>
      </w:r>
    </w:p>
    <w:p w14:paraId="1BEC8D5C">
      <w:pPr>
        <w:widowControl w:val="0"/>
        <w:numPr>
          <w:ilvl w:val="0"/>
          <w:numId w:val="0"/>
        </w:numPr>
        <w:spacing w:line="360" w:lineRule="auto"/>
        <w:ind w:firstLine="480" w:firstLineChars="200"/>
        <w:jc w:val="both"/>
        <w:rPr>
          <w:rFonts w:hint="eastAsia"/>
          <w:sz w:val="24"/>
          <w:szCs w:val="24"/>
          <w:lang w:val="en-US" w:eastAsia="zh-CN"/>
        </w:rPr>
      </w:pPr>
      <w:r>
        <w:rPr>
          <w:rFonts w:hint="eastAsia"/>
          <w:sz w:val="24"/>
          <w:szCs w:val="24"/>
          <w:lang w:val="en-US" w:eastAsia="zh-CN"/>
        </w:rPr>
        <w:t>广发证券</w:t>
      </w:r>
    </w:p>
    <w:p w14:paraId="6B71580E">
      <w:pPr>
        <w:widowControl w:val="0"/>
        <w:numPr>
          <w:ilvl w:val="0"/>
          <w:numId w:val="0"/>
        </w:numPr>
        <w:spacing w:line="360" w:lineRule="auto"/>
        <w:ind w:firstLine="480" w:firstLineChars="200"/>
        <w:jc w:val="both"/>
        <w:rPr>
          <w:rFonts w:hint="default"/>
          <w:sz w:val="24"/>
          <w:szCs w:val="24"/>
          <w:lang w:val="en-US" w:eastAsia="zh-CN"/>
        </w:rPr>
      </w:pPr>
      <w:r>
        <w:rPr>
          <w:rFonts w:hint="default"/>
          <w:sz w:val="24"/>
          <w:szCs w:val="24"/>
          <w:lang w:val="en-US" w:eastAsia="zh-CN"/>
        </w:rPr>
        <w:t>汇添富</w:t>
      </w:r>
    </w:p>
    <w:p w14:paraId="6027D34E">
      <w:pPr>
        <w:widowControl w:val="0"/>
        <w:numPr>
          <w:ilvl w:val="0"/>
          <w:numId w:val="0"/>
        </w:numPr>
        <w:spacing w:line="360" w:lineRule="auto"/>
        <w:ind w:firstLine="480" w:firstLineChars="200"/>
        <w:jc w:val="both"/>
        <w:rPr>
          <w:rFonts w:hint="default"/>
          <w:sz w:val="24"/>
          <w:szCs w:val="24"/>
          <w:lang w:val="en-US" w:eastAsia="zh-CN"/>
        </w:rPr>
      </w:pPr>
      <w:r>
        <w:rPr>
          <w:rFonts w:hint="default"/>
          <w:sz w:val="24"/>
          <w:szCs w:val="24"/>
          <w:lang w:val="en-US" w:eastAsia="zh-CN"/>
        </w:rPr>
        <w:t>华宝基金</w:t>
      </w:r>
    </w:p>
    <w:p w14:paraId="459005C4">
      <w:pPr>
        <w:widowControl w:val="0"/>
        <w:numPr>
          <w:ilvl w:val="0"/>
          <w:numId w:val="0"/>
        </w:numPr>
        <w:spacing w:line="360" w:lineRule="auto"/>
        <w:ind w:firstLine="480" w:firstLineChars="200"/>
        <w:jc w:val="both"/>
        <w:rPr>
          <w:rFonts w:hint="default"/>
          <w:sz w:val="24"/>
          <w:szCs w:val="24"/>
          <w:lang w:val="en-US" w:eastAsia="zh-CN"/>
        </w:rPr>
      </w:pPr>
      <w:r>
        <w:rPr>
          <w:rFonts w:hint="default"/>
          <w:sz w:val="24"/>
          <w:szCs w:val="24"/>
          <w:lang w:val="en-US" w:eastAsia="zh-CN"/>
        </w:rPr>
        <w:t>平安</w:t>
      </w:r>
      <w:r>
        <w:rPr>
          <w:rFonts w:hint="eastAsia"/>
          <w:sz w:val="24"/>
          <w:szCs w:val="24"/>
          <w:lang w:val="en-US" w:eastAsia="zh-CN"/>
        </w:rPr>
        <w:t>保险</w:t>
      </w:r>
    </w:p>
    <w:p w14:paraId="1FFBB898">
      <w:pPr>
        <w:widowControl w:val="0"/>
        <w:numPr>
          <w:ilvl w:val="0"/>
          <w:numId w:val="0"/>
        </w:numPr>
        <w:spacing w:line="360" w:lineRule="auto"/>
        <w:ind w:firstLine="480" w:firstLineChars="200"/>
        <w:jc w:val="both"/>
        <w:rPr>
          <w:rFonts w:hint="default"/>
          <w:sz w:val="24"/>
          <w:szCs w:val="24"/>
          <w:lang w:val="en-US" w:eastAsia="zh-CN"/>
        </w:rPr>
      </w:pPr>
      <w:r>
        <w:rPr>
          <w:rFonts w:hint="default"/>
          <w:sz w:val="24"/>
          <w:szCs w:val="24"/>
          <w:lang w:val="en-US" w:eastAsia="zh-CN"/>
        </w:rPr>
        <w:t>上海常春藤资管</w:t>
      </w:r>
    </w:p>
    <w:p w14:paraId="30DCD703">
      <w:pPr>
        <w:widowControl w:val="0"/>
        <w:numPr>
          <w:ilvl w:val="0"/>
          <w:numId w:val="0"/>
        </w:numPr>
        <w:spacing w:line="360" w:lineRule="auto"/>
        <w:ind w:firstLine="480" w:firstLineChars="200"/>
        <w:jc w:val="both"/>
        <w:rPr>
          <w:rFonts w:hint="default"/>
          <w:sz w:val="24"/>
          <w:szCs w:val="24"/>
          <w:lang w:val="en-US" w:eastAsia="zh-CN"/>
        </w:rPr>
      </w:pPr>
      <w:r>
        <w:rPr>
          <w:rFonts w:hint="default"/>
          <w:sz w:val="24"/>
          <w:szCs w:val="24"/>
          <w:lang w:val="en-US" w:eastAsia="zh-CN"/>
        </w:rPr>
        <w:t>华夏久盈</w:t>
      </w:r>
      <w:r>
        <w:rPr>
          <w:rFonts w:hint="eastAsia"/>
          <w:sz w:val="24"/>
          <w:szCs w:val="24"/>
          <w:lang w:val="en-US" w:eastAsia="zh-CN"/>
        </w:rPr>
        <w:t>基金</w:t>
      </w:r>
    </w:p>
    <w:p w14:paraId="7DB96106">
      <w:pPr>
        <w:widowControl w:val="0"/>
        <w:numPr>
          <w:ilvl w:val="0"/>
          <w:numId w:val="0"/>
        </w:numPr>
        <w:spacing w:line="360" w:lineRule="auto"/>
        <w:ind w:firstLine="480" w:firstLineChars="200"/>
        <w:jc w:val="both"/>
        <w:rPr>
          <w:rFonts w:hint="default"/>
          <w:sz w:val="24"/>
          <w:szCs w:val="24"/>
          <w:lang w:val="en-US" w:eastAsia="zh-CN"/>
        </w:rPr>
      </w:pPr>
      <w:r>
        <w:rPr>
          <w:rFonts w:hint="default"/>
          <w:sz w:val="24"/>
          <w:szCs w:val="24"/>
          <w:lang w:val="en-US" w:eastAsia="zh-CN"/>
        </w:rPr>
        <w:t>太平基金</w:t>
      </w:r>
    </w:p>
    <w:p w14:paraId="1F6474F4">
      <w:pPr>
        <w:widowControl w:val="0"/>
        <w:numPr>
          <w:ilvl w:val="0"/>
          <w:numId w:val="0"/>
        </w:numPr>
        <w:spacing w:line="360" w:lineRule="auto"/>
        <w:ind w:firstLine="480" w:firstLineChars="200"/>
        <w:jc w:val="both"/>
        <w:rPr>
          <w:rFonts w:hint="default"/>
          <w:sz w:val="24"/>
          <w:szCs w:val="24"/>
          <w:lang w:val="en-US" w:eastAsia="zh-CN"/>
        </w:rPr>
      </w:pPr>
      <w:r>
        <w:rPr>
          <w:rFonts w:hint="default"/>
          <w:sz w:val="24"/>
          <w:szCs w:val="24"/>
          <w:lang w:val="en-US" w:eastAsia="zh-CN"/>
        </w:rPr>
        <w:t>朱雀基金</w:t>
      </w:r>
    </w:p>
    <w:p w14:paraId="5DD92D10">
      <w:pPr>
        <w:widowControl w:val="0"/>
        <w:numPr>
          <w:ilvl w:val="0"/>
          <w:numId w:val="0"/>
        </w:numPr>
        <w:spacing w:line="360" w:lineRule="auto"/>
        <w:ind w:firstLine="480" w:firstLineChars="200"/>
        <w:jc w:val="both"/>
        <w:rPr>
          <w:rFonts w:hint="default"/>
          <w:sz w:val="24"/>
          <w:szCs w:val="24"/>
          <w:lang w:val="en-US" w:eastAsia="zh-CN"/>
        </w:rPr>
      </w:pPr>
      <w:r>
        <w:rPr>
          <w:rFonts w:hint="default"/>
          <w:sz w:val="24"/>
          <w:szCs w:val="24"/>
          <w:lang w:val="en-US" w:eastAsia="zh-CN"/>
        </w:rPr>
        <w:t>光大保德信基金</w:t>
      </w:r>
    </w:p>
    <w:p w14:paraId="6454229E">
      <w:pPr>
        <w:widowControl w:val="0"/>
        <w:numPr>
          <w:ilvl w:val="0"/>
          <w:numId w:val="0"/>
        </w:numPr>
        <w:spacing w:line="360" w:lineRule="auto"/>
        <w:ind w:firstLine="480" w:firstLineChars="200"/>
        <w:jc w:val="both"/>
        <w:rPr>
          <w:rFonts w:hint="default"/>
          <w:sz w:val="24"/>
          <w:szCs w:val="24"/>
          <w:lang w:val="en-US" w:eastAsia="zh-CN"/>
        </w:rPr>
      </w:pPr>
      <w:r>
        <w:rPr>
          <w:rFonts w:hint="default"/>
          <w:sz w:val="24"/>
          <w:szCs w:val="24"/>
          <w:lang w:val="en-US" w:eastAsia="zh-CN"/>
        </w:rPr>
        <w:t>华泰保险资管</w:t>
      </w:r>
    </w:p>
    <w:p w14:paraId="0B4DD57D">
      <w:pPr>
        <w:widowControl w:val="0"/>
        <w:numPr>
          <w:ilvl w:val="0"/>
          <w:numId w:val="0"/>
        </w:numPr>
        <w:spacing w:line="360" w:lineRule="auto"/>
        <w:ind w:firstLine="480" w:firstLineChars="200"/>
        <w:jc w:val="both"/>
        <w:rPr>
          <w:rFonts w:hint="default"/>
          <w:sz w:val="24"/>
          <w:szCs w:val="24"/>
          <w:lang w:val="en-US" w:eastAsia="zh-CN"/>
        </w:rPr>
      </w:pPr>
      <w:r>
        <w:rPr>
          <w:rFonts w:hint="default"/>
          <w:sz w:val="24"/>
          <w:szCs w:val="24"/>
          <w:lang w:val="en-US" w:eastAsia="zh-CN"/>
        </w:rPr>
        <w:t>浦银安盛基金</w:t>
      </w:r>
    </w:p>
    <w:p w14:paraId="3E083C70">
      <w:pPr>
        <w:widowControl w:val="0"/>
        <w:numPr>
          <w:ilvl w:val="0"/>
          <w:numId w:val="0"/>
        </w:numPr>
        <w:spacing w:line="360" w:lineRule="auto"/>
        <w:ind w:firstLine="480" w:firstLineChars="200"/>
        <w:jc w:val="both"/>
        <w:rPr>
          <w:rFonts w:hint="default"/>
          <w:sz w:val="24"/>
          <w:szCs w:val="24"/>
          <w:lang w:val="en-US" w:eastAsia="zh-CN"/>
        </w:rPr>
      </w:pPr>
      <w:r>
        <w:rPr>
          <w:rFonts w:hint="default"/>
          <w:sz w:val="24"/>
          <w:szCs w:val="24"/>
          <w:lang w:val="en-US" w:eastAsia="zh-CN"/>
        </w:rPr>
        <w:t>太平养老</w:t>
      </w:r>
      <w:r>
        <w:rPr>
          <w:rFonts w:hint="eastAsia"/>
          <w:sz w:val="24"/>
          <w:szCs w:val="24"/>
          <w:lang w:val="en-US" w:eastAsia="zh-CN"/>
        </w:rPr>
        <w:t>基金</w:t>
      </w:r>
    </w:p>
    <w:p w14:paraId="27A67A88">
      <w:pPr>
        <w:widowControl w:val="0"/>
        <w:numPr>
          <w:ilvl w:val="0"/>
          <w:numId w:val="0"/>
        </w:numPr>
        <w:spacing w:line="360" w:lineRule="auto"/>
        <w:ind w:firstLine="480" w:firstLineChars="200"/>
        <w:jc w:val="both"/>
        <w:rPr>
          <w:rFonts w:hint="default"/>
          <w:sz w:val="24"/>
          <w:szCs w:val="24"/>
          <w:lang w:val="en-US" w:eastAsia="zh-CN"/>
        </w:rPr>
      </w:pPr>
      <w:r>
        <w:rPr>
          <w:rFonts w:hint="default"/>
          <w:sz w:val="24"/>
          <w:szCs w:val="24"/>
          <w:lang w:val="en-US" w:eastAsia="zh-CN"/>
        </w:rPr>
        <w:t>鹏华基金</w:t>
      </w:r>
    </w:p>
    <w:p w14:paraId="531C2CAC">
      <w:pPr>
        <w:widowControl w:val="0"/>
        <w:numPr>
          <w:ilvl w:val="0"/>
          <w:numId w:val="0"/>
        </w:numPr>
        <w:spacing w:line="360" w:lineRule="auto"/>
        <w:ind w:firstLine="480" w:firstLineChars="200"/>
        <w:jc w:val="both"/>
        <w:rPr>
          <w:rFonts w:hint="default"/>
          <w:sz w:val="24"/>
          <w:szCs w:val="24"/>
          <w:lang w:val="en-US" w:eastAsia="zh-CN"/>
        </w:rPr>
      </w:pPr>
      <w:r>
        <w:rPr>
          <w:rFonts w:hint="default"/>
          <w:sz w:val="24"/>
          <w:szCs w:val="24"/>
          <w:lang w:val="en-US" w:eastAsia="zh-CN"/>
        </w:rPr>
        <w:t>新华资管</w:t>
      </w:r>
    </w:p>
    <w:p w14:paraId="747650BB">
      <w:pPr>
        <w:widowControl w:val="0"/>
        <w:numPr>
          <w:ilvl w:val="0"/>
          <w:numId w:val="0"/>
        </w:numPr>
        <w:spacing w:line="360" w:lineRule="auto"/>
        <w:ind w:firstLine="480" w:firstLineChars="200"/>
        <w:jc w:val="both"/>
        <w:rPr>
          <w:rFonts w:hint="default"/>
          <w:sz w:val="24"/>
          <w:szCs w:val="24"/>
          <w:lang w:val="en-US" w:eastAsia="zh-CN"/>
        </w:rPr>
      </w:pPr>
      <w:r>
        <w:rPr>
          <w:rFonts w:hint="default"/>
          <w:sz w:val="24"/>
          <w:szCs w:val="24"/>
          <w:lang w:val="en-US" w:eastAsia="zh-CN"/>
        </w:rPr>
        <w:t>泰信</w:t>
      </w:r>
      <w:r>
        <w:rPr>
          <w:rFonts w:hint="eastAsia"/>
          <w:sz w:val="24"/>
          <w:szCs w:val="24"/>
          <w:lang w:val="en-US" w:eastAsia="zh-CN"/>
        </w:rPr>
        <w:t>基金</w:t>
      </w:r>
    </w:p>
    <w:p w14:paraId="7155E019">
      <w:pPr>
        <w:widowControl w:val="0"/>
        <w:numPr>
          <w:ilvl w:val="0"/>
          <w:numId w:val="0"/>
        </w:numPr>
        <w:spacing w:line="360" w:lineRule="auto"/>
        <w:ind w:firstLine="480" w:firstLineChars="200"/>
        <w:jc w:val="both"/>
        <w:rPr>
          <w:rFonts w:hint="default"/>
          <w:sz w:val="24"/>
          <w:szCs w:val="24"/>
          <w:lang w:val="en-US" w:eastAsia="zh-CN"/>
        </w:rPr>
      </w:pPr>
      <w:r>
        <w:rPr>
          <w:rFonts w:hint="default"/>
          <w:sz w:val="24"/>
          <w:szCs w:val="24"/>
          <w:lang w:val="en-US" w:eastAsia="zh-CN"/>
        </w:rPr>
        <w:t>鹏扬基金</w:t>
      </w:r>
    </w:p>
    <w:p w14:paraId="0659F031">
      <w:pPr>
        <w:widowControl w:val="0"/>
        <w:numPr>
          <w:ilvl w:val="0"/>
          <w:numId w:val="0"/>
        </w:numPr>
        <w:spacing w:line="360" w:lineRule="auto"/>
        <w:ind w:firstLine="480" w:firstLineChars="200"/>
        <w:jc w:val="both"/>
        <w:rPr>
          <w:rFonts w:hint="default"/>
          <w:sz w:val="24"/>
          <w:szCs w:val="24"/>
          <w:lang w:val="en-US" w:eastAsia="zh-CN"/>
        </w:rPr>
      </w:pPr>
      <w:r>
        <w:rPr>
          <w:rFonts w:hint="default"/>
          <w:sz w:val="24"/>
          <w:szCs w:val="24"/>
          <w:lang w:val="en-US" w:eastAsia="zh-CN"/>
        </w:rPr>
        <w:t>财通证券</w:t>
      </w:r>
    </w:p>
    <w:p w14:paraId="61D2F42E">
      <w:pPr>
        <w:widowControl w:val="0"/>
        <w:numPr>
          <w:ilvl w:val="0"/>
          <w:numId w:val="0"/>
        </w:numPr>
        <w:spacing w:line="360" w:lineRule="auto"/>
        <w:ind w:firstLine="480" w:firstLineChars="200"/>
        <w:jc w:val="both"/>
        <w:rPr>
          <w:rFonts w:hint="default"/>
          <w:sz w:val="24"/>
          <w:szCs w:val="24"/>
          <w:lang w:val="en-US" w:eastAsia="zh-CN"/>
        </w:rPr>
      </w:pPr>
      <w:r>
        <w:rPr>
          <w:rFonts w:hint="default"/>
          <w:sz w:val="24"/>
          <w:szCs w:val="24"/>
          <w:lang w:val="en-US" w:eastAsia="zh-CN"/>
        </w:rPr>
        <w:t>养正基金</w:t>
      </w:r>
    </w:p>
    <w:p w14:paraId="791A941F">
      <w:pPr>
        <w:widowControl w:val="0"/>
        <w:numPr>
          <w:ilvl w:val="0"/>
          <w:numId w:val="0"/>
        </w:numPr>
        <w:spacing w:line="360" w:lineRule="auto"/>
        <w:ind w:firstLine="480" w:firstLineChars="200"/>
        <w:jc w:val="both"/>
        <w:rPr>
          <w:rFonts w:hint="default"/>
          <w:sz w:val="24"/>
          <w:szCs w:val="24"/>
          <w:lang w:val="en-US" w:eastAsia="zh-CN"/>
        </w:rPr>
      </w:pPr>
      <w:r>
        <w:rPr>
          <w:rFonts w:hint="default"/>
          <w:sz w:val="24"/>
          <w:szCs w:val="24"/>
          <w:lang w:val="en-US" w:eastAsia="zh-CN"/>
        </w:rPr>
        <w:t>广发基金</w:t>
      </w:r>
    </w:p>
    <w:p w14:paraId="5D849C22">
      <w:pPr>
        <w:widowControl w:val="0"/>
        <w:numPr>
          <w:ilvl w:val="0"/>
          <w:numId w:val="0"/>
        </w:numPr>
        <w:spacing w:line="360" w:lineRule="auto"/>
        <w:ind w:firstLine="480" w:firstLineChars="200"/>
        <w:jc w:val="both"/>
        <w:rPr>
          <w:rFonts w:hint="default"/>
          <w:sz w:val="24"/>
          <w:szCs w:val="24"/>
          <w:lang w:val="en-US" w:eastAsia="zh-CN"/>
        </w:rPr>
      </w:pPr>
      <w:r>
        <w:rPr>
          <w:rFonts w:hint="default"/>
          <w:sz w:val="24"/>
          <w:szCs w:val="24"/>
          <w:lang w:val="en-US" w:eastAsia="zh-CN"/>
        </w:rPr>
        <w:t>红土创新</w:t>
      </w:r>
    </w:p>
    <w:p w14:paraId="04B7AD00">
      <w:pPr>
        <w:widowControl w:val="0"/>
        <w:numPr>
          <w:ilvl w:val="0"/>
          <w:numId w:val="0"/>
        </w:numPr>
        <w:spacing w:line="360" w:lineRule="auto"/>
        <w:ind w:firstLine="480" w:firstLineChars="200"/>
        <w:jc w:val="both"/>
        <w:rPr>
          <w:rFonts w:hint="default"/>
          <w:sz w:val="24"/>
          <w:szCs w:val="24"/>
          <w:lang w:val="en-US" w:eastAsia="zh-CN"/>
        </w:rPr>
      </w:pPr>
      <w:r>
        <w:rPr>
          <w:rFonts w:hint="default"/>
          <w:sz w:val="24"/>
          <w:szCs w:val="24"/>
          <w:lang w:val="en-US" w:eastAsia="zh-CN"/>
        </w:rPr>
        <w:t>煜德资管</w:t>
      </w:r>
    </w:p>
    <w:sectPr>
      <w:type w:val="continuous"/>
      <w:pgSz w:w="11906" w:h="16838"/>
      <w:pgMar w:top="1440" w:right="1800" w:bottom="1440" w:left="1800" w:header="851" w:footer="992" w:gutter="0"/>
      <w:cols w:space="427"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6BB604"/>
    <w:multiLevelType w:val="singleLevel"/>
    <w:tmpl w:val="8C6BB60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F3036"/>
    <w:rsid w:val="00BA0CF4"/>
    <w:rsid w:val="00BE1F01"/>
    <w:rsid w:val="041A4BC4"/>
    <w:rsid w:val="052B5A86"/>
    <w:rsid w:val="06556995"/>
    <w:rsid w:val="0680336B"/>
    <w:rsid w:val="06831993"/>
    <w:rsid w:val="09111AD8"/>
    <w:rsid w:val="0A2B46FB"/>
    <w:rsid w:val="0B442596"/>
    <w:rsid w:val="0C402E98"/>
    <w:rsid w:val="0D444E52"/>
    <w:rsid w:val="0E1B645E"/>
    <w:rsid w:val="0E29390E"/>
    <w:rsid w:val="0E36015A"/>
    <w:rsid w:val="0E99786A"/>
    <w:rsid w:val="11812847"/>
    <w:rsid w:val="11DE4C10"/>
    <w:rsid w:val="12186166"/>
    <w:rsid w:val="121D65A6"/>
    <w:rsid w:val="1296148B"/>
    <w:rsid w:val="13085C96"/>
    <w:rsid w:val="135204E2"/>
    <w:rsid w:val="137D4F06"/>
    <w:rsid w:val="14950145"/>
    <w:rsid w:val="14BB05A5"/>
    <w:rsid w:val="19720CC7"/>
    <w:rsid w:val="1B76772E"/>
    <w:rsid w:val="1C2C6690"/>
    <w:rsid w:val="1DA72BD2"/>
    <w:rsid w:val="1DCE56C2"/>
    <w:rsid w:val="1FEA77EA"/>
    <w:rsid w:val="20783BD5"/>
    <w:rsid w:val="208A1DD0"/>
    <w:rsid w:val="20F967CB"/>
    <w:rsid w:val="21D000A1"/>
    <w:rsid w:val="21ED5C9E"/>
    <w:rsid w:val="23E869F5"/>
    <w:rsid w:val="23E96C56"/>
    <w:rsid w:val="242B6463"/>
    <w:rsid w:val="245E2EB7"/>
    <w:rsid w:val="27F10EB9"/>
    <w:rsid w:val="2829657C"/>
    <w:rsid w:val="284705A3"/>
    <w:rsid w:val="28DB0E17"/>
    <w:rsid w:val="2B5C62D6"/>
    <w:rsid w:val="2BBB4D85"/>
    <w:rsid w:val="2CAA5B36"/>
    <w:rsid w:val="2D5766F2"/>
    <w:rsid w:val="2E2A44CC"/>
    <w:rsid w:val="2E5B5A11"/>
    <w:rsid w:val="30164F71"/>
    <w:rsid w:val="301864D8"/>
    <w:rsid w:val="30D034A6"/>
    <w:rsid w:val="314D2665"/>
    <w:rsid w:val="323C204F"/>
    <w:rsid w:val="32867947"/>
    <w:rsid w:val="34025567"/>
    <w:rsid w:val="35CB1A33"/>
    <w:rsid w:val="36092362"/>
    <w:rsid w:val="368A0898"/>
    <w:rsid w:val="38251365"/>
    <w:rsid w:val="385815C8"/>
    <w:rsid w:val="38C9453B"/>
    <w:rsid w:val="39AE31FE"/>
    <w:rsid w:val="3EAB715E"/>
    <w:rsid w:val="3EDB7CDF"/>
    <w:rsid w:val="3F843922"/>
    <w:rsid w:val="3FE226B1"/>
    <w:rsid w:val="4178536E"/>
    <w:rsid w:val="42984ED8"/>
    <w:rsid w:val="43DB5D75"/>
    <w:rsid w:val="43FF251E"/>
    <w:rsid w:val="4403588A"/>
    <w:rsid w:val="44251211"/>
    <w:rsid w:val="44C332FB"/>
    <w:rsid w:val="459256AF"/>
    <w:rsid w:val="461F3A42"/>
    <w:rsid w:val="47B47C62"/>
    <w:rsid w:val="487C4121"/>
    <w:rsid w:val="49770273"/>
    <w:rsid w:val="4D8F1FA6"/>
    <w:rsid w:val="4DA25B6E"/>
    <w:rsid w:val="50532ED8"/>
    <w:rsid w:val="52DA47A5"/>
    <w:rsid w:val="561D48DC"/>
    <w:rsid w:val="56F516FB"/>
    <w:rsid w:val="57897363"/>
    <w:rsid w:val="579307E4"/>
    <w:rsid w:val="57CF724B"/>
    <w:rsid w:val="58262E54"/>
    <w:rsid w:val="58BD2FA6"/>
    <w:rsid w:val="5A414E3D"/>
    <w:rsid w:val="5C501C37"/>
    <w:rsid w:val="5CE60978"/>
    <w:rsid w:val="5DE60909"/>
    <w:rsid w:val="60A649E3"/>
    <w:rsid w:val="60AE37A4"/>
    <w:rsid w:val="62544EB1"/>
    <w:rsid w:val="6349330C"/>
    <w:rsid w:val="64D05E30"/>
    <w:rsid w:val="65D53316"/>
    <w:rsid w:val="66C642AD"/>
    <w:rsid w:val="66EB5EA7"/>
    <w:rsid w:val="67EA5309"/>
    <w:rsid w:val="684A6627"/>
    <w:rsid w:val="69244A55"/>
    <w:rsid w:val="6A546D07"/>
    <w:rsid w:val="6BC41F84"/>
    <w:rsid w:val="6E0F0C9C"/>
    <w:rsid w:val="6EBD43BD"/>
    <w:rsid w:val="7196383B"/>
    <w:rsid w:val="74A72748"/>
    <w:rsid w:val="76B241A4"/>
    <w:rsid w:val="76FA4881"/>
    <w:rsid w:val="77215ED0"/>
    <w:rsid w:val="77AE1312"/>
    <w:rsid w:val="78C85AB3"/>
    <w:rsid w:val="7D2E5E40"/>
    <w:rsid w:val="7F313E35"/>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1115</Words>
  <Characters>1133</Characters>
  <Lines>0</Lines>
  <Paragraphs>0</Paragraphs>
  <TotalTime>136</TotalTime>
  <ScaleCrop>false</ScaleCrop>
  <LinksUpToDate>false</LinksUpToDate>
  <CharactersWithSpaces>1149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2024-12-30T08:15:00Z</dcterms:created>
  <dc:creator>Administrator</dc:creator>
  <cp:lastModifiedBy>Administrator</cp:lastModifiedBy>
  <dcterms:modified xsi:type="dcterms:W3CDTF">2025-08-15T08:51:23Z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E809700965844E1091282B4C93877446_13</vt:lpwstr>
  </property>
  <property fmtid="{D5CDD505-2E9C-101B-9397-08002B2CF9AE}" pid="4" name="KSOTemplateDocerSaveRecord">
    <vt:lpwstr>eyJoZGlkIjoiYjZkOTNjNzVjNGI5YzZlMjlkNGM4ODRmNzQxZTllODEiLCJ1c2VySWQiOiI2NjY3ODI5NTIifQ==</vt:lpwstr>
  </property>
</Properties>
</file>