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D77C" w14:textId="77777777" w:rsidR="0086294C" w:rsidRDefault="00000000">
      <w:pPr>
        <w:pStyle w:val="1"/>
        <w:rPr>
          <w:rFonts w:ascii="宋体" w:eastAsia="宋体" w:hAnsi="宋体" w:cs="宋体" w:hint="eastAsia"/>
          <w:sz w:val="24"/>
          <w:szCs w:val="24"/>
          <w:lang w:val="en-US"/>
        </w:rPr>
      </w:pPr>
      <w:r>
        <w:rPr>
          <w:rFonts w:ascii="宋体" w:eastAsia="宋体" w:hAnsi="宋体" w:cs="宋体" w:hint="eastAsia"/>
          <w:sz w:val="24"/>
          <w:szCs w:val="24"/>
          <w:lang w:val="en-US"/>
        </w:rPr>
        <w:t>证券代码：600153                                  证券简称：建发股份</w:t>
      </w:r>
    </w:p>
    <w:p w14:paraId="1D81481B" w14:textId="77777777" w:rsidR="0086294C" w:rsidRDefault="0086294C">
      <w:pPr>
        <w:spacing w:line="360" w:lineRule="auto"/>
        <w:jc w:val="center"/>
        <w:rPr>
          <w:rFonts w:ascii="宋体" w:eastAsia="宋体" w:hAnsi="宋体" w:cs="宋体" w:hint="eastAsia"/>
          <w:b/>
          <w:bCs/>
          <w:sz w:val="24"/>
          <w:szCs w:val="24"/>
        </w:rPr>
      </w:pPr>
    </w:p>
    <w:p w14:paraId="3429A03F" w14:textId="77777777" w:rsidR="0086294C"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厦门建发股份有限公司</w:t>
      </w:r>
    </w:p>
    <w:p w14:paraId="5691C55C" w14:textId="77777777" w:rsidR="0086294C" w:rsidRDefault="00000000">
      <w:pPr>
        <w:spacing w:line="360" w:lineRule="auto"/>
        <w:jc w:val="center"/>
        <w:rPr>
          <w:rFonts w:ascii="宋体" w:eastAsia="宋体" w:hAnsi="宋体" w:cs="宋体" w:hint="eastAsia"/>
          <w:sz w:val="24"/>
          <w:szCs w:val="24"/>
          <w:lang w:val="en-US"/>
        </w:rPr>
      </w:pPr>
      <w:r>
        <w:rPr>
          <w:rFonts w:ascii="宋体" w:eastAsia="宋体" w:hAnsi="宋体" w:cs="宋体" w:hint="eastAsia"/>
          <w:b/>
          <w:bCs/>
          <w:sz w:val="32"/>
          <w:szCs w:val="32"/>
        </w:rPr>
        <w:t>投资者关系活动记录表</w:t>
      </w:r>
    </w:p>
    <w:tbl>
      <w:tblPr>
        <w:tblW w:w="8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61"/>
        <w:gridCol w:w="6320"/>
      </w:tblGrid>
      <w:tr w:rsidR="0086294C" w14:paraId="04E9C6C6" w14:textId="77777777">
        <w:trPr>
          <w:trHeight w:val="1744"/>
          <w:jc w:val="center"/>
        </w:trPr>
        <w:tc>
          <w:tcPr>
            <w:tcW w:w="1961" w:type="dxa"/>
          </w:tcPr>
          <w:p w14:paraId="52B7B64A" w14:textId="77777777" w:rsidR="0086294C" w:rsidRDefault="0086294C">
            <w:pPr>
              <w:pStyle w:val="TableParagraph"/>
              <w:spacing w:before="7"/>
              <w:rPr>
                <w:rFonts w:ascii="宋体" w:eastAsia="宋体" w:hAnsi="宋体" w:cs="宋体" w:hint="eastAsia"/>
                <w:b/>
                <w:bCs/>
                <w:sz w:val="24"/>
                <w:szCs w:val="24"/>
              </w:rPr>
            </w:pPr>
          </w:p>
          <w:p w14:paraId="60EEF3A0" w14:textId="77777777" w:rsidR="0086294C"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6320" w:type="dxa"/>
          </w:tcPr>
          <w:p w14:paraId="770851F5" w14:textId="77777777" w:rsidR="0086294C"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Pr>
                    <w:rFonts w:ascii="MS Gothic" w:eastAsia="宋体" w:hAnsi="MS Gothic" w:cs="Segoe UI Symbol"/>
                    <w:sz w:val="24"/>
                    <w:szCs w:val="24"/>
                  </w:rPr>
                  <w:t>☐</w:t>
                </w:r>
              </w:sdtContent>
            </w:sdt>
            <w:r>
              <w:rPr>
                <w:rFonts w:ascii="宋体" w:eastAsia="宋体" w:hAnsi="宋体" w:cs="宋体" w:hint="eastAsia"/>
                <w:sz w:val="24"/>
                <w:szCs w:val="24"/>
              </w:rPr>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1721F1F4" w14:textId="77777777" w:rsidR="0086294C"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媒</w:t>
            </w:r>
            <w:r>
              <w:rPr>
                <w:rFonts w:ascii="宋体" w:eastAsia="宋体" w:hAnsi="宋体" w:cs="宋体" w:hint="eastAsia"/>
                <w:spacing w:val="-3"/>
                <w:sz w:val="24"/>
                <w:szCs w:val="24"/>
              </w:rPr>
              <w:t>体</w:t>
            </w:r>
            <w:r>
              <w:rPr>
                <w:rFonts w:ascii="宋体" w:eastAsia="宋体" w:hAnsi="宋体" w:cs="宋体" w:hint="eastAsia"/>
                <w:sz w:val="24"/>
                <w:szCs w:val="24"/>
              </w:rPr>
              <w:t>采访</w:t>
            </w:r>
            <w:r>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Content>
                <w:r>
                  <w:rPr>
                    <w:rFonts w:ascii="MS Gothic" w:eastAsia="宋体" w:hAnsi="MS Gothic" w:cs="宋体" w:hint="eastAsia"/>
                    <w:sz w:val="24"/>
                    <w:szCs w:val="24"/>
                  </w:rPr>
                  <w:t>☐</w:t>
                </w:r>
              </w:sdtContent>
            </w:sdt>
            <w:r>
              <w:rPr>
                <w:rFonts w:ascii="宋体" w:eastAsia="宋体" w:hAnsi="宋体" w:cs="宋体" w:hint="eastAsia"/>
                <w:sz w:val="24"/>
                <w:szCs w:val="24"/>
              </w:rPr>
              <w:t>业</w:t>
            </w:r>
            <w:r>
              <w:rPr>
                <w:rFonts w:ascii="宋体" w:eastAsia="宋体" w:hAnsi="宋体" w:cs="宋体" w:hint="eastAsia"/>
                <w:spacing w:val="-3"/>
                <w:sz w:val="24"/>
                <w:szCs w:val="24"/>
              </w:rPr>
              <w:t>绩</w:t>
            </w:r>
            <w:r>
              <w:rPr>
                <w:rFonts w:ascii="宋体" w:eastAsia="宋体" w:hAnsi="宋体" w:cs="宋体" w:hint="eastAsia"/>
                <w:sz w:val="24"/>
                <w:szCs w:val="24"/>
              </w:rPr>
              <w:t>说</w:t>
            </w:r>
            <w:r>
              <w:rPr>
                <w:rFonts w:ascii="宋体" w:eastAsia="宋体" w:hAnsi="宋体" w:cs="宋体" w:hint="eastAsia"/>
                <w:spacing w:val="-3"/>
                <w:sz w:val="24"/>
                <w:szCs w:val="24"/>
              </w:rPr>
              <w:t>明</w:t>
            </w:r>
            <w:r>
              <w:rPr>
                <w:rFonts w:ascii="宋体" w:eastAsia="宋体" w:hAnsi="宋体" w:cs="宋体" w:hint="eastAsia"/>
                <w:sz w:val="24"/>
                <w:szCs w:val="24"/>
              </w:rPr>
              <w:t>会</w:t>
            </w:r>
          </w:p>
          <w:p w14:paraId="548591C3" w14:textId="77777777" w:rsidR="0086294C"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新</w:t>
            </w:r>
            <w:r>
              <w:rPr>
                <w:rFonts w:ascii="宋体" w:eastAsia="宋体" w:hAnsi="宋体" w:cs="宋体" w:hint="eastAsia"/>
                <w:spacing w:val="-3"/>
                <w:sz w:val="24"/>
                <w:szCs w:val="24"/>
              </w:rPr>
              <w:t>闻</w:t>
            </w:r>
            <w:r>
              <w:rPr>
                <w:rFonts w:ascii="宋体" w:eastAsia="宋体" w:hAnsi="宋体" w:cs="宋体" w:hint="eastAsia"/>
                <w:sz w:val="24"/>
                <w:szCs w:val="24"/>
              </w:rPr>
              <w:t>发</w:t>
            </w:r>
            <w:r>
              <w:rPr>
                <w:rFonts w:ascii="宋体" w:eastAsia="宋体" w:hAnsi="宋体" w:cs="宋体" w:hint="eastAsia"/>
                <w:spacing w:val="-3"/>
                <w:sz w:val="24"/>
                <w:szCs w:val="24"/>
              </w:rPr>
              <w:t>布</w:t>
            </w:r>
            <w:r>
              <w:rPr>
                <w:rFonts w:ascii="宋体" w:eastAsia="宋体" w:hAnsi="宋体" w:cs="宋体" w:hint="eastAsia"/>
                <w:sz w:val="24"/>
                <w:szCs w:val="24"/>
              </w:rPr>
              <w:t>会</w:t>
            </w:r>
            <w:r>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路</w:t>
            </w:r>
            <w:r>
              <w:rPr>
                <w:rFonts w:ascii="宋体" w:eastAsia="宋体" w:hAnsi="宋体" w:cs="宋体" w:hint="eastAsia"/>
                <w:spacing w:val="-3"/>
                <w:sz w:val="24"/>
                <w:szCs w:val="24"/>
              </w:rPr>
              <w:t>演</w:t>
            </w:r>
            <w:r>
              <w:rPr>
                <w:rFonts w:ascii="宋体" w:eastAsia="宋体" w:hAnsi="宋体" w:cs="宋体" w:hint="eastAsia"/>
                <w:sz w:val="24"/>
                <w:szCs w:val="24"/>
              </w:rPr>
              <w:t>活动</w:t>
            </w:r>
          </w:p>
          <w:p w14:paraId="1F0357FD" w14:textId="77777777" w:rsidR="0086294C"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现场参观</w:t>
            </w:r>
          </w:p>
          <w:p w14:paraId="3130DB18" w14:textId="77777777" w:rsidR="0086294C"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其他（</w:t>
            </w:r>
            <w:r>
              <w:rPr>
                <w:rFonts w:ascii="宋体" w:eastAsia="宋体" w:hAnsi="宋体" w:cs="宋体" w:hint="eastAsia"/>
                <w:sz w:val="24"/>
                <w:szCs w:val="24"/>
                <w:u w:val="single"/>
              </w:rPr>
              <w:t>请文字说明其他活动内容）</w:t>
            </w:r>
          </w:p>
        </w:tc>
      </w:tr>
      <w:tr w:rsidR="0086294C" w14:paraId="47B61A15" w14:textId="77777777">
        <w:trPr>
          <w:trHeight w:val="1120"/>
          <w:jc w:val="center"/>
        </w:trPr>
        <w:tc>
          <w:tcPr>
            <w:tcW w:w="1961" w:type="dxa"/>
            <w:vAlign w:val="center"/>
          </w:tcPr>
          <w:p w14:paraId="3E0559E1" w14:textId="77777777" w:rsidR="0086294C" w:rsidRDefault="00000000">
            <w:pPr>
              <w:pStyle w:val="TableParagraph"/>
              <w:spacing w:line="360" w:lineRule="auto"/>
              <w:ind w:left="108" w:right="96"/>
              <w:rPr>
                <w:rFonts w:ascii="宋体" w:eastAsia="宋体" w:hAnsi="宋体" w:cs="宋体" w:hint="eastAsia"/>
                <w:b/>
                <w:bCs/>
                <w:sz w:val="24"/>
                <w:szCs w:val="24"/>
              </w:rPr>
            </w:pPr>
            <w:r>
              <w:rPr>
                <w:rFonts w:ascii="宋体" w:eastAsia="宋体" w:hAnsi="宋体" w:cs="宋体" w:hint="eastAsia"/>
                <w:b/>
                <w:bCs/>
                <w:sz w:val="24"/>
                <w:szCs w:val="24"/>
              </w:rPr>
              <w:t>机构名称</w:t>
            </w:r>
          </w:p>
        </w:tc>
        <w:tc>
          <w:tcPr>
            <w:tcW w:w="6320" w:type="dxa"/>
            <w:vAlign w:val="center"/>
          </w:tcPr>
          <w:p w14:paraId="2D592F3E" w14:textId="77777777" w:rsidR="0086294C" w:rsidRDefault="00000000">
            <w:pPr>
              <w:pStyle w:val="TableParagraph"/>
              <w:spacing w:line="360" w:lineRule="auto"/>
              <w:rPr>
                <w:rFonts w:ascii="宋体" w:eastAsia="宋体" w:hAnsi="宋体" w:cs="宋体" w:hint="eastAsia"/>
                <w:sz w:val="24"/>
                <w:szCs w:val="24"/>
              </w:rPr>
            </w:pPr>
            <w:r>
              <w:rPr>
                <w:rFonts w:ascii="宋体" w:eastAsia="宋体" w:hAnsi="宋体" w:cs="宋体"/>
                <w:sz w:val="24"/>
                <w:szCs w:val="24"/>
              </w:rPr>
              <w:t>详见附表。</w:t>
            </w:r>
          </w:p>
        </w:tc>
      </w:tr>
      <w:tr w:rsidR="0086294C" w14:paraId="531F85BF" w14:textId="77777777">
        <w:trPr>
          <w:trHeight w:val="272"/>
          <w:jc w:val="center"/>
        </w:trPr>
        <w:tc>
          <w:tcPr>
            <w:tcW w:w="1961" w:type="dxa"/>
            <w:vAlign w:val="center"/>
          </w:tcPr>
          <w:p w14:paraId="2DD165B3" w14:textId="77777777" w:rsidR="0086294C"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时间</w:t>
            </w:r>
          </w:p>
        </w:tc>
        <w:tc>
          <w:tcPr>
            <w:tcW w:w="6320" w:type="dxa"/>
            <w:vAlign w:val="center"/>
          </w:tcPr>
          <w:p w14:paraId="26A2CCD3" w14:textId="77777777" w:rsidR="0086294C" w:rsidRDefault="00000000">
            <w:pPr>
              <w:pStyle w:val="TableParagraph"/>
              <w:spacing w:line="360" w:lineRule="auto"/>
              <w:jc w:val="both"/>
              <w:rPr>
                <w:rFonts w:ascii="宋体" w:eastAsia="宋体" w:hAnsi="宋体" w:cs="宋体" w:hint="eastAsia"/>
                <w:sz w:val="24"/>
                <w:szCs w:val="24"/>
                <w:lang w:val="en-US"/>
              </w:rPr>
            </w:pPr>
            <w:r>
              <w:rPr>
                <w:rFonts w:ascii="宋体" w:eastAsia="宋体" w:hAnsi="宋体" w:cs="宋体"/>
                <w:sz w:val="24"/>
                <w:szCs w:val="24"/>
              </w:rPr>
              <w:t>2025年</w:t>
            </w:r>
            <w:r>
              <w:rPr>
                <w:rFonts w:ascii="宋体" w:eastAsia="宋体" w:hAnsi="宋体" w:cs="宋体" w:hint="eastAsia"/>
                <w:sz w:val="24"/>
                <w:szCs w:val="24"/>
                <w:lang w:val="en-US"/>
              </w:rPr>
              <w:t>7</w:t>
            </w:r>
            <w:r>
              <w:rPr>
                <w:rFonts w:ascii="宋体" w:eastAsia="宋体" w:hAnsi="宋体" w:cs="宋体"/>
                <w:sz w:val="24"/>
                <w:szCs w:val="24"/>
              </w:rPr>
              <w:t>月1日</w:t>
            </w:r>
            <w:r>
              <w:rPr>
                <w:rFonts w:ascii="宋体" w:eastAsia="宋体" w:hAnsi="宋体" w:cs="宋体" w:hint="eastAsia"/>
                <w:sz w:val="24"/>
                <w:szCs w:val="24"/>
                <w:lang w:val="en-US"/>
              </w:rPr>
              <w:t>至2025年7月31日</w:t>
            </w:r>
          </w:p>
        </w:tc>
      </w:tr>
      <w:tr w:rsidR="0086294C" w14:paraId="4D9D170B" w14:textId="77777777">
        <w:trPr>
          <w:trHeight w:val="340"/>
          <w:jc w:val="center"/>
        </w:trPr>
        <w:tc>
          <w:tcPr>
            <w:tcW w:w="1961" w:type="dxa"/>
            <w:vAlign w:val="center"/>
          </w:tcPr>
          <w:p w14:paraId="3D952AD1" w14:textId="77777777" w:rsidR="0086294C"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地点</w:t>
            </w:r>
          </w:p>
        </w:tc>
        <w:tc>
          <w:tcPr>
            <w:tcW w:w="6320" w:type="dxa"/>
            <w:vAlign w:val="center"/>
          </w:tcPr>
          <w:p w14:paraId="5989A4B5" w14:textId="77777777" w:rsidR="0086294C" w:rsidRDefault="00000000">
            <w:pPr>
              <w:pStyle w:val="TableParagraph"/>
              <w:spacing w:line="360" w:lineRule="auto"/>
              <w:jc w:val="both"/>
              <w:rPr>
                <w:rFonts w:ascii="宋体" w:eastAsia="宋体" w:hAnsi="宋体" w:cs="宋体" w:hint="eastAsia"/>
                <w:sz w:val="24"/>
                <w:szCs w:val="24"/>
              </w:rPr>
            </w:pPr>
            <w:r>
              <w:rPr>
                <w:rFonts w:ascii="宋体" w:eastAsia="宋体" w:hAnsi="宋体" w:cs="宋体" w:hint="eastAsia"/>
                <w:sz w:val="24"/>
                <w:szCs w:val="24"/>
              </w:rPr>
              <w:t>公司会议室、券商策略会现场</w:t>
            </w:r>
          </w:p>
        </w:tc>
      </w:tr>
      <w:tr w:rsidR="0086294C" w14:paraId="0BB7D542" w14:textId="77777777">
        <w:trPr>
          <w:trHeight w:val="895"/>
          <w:jc w:val="center"/>
        </w:trPr>
        <w:tc>
          <w:tcPr>
            <w:tcW w:w="1961" w:type="dxa"/>
            <w:vAlign w:val="center"/>
          </w:tcPr>
          <w:p w14:paraId="5B40C5CE" w14:textId="77777777" w:rsidR="0086294C" w:rsidRDefault="00000000">
            <w:pPr>
              <w:pStyle w:val="TableParagraph"/>
              <w:spacing w:before="1" w:line="360" w:lineRule="auto"/>
              <w:ind w:left="107"/>
              <w:rPr>
                <w:rFonts w:ascii="宋体" w:eastAsia="宋体" w:hAnsi="宋体" w:cs="宋体" w:hint="eastAsia"/>
                <w:b/>
                <w:bCs/>
                <w:sz w:val="24"/>
                <w:szCs w:val="24"/>
              </w:rPr>
            </w:pPr>
            <w:r>
              <w:rPr>
                <w:rFonts w:ascii="宋体" w:eastAsia="宋体" w:hAnsi="宋体" w:cs="宋体" w:hint="eastAsia"/>
                <w:b/>
                <w:bCs/>
                <w:sz w:val="24"/>
                <w:szCs w:val="24"/>
              </w:rPr>
              <w:t>上市公司接待人员姓名</w:t>
            </w:r>
          </w:p>
        </w:tc>
        <w:tc>
          <w:tcPr>
            <w:tcW w:w="6320" w:type="dxa"/>
            <w:vAlign w:val="center"/>
          </w:tcPr>
          <w:p w14:paraId="7B8D2B21" w14:textId="77777777" w:rsidR="0086294C"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副总经理兼董事会秘书 江桂芝女士</w:t>
            </w:r>
          </w:p>
          <w:p w14:paraId="57A06664" w14:textId="77777777" w:rsidR="0086294C"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证券事务代表 黄丽琼女士</w:t>
            </w:r>
          </w:p>
        </w:tc>
      </w:tr>
      <w:tr w:rsidR="0086294C" w14:paraId="4CE101DB" w14:textId="77777777">
        <w:trPr>
          <w:trHeight w:val="557"/>
          <w:jc w:val="center"/>
        </w:trPr>
        <w:tc>
          <w:tcPr>
            <w:tcW w:w="1961" w:type="dxa"/>
          </w:tcPr>
          <w:p w14:paraId="240967BD" w14:textId="77777777" w:rsidR="0086294C" w:rsidRDefault="0086294C">
            <w:pPr>
              <w:pStyle w:val="TableParagraph"/>
              <w:rPr>
                <w:rFonts w:ascii="宋体" w:eastAsia="宋体" w:hAnsi="宋体" w:cs="宋体" w:hint="eastAsia"/>
                <w:b/>
                <w:bCs/>
                <w:sz w:val="24"/>
                <w:szCs w:val="24"/>
              </w:rPr>
            </w:pPr>
          </w:p>
          <w:p w14:paraId="5EAA0121" w14:textId="77777777" w:rsidR="0086294C" w:rsidRDefault="0086294C">
            <w:pPr>
              <w:pStyle w:val="TableParagraph"/>
              <w:rPr>
                <w:rFonts w:ascii="宋体" w:eastAsia="宋体" w:hAnsi="宋体" w:cs="宋体" w:hint="eastAsia"/>
                <w:b/>
                <w:bCs/>
                <w:sz w:val="24"/>
                <w:szCs w:val="24"/>
              </w:rPr>
            </w:pPr>
          </w:p>
          <w:p w14:paraId="7190E571" w14:textId="77777777" w:rsidR="0086294C" w:rsidRDefault="0086294C">
            <w:pPr>
              <w:pStyle w:val="TableParagraph"/>
              <w:spacing w:before="5"/>
              <w:rPr>
                <w:rFonts w:ascii="宋体" w:eastAsia="宋体" w:hAnsi="宋体" w:cs="宋体" w:hint="eastAsia"/>
                <w:b/>
                <w:bCs/>
                <w:sz w:val="24"/>
                <w:szCs w:val="24"/>
              </w:rPr>
            </w:pPr>
          </w:p>
          <w:p w14:paraId="777271FC" w14:textId="77777777" w:rsidR="0086294C" w:rsidRDefault="00000000">
            <w:pPr>
              <w:pStyle w:val="TableParagraph"/>
              <w:spacing w:before="1" w:line="499" w:lineRule="auto"/>
              <w:ind w:left="107" w:right="96"/>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6320" w:type="dxa"/>
          </w:tcPr>
          <w:p w14:paraId="7EC27510"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lang w:val="en-US"/>
              </w:rPr>
            </w:pPr>
            <w:bookmarkStart w:id="0" w:name="OLE_LINK2"/>
            <w:r>
              <w:rPr>
                <w:rFonts w:ascii="宋体" w:eastAsia="宋体" w:hAnsi="宋体" w:hint="eastAsia"/>
                <w:sz w:val="24"/>
                <w:szCs w:val="24"/>
                <w:lang w:val="en-US"/>
              </w:rPr>
              <w:t>近期部分行业推进“反内卷”，商品期货价格大幅波动，会对公司产生什么样的影响</w:t>
            </w:r>
            <w:r>
              <w:rPr>
                <w:rFonts w:ascii="宋体" w:eastAsia="宋体" w:hAnsi="宋体" w:hint="eastAsia"/>
                <w:sz w:val="24"/>
                <w:szCs w:val="24"/>
              </w:rPr>
              <w:t>？</w:t>
            </w:r>
          </w:p>
          <w:p w14:paraId="1EA99596" w14:textId="77777777" w:rsidR="0086294C" w:rsidRDefault="00000000">
            <w:pPr>
              <w:spacing w:line="300" w:lineRule="auto"/>
              <w:ind w:firstLine="480"/>
              <w:jc w:val="both"/>
              <w:rPr>
                <w:rFonts w:ascii="宋体" w:eastAsia="宋体" w:hAnsi="宋体" w:hint="eastAsia"/>
                <w:sz w:val="24"/>
                <w:szCs w:val="24"/>
                <w:lang w:val="en-US"/>
              </w:rPr>
            </w:pPr>
            <w:r>
              <w:rPr>
                <w:rFonts w:ascii="宋体" w:eastAsia="宋体" w:hAnsi="宋体" w:hint="eastAsia"/>
                <w:sz w:val="24"/>
                <w:szCs w:val="24"/>
              </w:rPr>
              <w:t>答：</w:t>
            </w:r>
            <w:r>
              <w:rPr>
                <w:rFonts w:ascii="宋体" w:eastAsia="宋体" w:hAnsi="宋体" w:hint="eastAsia"/>
                <w:sz w:val="24"/>
                <w:szCs w:val="24"/>
                <w:lang w:val="en-US"/>
              </w:rPr>
              <w:t>反内卷政策出台以来，钢材、碳酸锂、多晶硅、焦炭等大宗商品的期货价格在情绪面、资金面等因素的支撑下短期快速上涨，部分品种的现货价格亦有所回升。我们认为大宗商品现货价格或在中长期维度延续中枢修复的趋势，主要系长效性反内卷政策的落地有助于缓解部分行业的供给压力、引导行业良性竞争，叠加经济企稳回升带动需求端稳定增长，商品整体供需局面有望逐步修复。公司上下游大客户的经营情况有望逐步改善，公司供应链运营业务收取的服务费费率有望恢复至合理水平。此外，由于公司持有少量现货敞口，商品价格的逐步修复对公司经营业绩亦有正向作用。</w:t>
            </w:r>
          </w:p>
          <w:p w14:paraId="6ADC5EB3" w14:textId="77777777" w:rsidR="0086294C" w:rsidRDefault="00000000">
            <w:pPr>
              <w:spacing w:line="300" w:lineRule="auto"/>
              <w:ind w:firstLine="480"/>
              <w:jc w:val="both"/>
              <w:rPr>
                <w:rFonts w:ascii="宋体" w:eastAsia="宋体" w:hAnsi="宋体" w:hint="eastAsia"/>
                <w:sz w:val="24"/>
                <w:szCs w:val="24"/>
                <w:lang w:val="en-US"/>
              </w:rPr>
            </w:pPr>
            <w:r>
              <w:rPr>
                <w:rFonts w:ascii="宋体" w:eastAsia="宋体" w:hAnsi="宋体" w:hint="eastAsia"/>
                <w:sz w:val="24"/>
                <w:szCs w:val="24"/>
                <w:lang w:val="en-US"/>
              </w:rPr>
              <w:t>同时，在大宗商品价格短期剧烈波动的背景下，公司亦需做好价格风险管理，合理运用期货、期权等金融衍生品工具。公司内部针对期货交易有严格的管理体系，严禁期货投机交易； 同时，针对短期期货价格异常波动风险（基差波动风险），公司近年大量开展现货基差贸易，大部分的基差风险已通过销售基差方式完成风险转移。</w:t>
            </w:r>
          </w:p>
          <w:p w14:paraId="2CEE3427" w14:textId="77777777" w:rsidR="0086294C" w:rsidRDefault="00000000">
            <w:pPr>
              <w:spacing w:line="300" w:lineRule="auto"/>
              <w:ind w:firstLine="480"/>
              <w:jc w:val="both"/>
              <w:rPr>
                <w:rFonts w:ascii="宋体" w:eastAsia="宋体" w:hAnsi="宋体" w:hint="eastAsia"/>
                <w:sz w:val="24"/>
                <w:szCs w:val="24"/>
                <w:lang w:val="en-US"/>
              </w:rPr>
            </w:pPr>
            <w:r>
              <w:rPr>
                <w:rFonts w:ascii="宋体" w:eastAsia="宋体" w:hAnsi="宋体" w:hint="eastAsia"/>
                <w:sz w:val="24"/>
                <w:szCs w:val="24"/>
                <w:lang w:val="en-US"/>
              </w:rPr>
              <w:lastRenderedPageBreak/>
              <w:t>从中长期角度看，公司希望通过经营货量的持续增长、内部的精细化管理、客户结构以及业务结构的优化来提高整体利润率水平，提升自身穿越经济周期的能力。</w:t>
            </w:r>
          </w:p>
          <w:bookmarkEnd w:id="0"/>
          <w:p w14:paraId="5A33E383" w14:textId="77777777" w:rsidR="0086294C" w:rsidRDefault="0086294C">
            <w:pPr>
              <w:spacing w:line="300" w:lineRule="auto"/>
              <w:rPr>
                <w:rFonts w:ascii="宋体" w:eastAsia="宋体" w:hAnsi="宋体" w:hint="eastAsia"/>
                <w:sz w:val="24"/>
                <w:szCs w:val="24"/>
                <w:lang w:val="en-US"/>
              </w:rPr>
            </w:pPr>
          </w:p>
          <w:p w14:paraId="24CFEFD2"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lang w:val="en-US"/>
              </w:rPr>
            </w:pPr>
            <w:r>
              <w:rPr>
                <w:rFonts w:ascii="宋体" w:eastAsia="宋体" w:hAnsi="宋体" w:hint="eastAsia"/>
                <w:sz w:val="24"/>
                <w:szCs w:val="24"/>
                <w:lang w:val="en-US"/>
              </w:rPr>
              <w:t>公司国际化业务的发展思路、业务进展及中长期规划？</w:t>
            </w:r>
          </w:p>
          <w:p w14:paraId="220162B9"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rPr>
              <w:t>答</w:t>
            </w:r>
            <w:r>
              <w:rPr>
                <w:rFonts w:ascii="宋体" w:eastAsia="宋体" w:hAnsi="宋体" w:hint="eastAsia"/>
                <w:sz w:val="24"/>
                <w:szCs w:val="24"/>
                <w:lang w:val="en-US"/>
              </w:rPr>
              <w:t>：国际化是公司供应链运营业务的重点发展战略，公司积极融入国内国际双循环相互促进的新发展格局，持续推进海外业务布局，提升全球化运营能力。目前公司已经与170多个国家和地区建立了业务联系，并持续加快供应链业务的海外布局，致力于打造“中国式商社、全球化建发”。</w:t>
            </w:r>
          </w:p>
          <w:p w14:paraId="5D6C2418"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公司的国际化业务包括进口、出口和“两头在外”的业务，目前进口业务在公司国际化业务中的占比最大，主要系国内市场对部分品类的进口需求规模较大（例如农产品、纸浆和矿产）。未来公司将大力拓展“需求在外”的国际业务，特别是要着力发展“两头在外”的国际业务，使自身真正成为一家全球化的企业。</w:t>
            </w:r>
          </w:p>
          <w:p w14:paraId="25AA3A00"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受益于较早的海外布局，以及近年来中国企业出海的时代背景，公司国际化业务持续快速发展。2024年，公司海外业务（销售目的地为非中国地区的业务）规模已超过100亿美元，同比增长约12%，约占公司供应链业务收入的14%。</w:t>
            </w:r>
          </w:p>
          <w:p w14:paraId="315EEAB7"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从区域布局角度看，公司近年来持续深耕东南亚、中亚、中东、拉美、非洲等重点区域市场。特别是“需求在外”的国际业务方面，2024年，公司与东南亚联盟成员国家的业务规模同比提升约30%，与RCEP成员国家的业务规模同比提升约28%，与亚太经合组织国家的业务规模同比提升约17%，与“一带一路”沿线国家的业务规模同比提升17%。</w:t>
            </w:r>
          </w:p>
          <w:p w14:paraId="32DBBB38"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随着中国企业掀起“出海潮”，全球供应链产业链也在加速重构，中资出海企业催生出了大量海外采销、国际物流、跨境电商、信息咨询等供应链服务需求。公司凭借“LIFT”供应链服务体系，为客户提供以物流、信息、金融、商务四大要素为基础的定制化的供应链运营服务，价值链不断延伸。</w:t>
            </w:r>
          </w:p>
          <w:p w14:paraId="38F174D9"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公司认为，专业化和本土化是对全球化的进一步诠释和战略落地的支撑，因此公司近年来积极推进海外业务本土化运营。截至2025年6月末，公司已有超70个境外公司和办事处，其中26家系境外平台公司。同时，公司加大外籍员工的本土</w:t>
            </w:r>
            <w:r>
              <w:rPr>
                <w:rFonts w:ascii="宋体" w:eastAsia="宋体" w:hAnsi="宋体" w:hint="eastAsia"/>
                <w:sz w:val="24"/>
                <w:szCs w:val="24"/>
                <w:lang w:val="en-US"/>
              </w:rPr>
              <w:lastRenderedPageBreak/>
              <w:t>化招聘，并鼓励业务骨干、年轻人走出去。</w:t>
            </w:r>
          </w:p>
          <w:p w14:paraId="4209D6AB"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在助力中资企业融入全球价值链的过程中，公司战略与国家战略同频共振，通过自身高质量发展为促进国内国际双循环战略提供微观经济基础，既是公司作为国有企业的战略使命，也是支撑公司实现可持续发展的持久动能。</w:t>
            </w:r>
          </w:p>
          <w:p w14:paraId="00B434D7" w14:textId="77777777" w:rsidR="0086294C" w:rsidRDefault="0086294C">
            <w:pPr>
              <w:spacing w:line="300" w:lineRule="auto"/>
              <w:jc w:val="both"/>
              <w:rPr>
                <w:rFonts w:ascii="宋体" w:eastAsia="宋体" w:hAnsi="宋体" w:hint="eastAsia"/>
                <w:sz w:val="24"/>
                <w:szCs w:val="24"/>
                <w:lang w:val="en-US"/>
              </w:rPr>
            </w:pPr>
          </w:p>
          <w:p w14:paraId="6EE5DFBA"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lang w:val="en-US"/>
              </w:rPr>
            </w:pPr>
            <w:r>
              <w:rPr>
                <w:rFonts w:ascii="宋体" w:eastAsia="宋体" w:hAnsi="宋体" w:hint="eastAsia"/>
                <w:sz w:val="24"/>
                <w:szCs w:val="24"/>
                <w:lang w:val="en-US"/>
              </w:rPr>
              <w:t>公司消费品板块的发展情况？与传统消费品经销商业务的差异体现在什么地方？</w:t>
            </w:r>
          </w:p>
          <w:p w14:paraId="3A333075"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rPr>
              <w:t>答</w:t>
            </w:r>
            <w:r>
              <w:rPr>
                <w:rFonts w:ascii="宋体" w:eastAsia="宋体" w:hAnsi="宋体"/>
                <w:sz w:val="24"/>
                <w:szCs w:val="24"/>
                <w:lang w:val="en-US"/>
              </w:rPr>
              <w:t>：</w:t>
            </w:r>
            <w:r>
              <w:rPr>
                <w:rFonts w:ascii="宋体" w:eastAsia="宋体" w:hAnsi="宋体" w:hint="eastAsia"/>
                <w:sz w:val="24"/>
                <w:szCs w:val="24"/>
                <w:lang w:val="en-US"/>
              </w:rPr>
              <w:t>近年来公司战略性加大消费品板块投入，重点发力轻纺、机电、泛食品三大板块，其中轻纺板块核心聚焦纺织原料、鞋服业务；机电板块重点布局车辆设备、汽车、家电领域；泛食品板块大力发展乳制品、咖啡豆等品类。以咖啡豆业务为例，近年来公司紧抓终端饮品消费趋势，专注深耕上下游产业链，目前已为多家知名咖啡连锁品牌提供一站式、专业化的供应链综合服务。例如，公司与</w:t>
            </w:r>
            <w:r>
              <w:rPr>
                <w:rFonts w:ascii="宋体" w:eastAsia="宋体" w:hAnsi="宋体"/>
                <w:sz w:val="24"/>
                <w:szCs w:val="24"/>
                <w:lang w:val="en-US"/>
              </w:rPr>
              <w:t>瑞幸</w:t>
            </w:r>
            <w:r>
              <w:rPr>
                <w:rFonts w:ascii="宋体" w:eastAsia="宋体" w:hAnsi="宋体" w:hint="eastAsia"/>
                <w:sz w:val="24"/>
                <w:szCs w:val="24"/>
                <w:lang w:val="en-US"/>
              </w:rPr>
              <w:t>咖啡</w:t>
            </w:r>
            <w:r>
              <w:rPr>
                <w:rFonts w:ascii="宋体" w:eastAsia="宋体" w:hAnsi="宋体"/>
                <w:sz w:val="24"/>
                <w:szCs w:val="24"/>
                <w:lang w:val="en-US"/>
              </w:rPr>
              <w:t>开展深度合作，为瑞幸</w:t>
            </w:r>
            <w:r>
              <w:rPr>
                <w:rFonts w:ascii="宋体" w:eastAsia="宋体" w:hAnsi="宋体" w:hint="eastAsia"/>
                <w:sz w:val="24"/>
                <w:szCs w:val="24"/>
                <w:lang w:val="en-US"/>
              </w:rPr>
              <w:t>咖啡</w:t>
            </w:r>
            <w:r>
              <w:rPr>
                <w:rFonts w:ascii="宋体" w:eastAsia="宋体" w:hAnsi="宋体"/>
                <w:sz w:val="24"/>
                <w:szCs w:val="24"/>
                <w:lang w:val="en-US"/>
              </w:rPr>
              <w:t>及上下游合作伙伴搭建起覆盖食品原料供应、多口岸保税仓储管理、高效交付的一体化供应链服务平台。</w:t>
            </w:r>
          </w:p>
          <w:p w14:paraId="20203B4E"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从经营业绩层面看，公司消费品板块规模保持稳健增长态势，2024年公司消费品业务的营业收入约430亿元，同比增速超10%。由于消费品与大宗商品的周期存在差异，消费品板块的成长对公司整体经营周期波动具有一定的平抑效果。</w:t>
            </w:r>
          </w:p>
          <w:p w14:paraId="43237D00"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公司在消费品板块的业务模式与传统经销商模式有所不同。公司持续聚焦头部企业与品牌、积极拓展资源与品类，提升供应链整合服务能力，同时通过定制化的项目解决方案建立与核心客户的深度合作关系，达成互利共赢，客户粘性相对较高。</w:t>
            </w:r>
          </w:p>
          <w:p w14:paraId="57DCA622" w14:textId="77777777" w:rsidR="0086294C" w:rsidRDefault="0086294C">
            <w:pPr>
              <w:pStyle w:val="2"/>
              <w:keepNext w:val="0"/>
              <w:keepLines w:val="0"/>
              <w:autoSpaceDE/>
              <w:autoSpaceDN/>
              <w:spacing w:before="0" w:after="0" w:line="300" w:lineRule="auto"/>
              <w:jc w:val="both"/>
              <w:rPr>
                <w:rFonts w:ascii="宋体" w:eastAsia="宋体" w:hAnsi="宋体" w:hint="eastAsia"/>
                <w:sz w:val="24"/>
                <w:szCs w:val="24"/>
                <w:lang w:val="en-US"/>
              </w:rPr>
            </w:pPr>
          </w:p>
          <w:p w14:paraId="6BB78006"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lang w:val="en-US"/>
              </w:rPr>
            </w:pPr>
            <w:r>
              <w:rPr>
                <w:rFonts w:ascii="宋体" w:eastAsia="宋体" w:hAnsi="宋体" w:hint="eastAsia"/>
                <w:sz w:val="24"/>
                <w:szCs w:val="24"/>
                <w:lang w:val="en-US"/>
              </w:rPr>
              <w:t>公司供应链运营业务的竞争优势体现在哪些方面？</w:t>
            </w:r>
          </w:p>
          <w:p w14:paraId="6F8E309F"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答：公司深耕供应链服务行业数十载，在规模效益、多品类和全球化的资源整合能力、数智化体系以及风控体系的建设方面均有一定竞争优势：</w:t>
            </w:r>
          </w:p>
          <w:p w14:paraId="3DA61B1D" w14:textId="77777777" w:rsidR="0086294C" w:rsidRDefault="00000000">
            <w:pPr>
              <w:spacing w:line="300" w:lineRule="auto"/>
              <w:ind w:firstLineChars="200" w:firstLine="482"/>
              <w:jc w:val="both"/>
              <w:rPr>
                <w:rFonts w:ascii="宋体" w:eastAsia="宋体" w:hAnsi="宋体" w:hint="eastAsia"/>
                <w:sz w:val="24"/>
                <w:szCs w:val="24"/>
                <w:lang w:val="en-US"/>
              </w:rPr>
            </w:pPr>
            <w:r>
              <w:rPr>
                <w:rFonts w:ascii="宋体" w:eastAsia="宋体" w:hAnsi="宋体" w:hint="eastAsia"/>
                <w:b/>
                <w:bCs/>
                <w:sz w:val="24"/>
                <w:szCs w:val="24"/>
                <w:lang w:val="en-US"/>
              </w:rPr>
              <w:t>（1）规模优势明显、核心品类专业化能力突出</w:t>
            </w:r>
            <w:r>
              <w:rPr>
                <w:rFonts w:ascii="宋体" w:eastAsia="宋体" w:hAnsi="宋体" w:hint="eastAsia"/>
                <w:sz w:val="24"/>
                <w:szCs w:val="24"/>
                <w:lang w:val="en-US"/>
              </w:rPr>
              <w:t>。</w:t>
            </w:r>
          </w:p>
          <w:p w14:paraId="4A099B4F"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公司营收规模连续多年位于行业前列，多个核心品类的经营货量排名保持行业前三。其中：钢材经营货量超7,000万</w:t>
            </w:r>
            <w:r>
              <w:rPr>
                <w:rFonts w:ascii="宋体" w:eastAsia="宋体" w:hAnsi="宋体" w:hint="eastAsia"/>
                <w:sz w:val="24"/>
                <w:szCs w:val="24"/>
                <w:lang w:val="en-US"/>
              </w:rPr>
              <w:lastRenderedPageBreak/>
              <w:t>吨/年，位居全国前三位；纸浆、纸张经营货量超1,500万吨/年，位居全国第一；农产品经营货量超3,500万吨/年，玉米、高粱、大麦、葵花籽粕等多个产品进口量多年稳居全国前三位；各类矿产品及金属制品经营货量近2000万吨</w:t>
            </w:r>
            <w:bookmarkStart w:id="1" w:name="OLE_LINK1"/>
            <w:r>
              <w:rPr>
                <w:rFonts w:ascii="宋体" w:eastAsia="宋体" w:hAnsi="宋体" w:hint="eastAsia"/>
                <w:sz w:val="24"/>
                <w:szCs w:val="24"/>
                <w:lang w:val="en-US"/>
              </w:rPr>
              <w:t>/年</w:t>
            </w:r>
            <w:bookmarkEnd w:id="1"/>
            <w:r>
              <w:rPr>
                <w:rFonts w:ascii="宋体" w:eastAsia="宋体" w:hAnsi="宋体" w:hint="eastAsia"/>
                <w:sz w:val="24"/>
                <w:szCs w:val="24"/>
                <w:lang w:val="en-US"/>
              </w:rPr>
              <w:t>；鞋类、服装等轻纺产品出口位列全国前列。</w:t>
            </w:r>
          </w:p>
          <w:p w14:paraId="2533EB0B" w14:textId="77777777" w:rsidR="0086294C" w:rsidRDefault="00000000">
            <w:pPr>
              <w:spacing w:line="300" w:lineRule="auto"/>
              <w:ind w:firstLineChars="200" w:firstLine="482"/>
              <w:jc w:val="both"/>
              <w:rPr>
                <w:rFonts w:ascii="宋体" w:eastAsia="宋体" w:hAnsi="宋体" w:hint="eastAsia"/>
                <w:sz w:val="24"/>
                <w:szCs w:val="24"/>
                <w:lang w:val="en-US"/>
              </w:rPr>
            </w:pPr>
            <w:r>
              <w:rPr>
                <w:rFonts w:ascii="宋体" w:eastAsia="宋体" w:hAnsi="宋体" w:hint="eastAsia"/>
                <w:b/>
                <w:bCs/>
                <w:sz w:val="24"/>
                <w:szCs w:val="24"/>
                <w:lang w:val="en-US"/>
              </w:rPr>
              <w:t>（2）多品类、全球化布局，综合资源整合及服务能力出色</w:t>
            </w:r>
            <w:r>
              <w:rPr>
                <w:rFonts w:ascii="宋体" w:eastAsia="宋体" w:hAnsi="宋体" w:hint="eastAsia"/>
                <w:sz w:val="24"/>
                <w:szCs w:val="24"/>
                <w:lang w:val="en-US"/>
              </w:rPr>
              <w:t>。</w:t>
            </w:r>
          </w:p>
          <w:p w14:paraId="4DB70075"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截至2024年末，公司目前已与超过170个国家和地区建立了业务关系，覆盖的产品品类深入到国民经济发展的各个细分领域。多品类、全球化的资源整合能力有助于公司满足客户多元化的商品采销需求、增强客户粘性，同时亦有助于平滑公司业务的周期性。</w:t>
            </w:r>
          </w:p>
          <w:p w14:paraId="31375ADA" w14:textId="77777777" w:rsidR="0086294C" w:rsidRDefault="00000000">
            <w:pPr>
              <w:spacing w:line="300" w:lineRule="auto"/>
              <w:ind w:firstLineChars="200" w:firstLine="482"/>
              <w:jc w:val="both"/>
              <w:rPr>
                <w:rFonts w:ascii="宋体" w:eastAsia="宋体" w:hAnsi="宋体" w:hint="eastAsia"/>
                <w:sz w:val="24"/>
                <w:szCs w:val="24"/>
                <w:lang w:val="en-US"/>
              </w:rPr>
            </w:pPr>
            <w:r>
              <w:rPr>
                <w:rFonts w:ascii="宋体" w:eastAsia="宋体" w:hAnsi="宋体" w:hint="eastAsia"/>
                <w:b/>
                <w:bCs/>
                <w:sz w:val="24"/>
                <w:szCs w:val="24"/>
                <w:lang w:val="en-US"/>
              </w:rPr>
              <w:t>（3）数智化风控体系赋能，业务稳健高质量发展</w:t>
            </w:r>
            <w:r>
              <w:rPr>
                <w:rFonts w:ascii="宋体" w:eastAsia="宋体" w:hAnsi="宋体" w:hint="eastAsia"/>
                <w:sz w:val="24"/>
                <w:szCs w:val="24"/>
                <w:lang w:val="en-US"/>
              </w:rPr>
              <w:t>。</w:t>
            </w:r>
          </w:p>
          <w:p w14:paraId="25EF0D4D" w14:textId="77777777" w:rsidR="0086294C" w:rsidRDefault="00000000">
            <w:pPr>
              <w:spacing w:line="300" w:lineRule="auto"/>
              <w:ind w:firstLineChars="200" w:firstLine="480"/>
              <w:jc w:val="both"/>
              <w:rPr>
                <w:rFonts w:ascii="宋体" w:eastAsia="宋体" w:hAnsi="宋体" w:hint="eastAsia"/>
                <w:sz w:val="24"/>
                <w:szCs w:val="24"/>
                <w:lang w:val="en-US"/>
              </w:rPr>
            </w:pPr>
            <w:r>
              <w:rPr>
                <w:rFonts w:ascii="宋体" w:eastAsia="宋体" w:hAnsi="宋体" w:hint="eastAsia"/>
                <w:sz w:val="24"/>
                <w:szCs w:val="24"/>
                <w:lang w:val="en-US"/>
              </w:rPr>
              <w:t>公司根据四十多年的行业经验，将风险管控列为经营管理的第一工作并提升至战略层面，形成了“专业化、分级化、流程化”的风险管控体系，</w:t>
            </w:r>
            <w:r>
              <w:rPr>
                <w:rFonts w:ascii="宋体" w:eastAsia="宋体" w:hAnsi="宋体" w:cs="宋体"/>
                <w:sz w:val="24"/>
                <w:szCs w:val="24"/>
              </w:rPr>
              <w:t>并开发了以“E风控”为代表的智能化风控系列产品</w:t>
            </w:r>
            <w:r>
              <w:rPr>
                <w:rFonts w:ascii="宋体" w:eastAsia="宋体" w:hAnsi="宋体" w:hint="eastAsia"/>
                <w:sz w:val="24"/>
                <w:szCs w:val="24"/>
                <w:lang w:val="en-US"/>
              </w:rPr>
              <w:t>，通过数智化风险管控体系赋能公司供应链运营业务稳健、高质量发展。</w:t>
            </w:r>
          </w:p>
          <w:p w14:paraId="3EED62C1" w14:textId="77777777" w:rsidR="0086294C" w:rsidRDefault="0086294C">
            <w:pPr>
              <w:spacing w:line="300" w:lineRule="auto"/>
              <w:rPr>
                <w:rFonts w:ascii="宋体" w:eastAsia="宋体" w:hAnsi="宋体" w:cs="宋体" w:hint="eastAsia"/>
                <w:sz w:val="24"/>
                <w:szCs w:val="24"/>
                <w:lang w:val="en-US"/>
              </w:rPr>
            </w:pPr>
          </w:p>
          <w:p w14:paraId="0F14531C"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lang w:val="en-US"/>
              </w:rPr>
            </w:pPr>
            <w:r>
              <w:rPr>
                <w:rFonts w:ascii="宋体" w:eastAsia="宋体" w:hAnsi="宋体" w:hint="eastAsia"/>
                <w:sz w:val="24"/>
                <w:szCs w:val="24"/>
                <w:lang w:val="en-US"/>
              </w:rPr>
              <w:t>建发股份子公司建发房产在拿地方面有怎样的考虑？</w:t>
            </w:r>
          </w:p>
          <w:p w14:paraId="2BB5FAC3" w14:textId="77777777" w:rsidR="0086294C" w:rsidRDefault="00000000">
            <w:pPr>
              <w:spacing w:line="300" w:lineRule="auto"/>
              <w:ind w:firstLineChars="200" w:firstLine="480"/>
              <w:rPr>
                <w:rFonts w:ascii="宋体" w:eastAsia="宋体" w:hAnsi="宋体" w:cs="宋体" w:hint="eastAsia"/>
                <w:sz w:val="24"/>
                <w:szCs w:val="24"/>
              </w:rPr>
            </w:pPr>
            <w:r>
              <w:rPr>
                <w:rFonts w:ascii="宋体" w:eastAsia="宋体" w:hAnsi="宋体" w:hint="eastAsia"/>
                <w:sz w:val="24"/>
                <w:szCs w:val="24"/>
                <w:lang w:val="en-US"/>
              </w:rPr>
              <w:t>答：</w:t>
            </w:r>
            <w:r>
              <w:rPr>
                <w:rFonts w:ascii="宋体" w:eastAsia="宋体" w:hAnsi="宋体" w:cs="宋体" w:hint="eastAsia"/>
                <w:sz w:val="24"/>
                <w:szCs w:val="24"/>
              </w:rPr>
              <w:t>在</w:t>
            </w:r>
            <w:r>
              <w:rPr>
                <w:rFonts w:ascii="宋体" w:eastAsia="宋体" w:hAnsi="宋体" w:cs="宋体" w:hint="eastAsia"/>
                <w:sz w:val="24"/>
                <w:szCs w:val="24"/>
                <w:lang w:val="en-US"/>
              </w:rPr>
              <w:t>土地</w:t>
            </w:r>
            <w:r>
              <w:rPr>
                <w:rFonts w:ascii="宋体" w:eastAsia="宋体" w:hAnsi="宋体" w:cs="宋体" w:hint="eastAsia"/>
                <w:sz w:val="24"/>
                <w:szCs w:val="24"/>
              </w:rPr>
              <w:t>拓展方面，</w:t>
            </w:r>
            <w:r>
              <w:rPr>
                <w:rFonts w:ascii="宋体" w:eastAsia="宋体" w:hAnsi="宋体" w:cs="宋体" w:hint="eastAsia"/>
                <w:sz w:val="24"/>
                <w:szCs w:val="24"/>
                <w:lang w:val="en-US"/>
              </w:rPr>
              <w:t>公司始终秉承积极、谨慎的态度。</w:t>
            </w:r>
            <w:r>
              <w:rPr>
                <w:rFonts w:ascii="宋体" w:eastAsia="宋体" w:hAnsi="宋体" w:cs="宋体" w:hint="eastAsia"/>
                <w:sz w:val="24"/>
                <w:szCs w:val="24"/>
              </w:rPr>
              <w:t>公司将城市地段和流动性放在首位，结合净利润率水平，以确保去化速度和品牌影响力；同时，在拓展过程中兼顾公司的资金安全，将库存规模保持在合适水平，以确保公司资产的流动性和健康度。在具体拓展策略上：</w:t>
            </w:r>
          </w:p>
          <w:p w14:paraId="68C610C3" w14:textId="77777777" w:rsidR="0086294C" w:rsidRDefault="00000000">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（1）在拓展城市方面，近年来建发房产更加重视集中资源在核心城市、</w:t>
            </w:r>
            <w:r>
              <w:rPr>
                <w:rFonts w:ascii="宋体" w:eastAsia="宋体" w:hAnsi="宋体" w:cs="宋体" w:hint="eastAsia"/>
                <w:sz w:val="24"/>
                <w:szCs w:val="24"/>
                <w:lang w:val="en-US"/>
              </w:rPr>
              <w:t>核心地段</w:t>
            </w:r>
            <w:r>
              <w:rPr>
                <w:rFonts w:ascii="宋体" w:eastAsia="宋体" w:hAnsi="宋体" w:cs="宋体" w:hint="eastAsia"/>
                <w:sz w:val="24"/>
                <w:szCs w:val="24"/>
              </w:rPr>
              <w:t>的投资布局，2025年</w:t>
            </w:r>
            <w:r>
              <w:rPr>
                <w:rFonts w:ascii="宋体" w:eastAsia="宋体" w:hAnsi="宋体" w:cs="宋体" w:hint="eastAsia"/>
                <w:sz w:val="24"/>
                <w:szCs w:val="24"/>
                <w:lang w:val="en-US"/>
              </w:rPr>
              <w:t>以来</w:t>
            </w:r>
            <w:r>
              <w:rPr>
                <w:rFonts w:ascii="宋体" w:eastAsia="宋体" w:hAnsi="宋体" w:cs="宋体" w:hint="eastAsia"/>
                <w:sz w:val="24"/>
                <w:szCs w:val="24"/>
              </w:rPr>
              <w:t>着重布局了北京、上海、杭州、成都、厦门等核心一二线城市，以及建发房产品牌</w:t>
            </w:r>
            <w:r>
              <w:rPr>
                <w:rFonts w:ascii="宋体" w:eastAsia="宋体" w:hAnsi="宋体" w:cs="宋体" w:hint="eastAsia"/>
                <w:sz w:val="24"/>
                <w:szCs w:val="24"/>
                <w:lang w:val="en-US"/>
              </w:rPr>
              <w:t>美誉度突出的</w:t>
            </w:r>
            <w:r>
              <w:rPr>
                <w:rFonts w:ascii="宋体" w:eastAsia="宋体" w:hAnsi="宋体" w:cs="宋体" w:hint="eastAsia"/>
                <w:sz w:val="24"/>
                <w:szCs w:val="24"/>
              </w:rPr>
              <w:t>福建省内三四线城市；</w:t>
            </w:r>
          </w:p>
          <w:p w14:paraId="13BF0172" w14:textId="77777777" w:rsidR="0086294C" w:rsidRDefault="00000000">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（2）在拓展渠道方面，近年来公司不断提升多元投资能力，重视城市更新、资产包等拓展方式和渠道，补充核心城市的优质项目；</w:t>
            </w:r>
          </w:p>
          <w:p w14:paraId="5834BF0D" w14:textId="77777777" w:rsidR="0086294C" w:rsidRDefault="00000000">
            <w:pPr>
              <w:spacing w:line="30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（3）在投资纪律方面，始终都由总部把控整体拿地，同时，拿地前扎实开展地块价值梳理、风险排查以及客群定位工作，控制拿地风险。</w:t>
            </w:r>
          </w:p>
          <w:p w14:paraId="48B4E4AB" w14:textId="77777777" w:rsidR="0086294C" w:rsidRDefault="0086294C">
            <w:pPr>
              <w:spacing w:line="300" w:lineRule="auto"/>
              <w:rPr>
                <w:rFonts w:ascii="宋体" w:eastAsia="宋体" w:hAnsi="宋体" w:cs="宋体" w:hint="eastAsia"/>
                <w:sz w:val="24"/>
                <w:szCs w:val="24"/>
              </w:rPr>
            </w:pPr>
          </w:p>
          <w:p w14:paraId="232A6B99"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lang w:val="en-US"/>
              </w:rPr>
            </w:pPr>
            <w:r>
              <w:rPr>
                <w:rFonts w:ascii="宋体" w:eastAsia="宋体" w:hAnsi="宋体" w:hint="eastAsia"/>
                <w:sz w:val="24"/>
                <w:szCs w:val="24"/>
                <w:lang w:val="en-US"/>
              </w:rPr>
              <w:t>建发股份子公司建发房产灯塔级项目的销售情况？</w:t>
            </w:r>
          </w:p>
          <w:p w14:paraId="34969264" w14:textId="77777777" w:rsidR="0086294C" w:rsidRDefault="00000000">
            <w:pPr>
              <w:spacing w:line="300" w:lineRule="auto"/>
              <w:ind w:firstLineChars="200" w:firstLine="480"/>
              <w:rPr>
                <w:rFonts w:ascii="宋体" w:eastAsia="宋体" w:hAnsi="宋体" w:hint="eastAsia"/>
                <w:sz w:val="24"/>
                <w:szCs w:val="24"/>
                <w:lang w:val="en-US"/>
              </w:rPr>
            </w:pPr>
            <w:r>
              <w:rPr>
                <w:rFonts w:ascii="宋体" w:eastAsia="宋体" w:hAnsi="宋体" w:hint="eastAsia"/>
                <w:sz w:val="24"/>
                <w:szCs w:val="24"/>
                <w:lang w:val="en-US"/>
              </w:rPr>
              <w:t>答：2025年6月以来厦门“建发·宸启瑞湖”、北京“建发·海晏”两大灯塔级项目陆续开盘。受益于地块区位优势、楼盘出众的产品力以及精准的客群定位，两大灯塔项目均呈现出强劲的销售表现。以“建发·海晏”为例，根据北京市住房和城乡建设委员会公布的网签数据，截至2025年8月11日，该楼盘已网签落地169套、合计签约面积达3.67万平方米、成交均价约为13.6万元/平米。</w:t>
            </w:r>
          </w:p>
          <w:p w14:paraId="325A4277" w14:textId="77777777" w:rsidR="0086294C" w:rsidRDefault="00000000">
            <w:pPr>
              <w:spacing w:line="300" w:lineRule="auto"/>
              <w:ind w:firstLineChars="200" w:firstLine="480"/>
              <w:rPr>
                <w:rFonts w:ascii="宋体" w:eastAsia="宋体" w:hAnsi="宋体" w:hint="eastAsia"/>
                <w:sz w:val="24"/>
                <w:szCs w:val="24"/>
                <w:lang w:val="en-US"/>
              </w:rPr>
            </w:pPr>
            <w:r>
              <w:rPr>
                <w:rFonts w:ascii="宋体" w:eastAsia="宋体" w:hAnsi="宋体" w:hint="eastAsia"/>
                <w:sz w:val="24"/>
                <w:szCs w:val="24"/>
                <w:lang w:val="en-US"/>
              </w:rPr>
              <w:t>展望未来，公司今年将陆续在上海、杭州、成都落地具备领先性、差异化产品力的灯塔级项目，进一步提升建发房产在当地的品牌美誉度与客户认可度。</w:t>
            </w:r>
          </w:p>
          <w:p w14:paraId="46A4E9E5" w14:textId="77777777" w:rsidR="0086294C" w:rsidRDefault="0086294C">
            <w:pPr>
              <w:spacing w:line="300" w:lineRule="auto"/>
              <w:rPr>
                <w:rFonts w:ascii="宋体" w:eastAsia="宋体" w:hAnsi="宋体" w:cs="宋体" w:hint="eastAsia"/>
                <w:sz w:val="24"/>
                <w:szCs w:val="24"/>
              </w:rPr>
            </w:pPr>
          </w:p>
          <w:p w14:paraId="3FADE1DD"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lang w:val="en-US"/>
              </w:rPr>
            </w:pPr>
            <w:r>
              <w:rPr>
                <w:rFonts w:ascii="宋体" w:eastAsia="宋体" w:hAnsi="宋体" w:hint="eastAsia"/>
                <w:sz w:val="24"/>
                <w:szCs w:val="24"/>
                <w:lang w:val="en-US"/>
              </w:rPr>
              <w:t>建发股份子公司联发集团今年的土地拓展情况？</w:t>
            </w:r>
          </w:p>
          <w:p w14:paraId="19288F1A" w14:textId="77777777" w:rsidR="0086294C" w:rsidRDefault="00000000">
            <w:pPr>
              <w:spacing w:line="300" w:lineRule="auto"/>
              <w:ind w:firstLineChars="200" w:firstLine="480"/>
              <w:rPr>
                <w:rFonts w:ascii="宋体" w:eastAsia="宋体" w:hAnsi="宋体" w:hint="eastAsia"/>
                <w:sz w:val="24"/>
                <w:szCs w:val="24"/>
                <w:lang w:val="en-US"/>
              </w:rPr>
            </w:pPr>
            <w:r>
              <w:rPr>
                <w:rFonts w:ascii="宋体" w:eastAsia="宋体" w:hAnsi="宋体" w:hint="eastAsia"/>
                <w:sz w:val="24"/>
                <w:szCs w:val="24"/>
                <w:lang w:val="en-US"/>
              </w:rPr>
              <w:t>答：在土地拓展方面，联发集团同样秉持谨慎、积极的态度，今年在销售端情况良好的背景下保持了适宜的拿地强度。根据克而瑞研究中心的统计数据，2025年上半年联发集团新增土地货值规模位居全国第14位。</w:t>
            </w:r>
          </w:p>
          <w:p w14:paraId="1DC66505" w14:textId="77777777" w:rsidR="0086294C" w:rsidRDefault="00000000">
            <w:pPr>
              <w:spacing w:line="300" w:lineRule="auto"/>
              <w:ind w:firstLineChars="200" w:firstLine="480"/>
              <w:rPr>
                <w:rFonts w:ascii="宋体" w:eastAsia="宋体" w:hAnsi="宋体" w:hint="eastAsia"/>
                <w:sz w:val="24"/>
                <w:szCs w:val="24"/>
                <w:lang w:val="en-US"/>
              </w:rPr>
            </w:pPr>
            <w:r>
              <w:rPr>
                <w:rFonts w:ascii="宋体" w:eastAsia="宋体" w:hAnsi="宋体" w:hint="eastAsia"/>
                <w:sz w:val="24"/>
                <w:szCs w:val="24"/>
                <w:lang w:val="en-US"/>
              </w:rPr>
              <w:t>从拿地结构角度来看，联发集团持续优化城市布局，聚焦一线、强二线以及福建省内具备品牌优势的城市。2025年上半年联发集团陆续在上海、深圳等一线城市竞得优质地块，核心城市土地储备日益丰富。</w:t>
            </w:r>
          </w:p>
          <w:p w14:paraId="2229A582" w14:textId="77777777" w:rsidR="0086294C" w:rsidRDefault="0086294C">
            <w:pPr>
              <w:spacing w:line="300" w:lineRule="auto"/>
              <w:ind w:firstLineChars="200" w:firstLine="480"/>
              <w:rPr>
                <w:rFonts w:ascii="宋体" w:eastAsia="宋体" w:hAnsi="宋体" w:hint="eastAsia"/>
                <w:sz w:val="24"/>
                <w:szCs w:val="24"/>
                <w:lang w:val="en-US"/>
              </w:rPr>
            </w:pPr>
          </w:p>
          <w:p w14:paraId="32BF24F3" w14:textId="77777777" w:rsidR="0086294C" w:rsidRDefault="00000000">
            <w:pPr>
              <w:pStyle w:val="2"/>
              <w:keepNext w:val="0"/>
              <w:keepLines w:val="0"/>
              <w:numPr>
                <w:ilvl w:val="0"/>
                <w:numId w:val="1"/>
              </w:numPr>
              <w:autoSpaceDE/>
              <w:autoSpaceDN/>
              <w:spacing w:before="0" w:after="0" w:line="300" w:lineRule="auto"/>
              <w:jc w:val="both"/>
              <w:rPr>
                <w:rFonts w:ascii="宋体" w:eastAsia="宋体" w:hAnsi="宋体" w:hint="eastAsia"/>
                <w:sz w:val="24"/>
                <w:szCs w:val="24"/>
              </w:rPr>
            </w:pPr>
            <w:r>
              <w:rPr>
                <w:rFonts w:ascii="宋体" w:eastAsia="宋体" w:hAnsi="宋体" w:hint="eastAsia"/>
                <w:sz w:val="24"/>
                <w:szCs w:val="24"/>
              </w:rPr>
              <w:t>公司历年分红情况及</w:t>
            </w:r>
            <w:r>
              <w:rPr>
                <w:rFonts w:ascii="宋体" w:eastAsia="宋体" w:hAnsi="宋体" w:hint="eastAsia"/>
                <w:sz w:val="24"/>
                <w:szCs w:val="24"/>
                <w:lang w:val="en-US"/>
              </w:rPr>
              <w:t>未来的分红计划</w:t>
            </w:r>
            <w:r>
              <w:rPr>
                <w:rFonts w:ascii="宋体" w:eastAsia="宋体" w:hAnsi="宋体" w:hint="eastAsia"/>
                <w:sz w:val="24"/>
                <w:szCs w:val="24"/>
              </w:rPr>
              <w:t>？</w:t>
            </w:r>
          </w:p>
          <w:p w14:paraId="69F94502" w14:textId="77777777" w:rsidR="0086294C" w:rsidRDefault="00000000">
            <w:pPr>
              <w:spacing w:line="300" w:lineRule="auto"/>
              <w:ind w:firstLine="482"/>
              <w:jc w:val="both"/>
              <w:rPr>
                <w:rFonts w:ascii="宋体" w:eastAsia="宋体" w:hAnsi="宋体" w:hint="eastAsia"/>
                <w:sz w:val="24"/>
                <w:szCs w:val="24"/>
              </w:rPr>
            </w:pPr>
            <w:r>
              <w:rPr>
                <w:rFonts w:ascii="宋体" w:eastAsia="宋体" w:hAnsi="宋体" w:hint="eastAsia"/>
                <w:sz w:val="24"/>
                <w:szCs w:val="24"/>
              </w:rPr>
              <w:t>答：公司始终致力于为股东创造长期稳定的回报。自1998年上市以来，公司累计现金分红金额已达190亿元，远超过股权融资金额。剔除永续债利息、重组收益等因素后，公司近几年的现金分红比例均保持在40%以上，其中2024年度现金分红比例达到70%。</w:t>
            </w:r>
          </w:p>
          <w:p w14:paraId="1AD9498D" w14:textId="77777777" w:rsidR="0086294C" w:rsidRDefault="00000000">
            <w:pPr>
              <w:spacing w:line="300" w:lineRule="auto"/>
              <w:ind w:firstLine="482"/>
              <w:jc w:val="both"/>
              <w:rPr>
                <w:rFonts w:ascii="宋体" w:eastAsia="宋体" w:hAnsi="宋体" w:cs="Calibri" w:hint="eastAsia"/>
                <w:sz w:val="24"/>
                <w:szCs w:val="24"/>
              </w:rPr>
            </w:pPr>
            <w:r>
              <w:rPr>
                <w:rFonts w:ascii="宋体" w:eastAsia="宋体" w:hAnsi="宋体" w:cs="Calibri" w:hint="eastAsia"/>
                <w:sz w:val="24"/>
                <w:szCs w:val="24"/>
              </w:rPr>
              <w:t>为</w:t>
            </w:r>
            <w:r>
              <w:rPr>
                <w:rFonts w:ascii="宋体" w:eastAsia="宋体" w:hAnsi="宋体" w:hint="eastAsia"/>
                <w:sz w:val="24"/>
                <w:szCs w:val="24"/>
              </w:rPr>
              <w:t>增强公司分红的稳定性、持续性和可预期性，</w:t>
            </w:r>
            <w:r>
              <w:rPr>
                <w:rFonts w:ascii="宋体" w:eastAsia="宋体" w:hAnsi="宋体"/>
                <w:sz w:val="24"/>
                <w:szCs w:val="24"/>
              </w:rPr>
              <w:t>更好地回报股东</w:t>
            </w:r>
            <w:r>
              <w:rPr>
                <w:rFonts w:ascii="宋体" w:eastAsia="宋体" w:hAnsi="宋体" w:cs="Calibri" w:hint="eastAsia"/>
                <w:sz w:val="24"/>
                <w:szCs w:val="24"/>
              </w:rPr>
              <w:t>，公司在2024年第二次临时股东大会通过的《关于交易完成后增强股东回报规划的议案》中，对2024年度和2025年度的利润分配作出了进一步的安排：每年以现金方式分配的利润不少于当年实现的合并报表归属于上市公司股东的可供分配利润的30%，且每年每股分红不低于0.7元。</w:t>
            </w:r>
          </w:p>
          <w:p w14:paraId="1CE76850" w14:textId="77777777" w:rsidR="0086294C" w:rsidRDefault="00000000">
            <w:pPr>
              <w:spacing w:line="300" w:lineRule="auto"/>
              <w:ind w:firstLine="482"/>
              <w:jc w:val="both"/>
              <w:rPr>
                <w:rFonts w:ascii="宋体" w:eastAsia="宋体" w:hAnsi="宋体" w:cs="Calibri" w:hint="eastAsia"/>
                <w:sz w:val="24"/>
                <w:szCs w:val="24"/>
              </w:rPr>
            </w:pPr>
            <w:r>
              <w:rPr>
                <w:rFonts w:ascii="宋体" w:eastAsia="宋体" w:hAnsi="宋体" w:cs="Calibri" w:hint="eastAsia"/>
                <w:sz w:val="24"/>
                <w:szCs w:val="24"/>
              </w:rPr>
              <w:lastRenderedPageBreak/>
              <w:t>此外，公司积极尝试通过一年多次分红的方式及时回报股东，公司已于2025年1月20日实施了2024年度中期分红，公司股东会已审议通过了关于2025年中期分红的授权方案。</w:t>
            </w:r>
          </w:p>
          <w:p w14:paraId="5500A9ED" w14:textId="77777777" w:rsidR="0086294C" w:rsidRDefault="00000000">
            <w:pPr>
              <w:spacing w:line="300" w:lineRule="auto"/>
              <w:ind w:firstLine="482"/>
              <w:jc w:val="both"/>
              <w:rPr>
                <w:rFonts w:ascii="宋体" w:eastAsia="宋体" w:hAnsi="宋体" w:cs="Calibri" w:hint="eastAsia"/>
                <w:sz w:val="24"/>
                <w:szCs w:val="24"/>
              </w:rPr>
            </w:pPr>
            <w:r>
              <w:rPr>
                <w:rFonts w:ascii="宋体" w:eastAsia="宋体" w:hAnsi="宋体" w:cs="Calibri" w:hint="eastAsia"/>
                <w:sz w:val="24"/>
                <w:szCs w:val="24"/>
              </w:rPr>
              <w:t>未来，公司将在</w:t>
            </w:r>
            <w:r>
              <w:rPr>
                <w:rFonts w:ascii="宋体" w:eastAsia="宋体" w:hAnsi="宋体" w:cs="Times New Roman" w:hint="eastAsia"/>
                <w:sz w:val="24"/>
                <w:szCs w:val="24"/>
              </w:rPr>
              <w:t>综合考虑股东投资回报和业务可持续发展的基础上</w:t>
            </w:r>
            <w:r>
              <w:rPr>
                <w:rFonts w:ascii="宋体" w:eastAsia="宋体" w:hAnsi="宋体" w:cs="Calibri" w:hint="eastAsia"/>
                <w:sz w:val="24"/>
                <w:szCs w:val="24"/>
              </w:rPr>
              <w:t>，坚持制定</w:t>
            </w:r>
            <w:r>
              <w:rPr>
                <w:rFonts w:ascii="宋体" w:eastAsia="宋体" w:hAnsi="宋体" w:cs="Calibri"/>
                <w:sz w:val="24"/>
                <w:szCs w:val="24"/>
              </w:rPr>
              <w:t>具有</w:t>
            </w:r>
            <w:r>
              <w:rPr>
                <w:rFonts w:ascii="宋体" w:eastAsia="宋体" w:hAnsi="宋体" w:hint="eastAsia"/>
                <w:sz w:val="24"/>
                <w:szCs w:val="24"/>
              </w:rPr>
              <w:t>稳定性、持续性和可预期性</w:t>
            </w:r>
            <w:r>
              <w:rPr>
                <w:rFonts w:ascii="宋体" w:eastAsia="宋体" w:hAnsi="宋体" w:cs="Calibri"/>
                <w:sz w:val="24"/>
                <w:szCs w:val="24"/>
              </w:rPr>
              <w:t>的分红政策，</w:t>
            </w:r>
            <w:r>
              <w:rPr>
                <w:rFonts w:ascii="宋体" w:eastAsia="宋体" w:hAnsi="宋体" w:cs="Calibri" w:hint="eastAsia"/>
                <w:sz w:val="24"/>
                <w:szCs w:val="24"/>
              </w:rPr>
              <w:t>切实回报股东，</w:t>
            </w:r>
            <w:r>
              <w:rPr>
                <w:rFonts w:ascii="宋体" w:eastAsia="宋体" w:hAnsi="宋体" w:cs="Calibri"/>
                <w:sz w:val="24"/>
                <w:szCs w:val="24"/>
              </w:rPr>
              <w:t>使广大投资者能够及时分享公司发展红利。</w:t>
            </w:r>
          </w:p>
          <w:p w14:paraId="1C2C7BC6" w14:textId="77777777" w:rsidR="0086294C" w:rsidRDefault="0086294C">
            <w:pPr>
              <w:spacing w:line="300" w:lineRule="auto"/>
              <w:ind w:firstLine="482"/>
              <w:jc w:val="both"/>
              <w:rPr>
                <w:rFonts w:ascii="宋体" w:eastAsia="宋体" w:hAnsi="宋体" w:hint="eastAsia"/>
                <w:sz w:val="24"/>
                <w:szCs w:val="24"/>
                <w:lang w:val="en-US"/>
              </w:rPr>
            </w:pPr>
          </w:p>
        </w:tc>
      </w:tr>
      <w:tr w:rsidR="0086294C" w14:paraId="1A4E9C20" w14:textId="77777777">
        <w:trPr>
          <w:trHeight w:val="999"/>
          <w:jc w:val="center"/>
        </w:trPr>
        <w:tc>
          <w:tcPr>
            <w:tcW w:w="1961" w:type="dxa"/>
            <w:vAlign w:val="center"/>
          </w:tcPr>
          <w:p w14:paraId="0159A84A" w14:textId="77777777" w:rsidR="0086294C"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lastRenderedPageBreak/>
              <w:t>关于本次活动是否涉及应披露重大信息的说明</w:t>
            </w:r>
          </w:p>
        </w:tc>
        <w:tc>
          <w:tcPr>
            <w:tcW w:w="6320" w:type="dxa"/>
            <w:vAlign w:val="center"/>
          </w:tcPr>
          <w:p w14:paraId="135A75CD" w14:textId="77777777" w:rsidR="0086294C"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本次活动不涉及未公开披露的重大信息。</w:t>
            </w:r>
          </w:p>
        </w:tc>
      </w:tr>
      <w:tr w:rsidR="0086294C" w14:paraId="2DB6E138" w14:textId="77777777">
        <w:trPr>
          <w:trHeight w:val="419"/>
          <w:jc w:val="center"/>
        </w:trPr>
        <w:tc>
          <w:tcPr>
            <w:tcW w:w="8281" w:type="dxa"/>
            <w:gridSpan w:val="2"/>
            <w:vAlign w:val="center"/>
          </w:tcPr>
          <w:p w14:paraId="3D870D90" w14:textId="77777777" w:rsidR="0086294C" w:rsidRDefault="00000000">
            <w:pPr>
              <w:pStyle w:val="TableParagraph"/>
              <w:spacing w:before="100" w:beforeAutospacing="1" w:line="360" w:lineRule="auto"/>
              <w:jc w:val="center"/>
              <w:rPr>
                <w:rFonts w:ascii="宋体" w:eastAsia="宋体" w:hAnsi="宋体" w:cs="宋体" w:hint="eastAsia"/>
                <w:sz w:val="24"/>
                <w:szCs w:val="24"/>
                <w:lang w:val="en-US"/>
              </w:rPr>
            </w:pPr>
            <w:r>
              <w:rPr>
                <w:rFonts w:ascii="宋体" w:eastAsia="宋体" w:hAnsi="宋体" w:cs="宋体" w:hint="eastAsia"/>
                <w:b/>
                <w:bCs/>
                <w:sz w:val="24"/>
                <w:szCs w:val="24"/>
                <w:lang w:val="en-US"/>
              </w:rPr>
              <w:t>风险提示</w:t>
            </w:r>
          </w:p>
        </w:tc>
      </w:tr>
      <w:tr w:rsidR="0086294C" w14:paraId="05DAD412" w14:textId="77777777">
        <w:trPr>
          <w:trHeight w:val="90"/>
          <w:jc w:val="center"/>
        </w:trPr>
        <w:tc>
          <w:tcPr>
            <w:tcW w:w="8281" w:type="dxa"/>
            <w:gridSpan w:val="2"/>
            <w:vAlign w:val="center"/>
          </w:tcPr>
          <w:p w14:paraId="318CBB6E" w14:textId="77777777" w:rsidR="0086294C"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以上如涉及对行业的预测、公司发展战略规划等相关内容，不能视作公司或管理层对行业、公司发展或业绩的承诺和保证，敬请广大投资者注意投资风险。</w:t>
            </w:r>
          </w:p>
        </w:tc>
      </w:tr>
    </w:tbl>
    <w:p w14:paraId="1A762ABC" w14:textId="77777777" w:rsidR="0086294C" w:rsidRDefault="0086294C">
      <w:pPr>
        <w:rPr>
          <w:rFonts w:ascii="宋体" w:eastAsia="宋体" w:hAnsi="宋体" w:cs="宋体" w:hint="eastAsia"/>
          <w:b/>
          <w:bCs/>
          <w:sz w:val="24"/>
          <w:szCs w:val="24"/>
          <w:lang w:val="en-US"/>
        </w:rPr>
      </w:pPr>
    </w:p>
    <w:p w14:paraId="6602E249" w14:textId="77777777" w:rsidR="0086294C" w:rsidRDefault="00000000">
      <w:pPr>
        <w:widowControl/>
        <w:autoSpaceDE/>
        <w:autoSpaceDN/>
        <w:rPr>
          <w:rFonts w:ascii="宋体" w:eastAsia="宋体" w:hAnsi="宋体" w:cs="宋体" w:hint="eastAsia"/>
          <w:b/>
          <w:bCs/>
          <w:sz w:val="24"/>
          <w:szCs w:val="24"/>
          <w:lang w:val="en-US"/>
        </w:rPr>
      </w:pPr>
      <w:r>
        <w:rPr>
          <w:rFonts w:ascii="宋体" w:eastAsia="宋体" w:hAnsi="宋体" w:cs="宋体" w:hint="eastAsia"/>
          <w:b/>
          <w:bCs/>
          <w:sz w:val="24"/>
          <w:szCs w:val="24"/>
          <w:lang w:val="en-US"/>
        </w:rPr>
        <w:br w:type="page"/>
      </w:r>
    </w:p>
    <w:p w14:paraId="259BBC04" w14:textId="77777777" w:rsidR="0086294C" w:rsidRDefault="0086294C">
      <w:pPr>
        <w:rPr>
          <w:rFonts w:ascii="宋体" w:eastAsia="宋体" w:hAnsi="宋体" w:cs="宋体" w:hint="eastAsia"/>
          <w:b/>
          <w:bCs/>
          <w:sz w:val="24"/>
          <w:szCs w:val="24"/>
          <w:lang w:val="en-US"/>
        </w:rPr>
      </w:pPr>
    </w:p>
    <w:p w14:paraId="5922C706" w14:textId="77777777" w:rsidR="0086294C" w:rsidRDefault="00000000">
      <w:pPr>
        <w:rPr>
          <w:rFonts w:ascii="宋体" w:eastAsia="宋体" w:hAnsi="宋体" w:cs="宋体" w:hint="eastAsia"/>
          <w:b/>
          <w:bCs/>
          <w:sz w:val="24"/>
          <w:szCs w:val="24"/>
          <w:lang w:val="en-US"/>
        </w:rPr>
      </w:pPr>
      <w:r>
        <w:rPr>
          <w:rFonts w:ascii="宋体" w:eastAsia="宋体" w:hAnsi="宋体" w:cs="宋体" w:hint="eastAsia"/>
          <w:b/>
          <w:bCs/>
          <w:sz w:val="24"/>
          <w:szCs w:val="24"/>
          <w:lang w:val="en-US"/>
        </w:rPr>
        <w:t>附表：主要机构名单</w:t>
      </w:r>
    </w:p>
    <w:p w14:paraId="6CDC462E" w14:textId="77777777" w:rsidR="0086294C" w:rsidRDefault="0086294C">
      <w:pPr>
        <w:rPr>
          <w:rFonts w:ascii="宋体" w:eastAsia="宋体" w:hAnsi="宋体" w:cs="宋体" w:hint="eastAsia"/>
          <w:b/>
          <w:bCs/>
          <w:sz w:val="24"/>
          <w:szCs w:val="24"/>
          <w:lang w:val="en-US"/>
        </w:rPr>
      </w:pPr>
    </w:p>
    <w:tbl>
      <w:tblPr>
        <w:tblW w:w="8339" w:type="dxa"/>
        <w:tblInd w:w="93" w:type="dxa"/>
        <w:tblLayout w:type="fixed"/>
        <w:tblLook w:val="04A0" w:firstRow="1" w:lastRow="0" w:firstColumn="1" w:lastColumn="0" w:noHBand="0" w:noVBand="1"/>
      </w:tblPr>
      <w:tblGrid>
        <w:gridCol w:w="3430"/>
        <w:gridCol w:w="4909"/>
      </w:tblGrid>
      <w:tr w:rsidR="0086294C" w14:paraId="0AE8DFCC" w14:textId="77777777">
        <w:trPr>
          <w:trHeight w:val="299"/>
        </w:trPr>
        <w:tc>
          <w:tcPr>
            <w:tcW w:w="343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D735DAD" w14:textId="77777777" w:rsidR="0086294C" w:rsidRDefault="00000000">
            <w:pPr>
              <w:widowControl/>
              <w:jc w:val="center"/>
              <w:textAlignment w:val="center"/>
              <w:rPr>
                <w:rFonts w:ascii="宋体" w:eastAsia="宋体" w:hAnsi="宋体" w:cs="宋体" w:hint="eastAsia"/>
                <w:b/>
                <w:bCs/>
                <w:color w:val="000000"/>
              </w:rPr>
            </w:pPr>
            <w:r>
              <w:rPr>
                <w:rFonts w:ascii="宋体" w:eastAsia="宋体" w:hAnsi="宋体" w:cs="宋体" w:hint="eastAsia"/>
                <w:b/>
                <w:bCs/>
                <w:color w:val="000000"/>
                <w:lang w:val="en-US" w:bidi="ar"/>
              </w:rPr>
              <w:t>序号</w:t>
            </w:r>
          </w:p>
        </w:tc>
        <w:tc>
          <w:tcPr>
            <w:tcW w:w="49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334DDC" w14:textId="77777777" w:rsidR="0086294C" w:rsidRDefault="00000000">
            <w:pPr>
              <w:widowControl/>
              <w:jc w:val="center"/>
              <w:textAlignment w:val="center"/>
              <w:rPr>
                <w:rFonts w:ascii="宋体" w:eastAsia="宋体" w:hAnsi="宋体" w:cs="宋体" w:hint="eastAsia"/>
                <w:b/>
                <w:bCs/>
                <w:color w:val="000000"/>
              </w:rPr>
            </w:pPr>
            <w:r>
              <w:rPr>
                <w:rFonts w:ascii="宋体" w:eastAsia="宋体" w:hAnsi="宋体" w:cs="宋体" w:hint="eastAsia"/>
                <w:b/>
                <w:bCs/>
                <w:color w:val="000000"/>
                <w:lang w:val="en-US" w:bidi="ar"/>
              </w:rPr>
              <w:t>机构名称</w:t>
            </w:r>
          </w:p>
        </w:tc>
      </w:tr>
      <w:tr w:rsidR="0086294C" w14:paraId="66C1A6B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E13AFF2"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w:t>
            </w:r>
          </w:p>
        </w:tc>
        <w:tc>
          <w:tcPr>
            <w:tcW w:w="4909" w:type="dxa"/>
            <w:tcBorders>
              <w:top w:val="single" w:sz="4" w:space="0" w:color="000000"/>
              <w:left w:val="single" w:sz="4" w:space="0" w:color="000000"/>
              <w:bottom w:val="single" w:sz="4" w:space="0" w:color="000000"/>
              <w:right w:val="single" w:sz="4" w:space="0" w:color="000000"/>
            </w:tcBorders>
            <w:vAlign w:val="center"/>
          </w:tcPr>
          <w:p w14:paraId="6828A44A" w14:textId="77777777" w:rsidR="0086294C" w:rsidRDefault="00000000">
            <w:pPr>
              <w:widowControl/>
              <w:jc w:val="center"/>
              <w:textAlignment w:val="bottom"/>
              <w:rPr>
                <w:rFonts w:ascii="宋体" w:eastAsia="宋体" w:hAnsi="宋体" w:cs="宋体" w:hint="eastAsia"/>
                <w:color w:val="000000"/>
                <w:lang w:val="en-US"/>
              </w:rPr>
            </w:pPr>
            <w:r>
              <w:rPr>
                <w:rFonts w:ascii="宋体" w:eastAsia="宋体" w:hAnsi="宋体" w:cs="宋体" w:hint="eastAsia"/>
                <w:color w:val="000000"/>
                <w:lang w:val="en-US" w:bidi="ar"/>
              </w:rPr>
              <w:t>大家资产</w:t>
            </w:r>
          </w:p>
        </w:tc>
      </w:tr>
      <w:tr w:rsidR="0086294C" w14:paraId="7A3E3C9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44A14D48"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2</w:t>
            </w:r>
          </w:p>
        </w:tc>
        <w:tc>
          <w:tcPr>
            <w:tcW w:w="4909" w:type="dxa"/>
            <w:tcBorders>
              <w:top w:val="single" w:sz="4" w:space="0" w:color="000000"/>
              <w:left w:val="single" w:sz="4" w:space="0" w:color="000000"/>
              <w:bottom w:val="single" w:sz="4" w:space="0" w:color="000000"/>
              <w:right w:val="single" w:sz="4" w:space="0" w:color="000000"/>
            </w:tcBorders>
            <w:vAlign w:val="center"/>
          </w:tcPr>
          <w:p w14:paraId="0D4E8337"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东方证券</w:t>
            </w:r>
          </w:p>
        </w:tc>
      </w:tr>
      <w:tr w:rsidR="0086294C" w14:paraId="0E7EAC49"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4D13B95F"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3</w:t>
            </w:r>
          </w:p>
        </w:tc>
        <w:tc>
          <w:tcPr>
            <w:tcW w:w="4909" w:type="dxa"/>
            <w:tcBorders>
              <w:top w:val="single" w:sz="4" w:space="0" w:color="000000"/>
              <w:left w:val="single" w:sz="4" w:space="0" w:color="000000"/>
              <w:bottom w:val="single" w:sz="4" w:space="0" w:color="000000"/>
              <w:right w:val="single" w:sz="4" w:space="0" w:color="000000"/>
            </w:tcBorders>
            <w:vAlign w:val="center"/>
          </w:tcPr>
          <w:p w14:paraId="001B5A9C"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工银瑞信</w:t>
            </w:r>
          </w:p>
        </w:tc>
      </w:tr>
      <w:tr w:rsidR="0086294C" w14:paraId="7637A0B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15385F37"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4</w:t>
            </w:r>
          </w:p>
        </w:tc>
        <w:tc>
          <w:tcPr>
            <w:tcW w:w="4909" w:type="dxa"/>
            <w:tcBorders>
              <w:top w:val="single" w:sz="4" w:space="0" w:color="000000"/>
              <w:left w:val="single" w:sz="4" w:space="0" w:color="000000"/>
              <w:bottom w:val="single" w:sz="4" w:space="0" w:color="000000"/>
              <w:right w:val="single" w:sz="4" w:space="0" w:color="000000"/>
            </w:tcBorders>
            <w:vAlign w:val="center"/>
          </w:tcPr>
          <w:p w14:paraId="5E33776C"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国联基金</w:t>
            </w:r>
          </w:p>
        </w:tc>
      </w:tr>
      <w:tr w:rsidR="0086294C" w14:paraId="6258195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A789324"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5</w:t>
            </w:r>
          </w:p>
        </w:tc>
        <w:tc>
          <w:tcPr>
            <w:tcW w:w="4909" w:type="dxa"/>
            <w:tcBorders>
              <w:top w:val="single" w:sz="4" w:space="0" w:color="000000"/>
              <w:left w:val="single" w:sz="4" w:space="0" w:color="000000"/>
              <w:bottom w:val="single" w:sz="4" w:space="0" w:color="000000"/>
              <w:right w:val="single" w:sz="4" w:space="0" w:color="000000"/>
            </w:tcBorders>
            <w:vAlign w:val="center"/>
          </w:tcPr>
          <w:p w14:paraId="2567FD21"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国盛证券</w:t>
            </w:r>
          </w:p>
        </w:tc>
      </w:tr>
      <w:tr w:rsidR="0086294C" w14:paraId="60743B2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29D74E47"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6</w:t>
            </w:r>
          </w:p>
        </w:tc>
        <w:tc>
          <w:tcPr>
            <w:tcW w:w="4909" w:type="dxa"/>
            <w:tcBorders>
              <w:top w:val="single" w:sz="4" w:space="0" w:color="000000"/>
              <w:left w:val="single" w:sz="4" w:space="0" w:color="000000"/>
              <w:bottom w:val="single" w:sz="4" w:space="0" w:color="000000"/>
              <w:right w:val="single" w:sz="4" w:space="0" w:color="000000"/>
            </w:tcBorders>
            <w:vAlign w:val="center"/>
          </w:tcPr>
          <w:p w14:paraId="04BAF735"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国泰基金</w:t>
            </w:r>
          </w:p>
        </w:tc>
      </w:tr>
      <w:tr w:rsidR="0086294C" w14:paraId="20414B7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22877672"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7</w:t>
            </w:r>
          </w:p>
        </w:tc>
        <w:tc>
          <w:tcPr>
            <w:tcW w:w="4909" w:type="dxa"/>
            <w:tcBorders>
              <w:top w:val="single" w:sz="4" w:space="0" w:color="000000"/>
              <w:left w:val="single" w:sz="4" w:space="0" w:color="000000"/>
              <w:bottom w:val="single" w:sz="4" w:space="0" w:color="000000"/>
              <w:right w:val="single" w:sz="4" w:space="0" w:color="000000"/>
            </w:tcBorders>
            <w:vAlign w:val="center"/>
          </w:tcPr>
          <w:p w14:paraId="2D0EB42D"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杭银理财</w:t>
            </w:r>
          </w:p>
        </w:tc>
      </w:tr>
      <w:tr w:rsidR="0086294C" w14:paraId="65216C6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08F5367B"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8</w:t>
            </w:r>
          </w:p>
        </w:tc>
        <w:tc>
          <w:tcPr>
            <w:tcW w:w="4909" w:type="dxa"/>
            <w:tcBorders>
              <w:top w:val="single" w:sz="4" w:space="0" w:color="000000"/>
              <w:left w:val="single" w:sz="4" w:space="0" w:color="000000"/>
              <w:bottom w:val="single" w:sz="4" w:space="0" w:color="000000"/>
              <w:right w:val="single" w:sz="4" w:space="0" w:color="000000"/>
            </w:tcBorders>
            <w:vAlign w:val="center"/>
          </w:tcPr>
          <w:p w14:paraId="5A748D11"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泓德基金</w:t>
            </w:r>
          </w:p>
        </w:tc>
      </w:tr>
      <w:tr w:rsidR="0086294C" w14:paraId="1BDE2CA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B9DF547"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9</w:t>
            </w:r>
          </w:p>
        </w:tc>
        <w:tc>
          <w:tcPr>
            <w:tcW w:w="4909" w:type="dxa"/>
            <w:tcBorders>
              <w:top w:val="single" w:sz="4" w:space="0" w:color="000000"/>
              <w:left w:val="single" w:sz="4" w:space="0" w:color="000000"/>
              <w:bottom w:val="single" w:sz="4" w:space="0" w:color="000000"/>
              <w:right w:val="single" w:sz="4" w:space="0" w:color="000000"/>
            </w:tcBorders>
            <w:vAlign w:val="center"/>
          </w:tcPr>
          <w:p w14:paraId="69A91EE7"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华商基金</w:t>
            </w:r>
          </w:p>
        </w:tc>
      </w:tr>
      <w:tr w:rsidR="0086294C" w14:paraId="51061E9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3429711E"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10</w:t>
            </w:r>
          </w:p>
        </w:tc>
        <w:tc>
          <w:tcPr>
            <w:tcW w:w="4909" w:type="dxa"/>
            <w:tcBorders>
              <w:top w:val="single" w:sz="4" w:space="0" w:color="000000"/>
              <w:left w:val="single" w:sz="4" w:space="0" w:color="000000"/>
              <w:bottom w:val="single" w:sz="4" w:space="0" w:color="000000"/>
              <w:right w:val="single" w:sz="4" w:space="0" w:color="000000"/>
            </w:tcBorders>
            <w:vAlign w:val="center"/>
          </w:tcPr>
          <w:p w14:paraId="6410306C"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华夏基金</w:t>
            </w:r>
          </w:p>
        </w:tc>
      </w:tr>
      <w:tr w:rsidR="0086294C" w14:paraId="0A723BB3"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77834B3D"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11</w:t>
            </w:r>
          </w:p>
        </w:tc>
        <w:tc>
          <w:tcPr>
            <w:tcW w:w="4909" w:type="dxa"/>
            <w:tcBorders>
              <w:top w:val="single" w:sz="4" w:space="0" w:color="000000"/>
              <w:left w:val="single" w:sz="4" w:space="0" w:color="000000"/>
              <w:bottom w:val="single" w:sz="4" w:space="0" w:color="000000"/>
              <w:right w:val="single" w:sz="4" w:space="0" w:color="000000"/>
            </w:tcBorders>
            <w:vAlign w:val="center"/>
          </w:tcPr>
          <w:p w14:paraId="37B38F09"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华夏久盈</w:t>
            </w:r>
          </w:p>
        </w:tc>
      </w:tr>
      <w:tr w:rsidR="0086294C" w14:paraId="7467FEE6"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332996AB"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12</w:t>
            </w:r>
          </w:p>
        </w:tc>
        <w:tc>
          <w:tcPr>
            <w:tcW w:w="4909" w:type="dxa"/>
            <w:tcBorders>
              <w:top w:val="single" w:sz="4" w:space="0" w:color="000000"/>
              <w:left w:val="single" w:sz="4" w:space="0" w:color="000000"/>
              <w:bottom w:val="single" w:sz="4" w:space="0" w:color="000000"/>
              <w:right w:val="single" w:sz="4" w:space="0" w:color="000000"/>
            </w:tcBorders>
            <w:vAlign w:val="center"/>
          </w:tcPr>
          <w:p w14:paraId="023AD84B"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建元信托</w:t>
            </w:r>
          </w:p>
        </w:tc>
      </w:tr>
      <w:tr w:rsidR="0086294C" w14:paraId="02E59CA5"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80DA4AD"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13</w:t>
            </w:r>
          </w:p>
        </w:tc>
        <w:tc>
          <w:tcPr>
            <w:tcW w:w="4909" w:type="dxa"/>
            <w:tcBorders>
              <w:top w:val="single" w:sz="4" w:space="0" w:color="000000"/>
              <w:left w:val="single" w:sz="4" w:space="0" w:color="000000"/>
              <w:bottom w:val="single" w:sz="4" w:space="0" w:color="000000"/>
              <w:right w:val="single" w:sz="4" w:space="0" w:color="000000"/>
            </w:tcBorders>
            <w:vAlign w:val="center"/>
          </w:tcPr>
          <w:p w14:paraId="457BD651"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开源证券</w:t>
            </w:r>
          </w:p>
        </w:tc>
      </w:tr>
      <w:tr w:rsidR="0086294C" w14:paraId="01F5EA5A"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6602A93A"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14</w:t>
            </w:r>
          </w:p>
        </w:tc>
        <w:tc>
          <w:tcPr>
            <w:tcW w:w="4909" w:type="dxa"/>
            <w:tcBorders>
              <w:top w:val="single" w:sz="4" w:space="0" w:color="000000"/>
              <w:left w:val="single" w:sz="4" w:space="0" w:color="000000"/>
              <w:bottom w:val="single" w:sz="4" w:space="0" w:color="000000"/>
              <w:right w:val="single" w:sz="4" w:space="0" w:color="000000"/>
            </w:tcBorders>
            <w:vAlign w:val="center"/>
          </w:tcPr>
          <w:p w14:paraId="17692F56"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宁银理财</w:t>
            </w:r>
          </w:p>
        </w:tc>
      </w:tr>
      <w:tr w:rsidR="0086294C" w14:paraId="1FC50E55"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355C274D"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15</w:t>
            </w:r>
          </w:p>
        </w:tc>
        <w:tc>
          <w:tcPr>
            <w:tcW w:w="4909" w:type="dxa"/>
            <w:tcBorders>
              <w:top w:val="single" w:sz="4" w:space="0" w:color="000000"/>
              <w:left w:val="single" w:sz="4" w:space="0" w:color="000000"/>
              <w:bottom w:val="single" w:sz="4" w:space="0" w:color="000000"/>
              <w:right w:val="single" w:sz="4" w:space="0" w:color="000000"/>
            </w:tcBorders>
            <w:vAlign w:val="center"/>
          </w:tcPr>
          <w:p w14:paraId="59A2199D"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平安证券</w:t>
            </w:r>
          </w:p>
        </w:tc>
      </w:tr>
      <w:tr w:rsidR="0086294C" w14:paraId="6088C12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A484D2F"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16</w:t>
            </w:r>
          </w:p>
        </w:tc>
        <w:tc>
          <w:tcPr>
            <w:tcW w:w="4909" w:type="dxa"/>
            <w:tcBorders>
              <w:top w:val="single" w:sz="4" w:space="0" w:color="000000"/>
              <w:left w:val="single" w:sz="4" w:space="0" w:color="000000"/>
              <w:bottom w:val="single" w:sz="4" w:space="0" w:color="000000"/>
              <w:right w:val="single" w:sz="4" w:space="0" w:color="000000"/>
            </w:tcBorders>
            <w:vAlign w:val="center"/>
          </w:tcPr>
          <w:p w14:paraId="3AA9C17A"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人保养老</w:t>
            </w:r>
          </w:p>
        </w:tc>
      </w:tr>
      <w:tr w:rsidR="0086294C" w14:paraId="18F5494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0BC16380"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17</w:t>
            </w:r>
          </w:p>
        </w:tc>
        <w:tc>
          <w:tcPr>
            <w:tcW w:w="4909" w:type="dxa"/>
            <w:tcBorders>
              <w:top w:val="single" w:sz="4" w:space="0" w:color="000000"/>
              <w:left w:val="single" w:sz="4" w:space="0" w:color="000000"/>
              <w:bottom w:val="single" w:sz="4" w:space="0" w:color="000000"/>
              <w:right w:val="single" w:sz="4" w:space="0" w:color="000000"/>
            </w:tcBorders>
            <w:vAlign w:val="center"/>
          </w:tcPr>
          <w:p w14:paraId="638649E0"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人保资产</w:t>
            </w:r>
          </w:p>
        </w:tc>
      </w:tr>
      <w:tr w:rsidR="0086294C" w14:paraId="4689852B"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29150124"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18</w:t>
            </w:r>
          </w:p>
        </w:tc>
        <w:tc>
          <w:tcPr>
            <w:tcW w:w="4909" w:type="dxa"/>
            <w:tcBorders>
              <w:top w:val="single" w:sz="4" w:space="0" w:color="000000"/>
              <w:left w:val="single" w:sz="4" w:space="0" w:color="000000"/>
              <w:bottom w:val="single" w:sz="4" w:space="0" w:color="000000"/>
              <w:right w:val="single" w:sz="4" w:space="0" w:color="000000"/>
            </w:tcBorders>
            <w:vAlign w:val="center"/>
          </w:tcPr>
          <w:p w14:paraId="05BF0701"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上银基金</w:t>
            </w:r>
          </w:p>
        </w:tc>
      </w:tr>
      <w:tr w:rsidR="0086294C" w14:paraId="11F7C82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6D15F832" w14:textId="77777777" w:rsidR="0086294C" w:rsidRDefault="00000000">
            <w:pPr>
              <w:widowControl/>
              <w:jc w:val="center"/>
              <w:textAlignment w:val="center"/>
              <w:rPr>
                <w:rFonts w:ascii="宋体" w:eastAsia="宋体" w:hAnsi="宋体" w:cs="宋体" w:hint="eastAsia"/>
                <w:color w:val="000000"/>
                <w:lang w:val="en-US" w:bidi="ar"/>
              </w:rPr>
            </w:pPr>
            <w:r>
              <w:rPr>
                <w:rFonts w:ascii="宋体" w:eastAsia="宋体" w:hAnsi="宋体" w:cs="宋体" w:hint="eastAsia"/>
                <w:color w:val="000000"/>
                <w:lang w:val="en-US" w:bidi="ar"/>
              </w:rPr>
              <w:t>19</w:t>
            </w:r>
          </w:p>
        </w:tc>
        <w:tc>
          <w:tcPr>
            <w:tcW w:w="4909" w:type="dxa"/>
            <w:tcBorders>
              <w:top w:val="single" w:sz="4" w:space="0" w:color="000000"/>
              <w:left w:val="single" w:sz="4" w:space="0" w:color="000000"/>
              <w:bottom w:val="single" w:sz="4" w:space="0" w:color="000000"/>
              <w:right w:val="single" w:sz="4" w:space="0" w:color="000000"/>
            </w:tcBorders>
            <w:vAlign w:val="center"/>
          </w:tcPr>
          <w:p w14:paraId="48E78FAC" w14:textId="77777777" w:rsidR="0086294C"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申万宏源证券</w:t>
            </w:r>
          </w:p>
        </w:tc>
      </w:tr>
      <w:tr w:rsidR="0086294C" w14:paraId="63F03326"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7F7BFEF1" w14:textId="77777777" w:rsidR="0086294C" w:rsidRDefault="00000000">
            <w:pPr>
              <w:widowControl/>
              <w:jc w:val="center"/>
              <w:textAlignment w:val="center"/>
              <w:rPr>
                <w:rFonts w:ascii="宋体" w:eastAsia="宋体" w:hAnsi="宋体" w:cs="宋体" w:hint="eastAsia"/>
                <w:color w:val="000000"/>
                <w:lang w:val="en-US"/>
              </w:rPr>
            </w:pPr>
            <w:r>
              <w:rPr>
                <w:rFonts w:ascii="宋体" w:eastAsia="宋体" w:hAnsi="宋体" w:cs="宋体" w:hint="eastAsia"/>
                <w:color w:val="000000"/>
                <w:lang w:val="en-US"/>
              </w:rPr>
              <w:t>20</w:t>
            </w:r>
          </w:p>
        </w:tc>
        <w:tc>
          <w:tcPr>
            <w:tcW w:w="4909" w:type="dxa"/>
            <w:tcBorders>
              <w:top w:val="single" w:sz="4" w:space="0" w:color="000000"/>
              <w:left w:val="single" w:sz="4" w:space="0" w:color="000000"/>
              <w:bottom w:val="single" w:sz="4" w:space="0" w:color="000000"/>
              <w:right w:val="single" w:sz="4" w:space="0" w:color="000000"/>
            </w:tcBorders>
            <w:vAlign w:val="center"/>
          </w:tcPr>
          <w:p w14:paraId="6F42EA32"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信达澳亚</w:t>
            </w:r>
          </w:p>
        </w:tc>
      </w:tr>
      <w:tr w:rsidR="0086294C" w14:paraId="57E5F539"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477226CE"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21</w:t>
            </w:r>
          </w:p>
        </w:tc>
        <w:tc>
          <w:tcPr>
            <w:tcW w:w="4909" w:type="dxa"/>
            <w:tcBorders>
              <w:top w:val="single" w:sz="4" w:space="0" w:color="000000"/>
              <w:left w:val="single" w:sz="4" w:space="0" w:color="000000"/>
              <w:bottom w:val="single" w:sz="4" w:space="0" w:color="000000"/>
              <w:right w:val="single" w:sz="4" w:space="0" w:color="000000"/>
            </w:tcBorders>
            <w:vAlign w:val="center"/>
          </w:tcPr>
          <w:p w14:paraId="28682FFE"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兴业证券</w:t>
            </w:r>
          </w:p>
        </w:tc>
      </w:tr>
      <w:tr w:rsidR="0086294C" w14:paraId="7811C01A"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center"/>
          </w:tcPr>
          <w:p w14:paraId="5369E218"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22</w:t>
            </w:r>
          </w:p>
        </w:tc>
        <w:tc>
          <w:tcPr>
            <w:tcW w:w="4909" w:type="dxa"/>
            <w:tcBorders>
              <w:top w:val="single" w:sz="4" w:space="0" w:color="000000"/>
              <w:left w:val="single" w:sz="4" w:space="0" w:color="000000"/>
              <w:bottom w:val="single" w:sz="4" w:space="0" w:color="000000"/>
              <w:right w:val="single" w:sz="4" w:space="0" w:color="000000"/>
            </w:tcBorders>
            <w:vAlign w:val="center"/>
          </w:tcPr>
          <w:p w14:paraId="5F44033F"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长江养老</w:t>
            </w:r>
          </w:p>
        </w:tc>
      </w:tr>
      <w:tr w:rsidR="0086294C" w14:paraId="64C02115"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4A70DAEF" w14:textId="77777777" w:rsidR="0086294C" w:rsidRDefault="00000000">
            <w:pPr>
              <w:widowControl/>
              <w:jc w:val="center"/>
              <w:textAlignment w:val="center"/>
              <w:rPr>
                <w:rFonts w:ascii="宋体" w:eastAsia="宋体" w:hAnsi="宋体" w:cs="宋体" w:hint="eastAsia"/>
                <w:color w:val="000000"/>
              </w:rPr>
            </w:pPr>
            <w:r>
              <w:rPr>
                <w:rFonts w:ascii="宋体" w:eastAsia="宋体" w:hAnsi="宋体" w:cs="宋体" w:hint="eastAsia"/>
                <w:color w:val="000000"/>
                <w:lang w:val="en-US" w:bidi="ar"/>
              </w:rPr>
              <w:t>23</w:t>
            </w:r>
          </w:p>
        </w:tc>
        <w:tc>
          <w:tcPr>
            <w:tcW w:w="4909" w:type="dxa"/>
            <w:tcBorders>
              <w:top w:val="single" w:sz="4" w:space="0" w:color="000000"/>
              <w:left w:val="single" w:sz="4" w:space="0" w:color="000000"/>
              <w:bottom w:val="single" w:sz="4" w:space="0" w:color="000000"/>
              <w:right w:val="single" w:sz="4" w:space="0" w:color="000000"/>
            </w:tcBorders>
            <w:vAlign w:val="center"/>
          </w:tcPr>
          <w:p w14:paraId="6FE9C786" w14:textId="77777777" w:rsidR="0086294C" w:rsidRDefault="00000000">
            <w:pPr>
              <w:widowControl/>
              <w:jc w:val="center"/>
              <w:textAlignment w:val="bottom"/>
              <w:rPr>
                <w:rFonts w:ascii="宋体" w:eastAsia="宋体" w:hAnsi="宋体" w:cs="宋体" w:hint="eastAsia"/>
                <w:color w:val="000000"/>
              </w:rPr>
            </w:pPr>
            <w:r>
              <w:rPr>
                <w:rFonts w:ascii="宋体" w:eastAsia="宋体" w:hAnsi="宋体" w:cs="宋体" w:hint="eastAsia"/>
                <w:color w:val="000000"/>
                <w:lang w:val="en-US" w:bidi="ar"/>
              </w:rPr>
              <w:t>招商证券</w:t>
            </w:r>
          </w:p>
        </w:tc>
      </w:tr>
      <w:tr w:rsidR="0086294C" w14:paraId="4F0BC5A8" w14:textId="77777777">
        <w:trPr>
          <w:trHeight w:val="310"/>
        </w:trPr>
        <w:tc>
          <w:tcPr>
            <w:tcW w:w="3430" w:type="dxa"/>
            <w:tcBorders>
              <w:top w:val="single" w:sz="4" w:space="0" w:color="000000"/>
              <w:left w:val="single" w:sz="4" w:space="0" w:color="000000"/>
              <w:bottom w:val="single" w:sz="4" w:space="0" w:color="000000"/>
              <w:right w:val="single" w:sz="4" w:space="0" w:color="000000"/>
            </w:tcBorders>
            <w:vAlign w:val="center"/>
          </w:tcPr>
          <w:p w14:paraId="2468350E" w14:textId="77777777" w:rsidR="0086294C" w:rsidRDefault="00000000">
            <w:pPr>
              <w:widowControl/>
              <w:jc w:val="center"/>
              <w:textAlignment w:val="center"/>
              <w:rPr>
                <w:rFonts w:ascii="宋体" w:eastAsia="宋体" w:hAnsi="宋体" w:cs="宋体" w:hint="eastAsia"/>
                <w:color w:val="000000"/>
                <w:lang w:val="en-US" w:bidi="ar"/>
              </w:rPr>
            </w:pPr>
            <w:r>
              <w:rPr>
                <w:rFonts w:ascii="宋体" w:eastAsia="宋体" w:hAnsi="宋体" w:cs="宋体" w:hint="eastAsia"/>
                <w:color w:val="000000"/>
                <w:lang w:val="en-US" w:bidi="ar"/>
              </w:rPr>
              <w:t>24</w:t>
            </w:r>
          </w:p>
        </w:tc>
        <w:tc>
          <w:tcPr>
            <w:tcW w:w="4909" w:type="dxa"/>
            <w:tcBorders>
              <w:top w:val="single" w:sz="4" w:space="0" w:color="000000"/>
              <w:left w:val="single" w:sz="4" w:space="0" w:color="000000"/>
              <w:bottom w:val="single" w:sz="4" w:space="0" w:color="000000"/>
              <w:right w:val="single" w:sz="4" w:space="0" w:color="000000"/>
            </w:tcBorders>
            <w:vAlign w:val="center"/>
          </w:tcPr>
          <w:p w14:paraId="16A31728" w14:textId="77777777" w:rsidR="0086294C" w:rsidRDefault="00000000">
            <w:pPr>
              <w:widowControl/>
              <w:jc w:val="center"/>
              <w:textAlignment w:val="bottom"/>
              <w:rPr>
                <w:rFonts w:ascii="宋体" w:eastAsia="宋体" w:hAnsi="宋体" w:cs="宋体" w:hint="eastAsia"/>
                <w:color w:val="000000"/>
                <w:lang w:val="en-US" w:bidi="ar"/>
              </w:rPr>
            </w:pPr>
            <w:r>
              <w:rPr>
                <w:rFonts w:ascii="宋体" w:eastAsia="宋体" w:hAnsi="宋体" w:cs="宋体" w:hint="eastAsia"/>
                <w:color w:val="000000"/>
                <w:lang w:val="en-US" w:bidi="ar"/>
              </w:rPr>
              <w:t>中航基金</w:t>
            </w:r>
          </w:p>
        </w:tc>
      </w:tr>
    </w:tbl>
    <w:p w14:paraId="46A5B884" w14:textId="77777777" w:rsidR="0086294C" w:rsidRDefault="0086294C">
      <w:pPr>
        <w:rPr>
          <w:rFonts w:ascii="宋体" w:eastAsia="宋体" w:hAnsi="宋体" w:cs="宋体" w:hint="eastAsia"/>
          <w:b/>
          <w:bCs/>
          <w:sz w:val="24"/>
          <w:szCs w:val="24"/>
          <w:lang w:val="en-US"/>
        </w:rPr>
      </w:pPr>
    </w:p>
    <w:sectPr w:rsidR="0086294C">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2B82" w14:textId="77777777" w:rsidR="000761BB" w:rsidRDefault="000761BB">
      <w:pPr>
        <w:rPr>
          <w:rFonts w:hint="eastAsia"/>
        </w:rPr>
      </w:pPr>
      <w:r>
        <w:separator/>
      </w:r>
    </w:p>
  </w:endnote>
  <w:endnote w:type="continuationSeparator" w:id="0">
    <w:p w14:paraId="7B69339E" w14:textId="77777777" w:rsidR="000761BB" w:rsidRDefault="000761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85512"/>
    </w:sdtPr>
    <w:sdtContent>
      <w:p w14:paraId="49DB1319" w14:textId="77777777" w:rsidR="0086294C" w:rsidRDefault="00000000">
        <w:pPr>
          <w:pStyle w:val="a8"/>
          <w:jc w:val="center"/>
          <w:rPr>
            <w:rFonts w:hint="eastAsia"/>
          </w:rPr>
        </w:pPr>
        <w:r>
          <w:fldChar w:fldCharType="begin"/>
        </w:r>
        <w:r>
          <w:instrText>PAGE   \* MERGEFORMAT</w:instrText>
        </w:r>
        <w:r>
          <w:fldChar w:fldCharType="separate"/>
        </w:r>
        <w:r>
          <w:t>2</w:t>
        </w:r>
        <w:r>
          <w:fldChar w:fldCharType="end"/>
        </w:r>
      </w:p>
    </w:sdtContent>
  </w:sdt>
  <w:p w14:paraId="254902B2" w14:textId="77777777" w:rsidR="0086294C" w:rsidRDefault="0086294C">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2BE7" w14:textId="77777777" w:rsidR="000761BB" w:rsidRDefault="000761BB">
      <w:pPr>
        <w:rPr>
          <w:rFonts w:hint="eastAsia"/>
        </w:rPr>
      </w:pPr>
      <w:r>
        <w:separator/>
      </w:r>
    </w:p>
  </w:footnote>
  <w:footnote w:type="continuationSeparator" w:id="0">
    <w:p w14:paraId="5B3CC1F6" w14:textId="77777777" w:rsidR="000761BB" w:rsidRDefault="000761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B8DE"/>
    <w:multiLevelType w:val="singleLevel"/>
    <w:tmpl w:val="5BFFB8DE"/>
    <w:lvl w:ilvl="0">
      <w:start w:val="1"/>
      <w:numFmt w:val="decimal"/>
      <w:lvlText w:val="%1."/>
      <w:lvlJc w:val="left"/>
      <w:pPr>
        <w:tabs>
          <w:tab w:val="left" w:pos="312"/>
        </w:tabs>
        <w:ind w:left="0" w:firstLine="0"/>
      </w:pPr>
      <w:rPr>
        <w:rFonts w:hint="eastAsia"/>
      </w:rPr>
    </w:lvl>
  </w:abstractNum>
  <w:num w:numId="1" w16cid:durableId="152327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1"/>
    <w:rsid w:val="00010492"/>
    <w:rsid w:val="0001603C"/>
    <w:rsid w:val="0004574E"/>
    <w:rsid w:val="00046AE9"/>
    <w:rsid w:val="00053DDE"/>
    <w:rsid w:val="000761BB"/>
    <w:rsid w:val="0008328B"/>
    <w:rsid w:val="00096A41"/>
    <w:rsid w:val="000B3B67"/>
    <w:rsid w:val="000B419B"/>
    <w:rsid w:val="000B69B7"/>
    <w:rsid w:val="000E051D"/>
    <w:rsid w:val="000E47E6"/>
    <w:rsid w:val="000F3878"/>
    <w:rsid w:val="0012745D"/>
    <w:rsid w:val="0012788F"/>
    <w:rsid w:val="00164A6C"/>
    <w:rsid w:val="001768FA"/>
    <w:rsid w:val="00186AF1"/>
    <w:rsid w:val="001914F4"/>
    <w:rsid w:val="0019534C"/>
    <w:rsid w:val="001A25E6"/>
    <w:rsid w:val="001A7E85"/>
    <w:rsid w:val="001C188E"/>
    <w:rsid w:val="001D07B1"/>
    <w:rsid w:val="001E01C7"/>
    <w:rsid w:val="001E73F4"/>
    <w:rsid w:val="00205F09"/>
    <w:rsid w:val="00210D6E"/>
    <w:rsid w:val="00231259"/>
    <w:rsid w:val="00235AB3"/>
    <w:rsid w:val="00237D2B"/>
    <w:rsid w:val="002413EB"/>
    <w:rsid w:val="002440DF"/>
    <w:rsid w:val="002603AB"/>
    <w:rsid w:val="00264984"/>
    <w:rsid w:val="00267B05"/>
    <w:rsid w:val="00272904"/>
    <w:rsid w:val="002770C8"/>
    <w:rsid w:val="00283E20"/>
    <w:rsid w:val="0029054A"/>
    <w:rsid w:val="00293EB9"/>
    <w:rsid w:val="002A1600"/>
    <w:rsid w:val="002C6DAB"/>
    <w:rsid w:val="002E6A2A"/>
    <w:rsid w:val="002E7260"/>
    <w:rsid w:val="002F3917"/>
    <w:rsid w:val="002F6FB7"/>
    <w:rsid w:val="00312F5A"/>
    <w:rsid w:val="0035345E"/>
    <w:rsid w:val="00356668"/>
    <w:rsid w:val="00356776"/>
    <w:rsid w:val="003A220C"/>
    <w:rsid w:val="003C5226"/>
    <w:rsid w:val="003E5F2E"/>
    <w:rsid w:val="003F0FA2"/>
    <w:rsid w:val="004113FE"/>
    <w:rsid w:val="00416D06"/>
    <w:rsid w:val="00427ED6"/>
    <w:rsid w:val="00456603"/>
    <w:rsid w:val="004720C6"/>
    <w:rsid w:val="00475C23"/>
    <w:rsid w:val="0047612C"/>
    <w:rsid w:val="00492859"/>
    <w:rsid w:val="004E7F24"/>
    <w:rsid w:val="00506B46"/>
    <w:rsid w:val="00515247"/>
    <w:rsid w:val="00555B2F"/>
    <w:rsid w:val="00570F1A"/>
    <w:rsid w:val="00572767"/>
    <w:rsid w:val="00585A69"/>
    <w:rsid w:val="00586491"/>
    <w:rsid w:val="005B21F5"/>
    <w:rsid w:val="005B6E87"/>
    <w:rsid w:val="005D6DE1"/>
    <w:rsid w:val="005E2AE8"/>
    <w:rsid w:val="005E7CC0"/>
    <w:rsid w:val="005F6E16"/>
    <w:rsid w:val="00603011"/>
    <w:rsid w:val="00630C2B"/>
    <w:rsid w:val="006420FE"/>
    <w:rsid w:val="00644CD5"/>
    <w:rsid w:val="006531CE"/>
    <w:rsid w:val="0065370D"/>
    <w:rsid w:val="00666B5F"/>
    <w:rsid w:val="006715BD"/>
    <w:rsid w:val="0068529C"/>
    <w:rsid w:val="006966B2"/>
    <w:rsid w:val="00697613"/>
    <w:rsid w:val="006A2610"/>
    <w:rsid w:val="006B5CB7"/>
    <w:rsid w:val="006C3413"/>
    <w:rsid w:val="006D5A0A"/>
    <w:rsid w:val="006F2462"/>
    <w:rsid w:val="006F7EBA"/>
    <w:rsid w:val="00736089"/>
    <w:rsid w:val="007540C4"/>
    <w:rsid w:val="0078041F"/>
    <w:rsid w:val="00785958"/>
    <w:rsid w:val="007978A4"/>
    <w:rsid w:val="007A179F"/>
    <w:rsid w:val="007D167A"/>
    <w:rsid w:val="007D66CD"/>
    <w:rsid w:val="00841A24"/>
    <w:rsid w:val="008530F3"/>
    <w:rsid w:val="0086294C"/>
    <w:rsid w:val="008A5CF8"/>
    <w:rsid w:val="008C33B1"/>
    <w:rsid w:val="008D5F0B"/>
    <w:rsid w:val="008F37DC"/>
    <w:rsid w:val="008F52A5"/>
    <w:rsid w:val="008F54FD"/>
    <w:rsid w:val="008F796C"/>
    <w:rsid w:val="009110D6"/>
    <w:rsid w:val="00924382"/>
    <w:rsid w:val="0092517F"/>
    <w:rsid w:val="00926828"/>
    <w:rsid w:val="009329D0"/>
    <w:rsid w:val="0095750D"/>
    <w:rsid w:val="00967E1E"/>
    <w:rsid w:val="0097117B"/>
    <w:rsid w:val="00980480"/>
    <w:rsid w:val="00995182"/>
    <w:rsid w:val="009A39AE"/>
    <w:rsid w:val="009C3D53"/>
    <w:rsid w:val="009F59D0"/>
    <w:rsid w:val="00A05EF7"/>
    <w:rsid w:val="00A477D8"/>
    <w:rsid w:val="00A71181"/>
    <w:rsid w:val="00A73FB7"/>
    <w:rsid w:val="00AA4E77"/>
    <w:rsid w:val="00AA738C"/>
    <w:rsid w:val="00AC0D8B"/>
    <w:rsid w:val="00AF0C76"/>
    <w:rsid w:val="00AF53BB"/>
    <w:rsid w:val="00B14C80"/>
    <w:rsid w:val="00B5143F"/>
    <w:rsid w:val="00B66A63"/>
    <w:rsid w:val="00B81501"/>
    <w:rsid w:val="00BB26E0"/>
    <w:rsid w:val="00BB770E"/>
    <w:rsid w:val="00BC2986"/>
    <w:rsid w:val="00BF03C9"/>
    <w:rsid w:val="00CB72BC"/>
    <w:rsid w:val="00CC47DD"/>
    <w:rsid w:val="00D0144C"/>
    <w:rsid w:val="00D03E4D"/>
    <w:rsid w:val="00D17A2E"/>
    <w:rsid w:val="00D35E79"/>
    <w:rsid w:val="00D71589"/>
    <w:rsid w:val="00D806E0"/>
    <w:rsid w:val="00D87DF5"/>
    <w:rsid w:val="00DB1D01"/>
    <w:rsid w:val="00DE15E2"/>
    <w:rsid w:val="00DF0729"/>
    <w:rsid w:val="00E001E3"/>
    <w:rsid w:val="00E26F20"/>
    <w:rsid w:val="00E409FE"/>
    <w:rsid w:val="00E40B9E"/>
    <w:rsid w:val="00E46B0B"/>
    <w:rsid w:val="00E576A3"/>
    <w:rsid w:val="00E63EBE"/>
    <w:rsid w:val="00E643D3"/>
    <w:rsid w:val="00E912D2"/>
    <w:rsid w:val="00E93E51"/>
    <w:rsid w:val="00E95024"/>
    <w:rsid w:val="00EB48FE"/>
    <w:rsid w:val="00EB617C"/>
    <w:rsid w:val="00ED4917"/>
    <w:rsid w:val="00ED50DF"/>
    <w:rsid w:val="00EE2053"/>
    <w:rsid w:val="00EF12C5"/>
    <w:rsid w:val="00F113A1"/>
    <w:rsid w:val="00F423C5"/>
    <w:rsid w:val="00F445C1"/>
    <w:rsid w:val="00F448F3"/>
    <w:rsid w:val="00F570DF"/>
    <w:rsid w:val="00FA244A"/>
    <w:rsid w:val="00FA5DAC"/>
    <w:rsid w:val="00FE272B"/>
    <w:rsid w:val="025F4662"/>
    <w:rsid w:val="04A51736"/>
    <w:rsid w:val="0667442D"/>
    <w:rsid w:val="08D062B9"/>
    <w:rsid w:val="096C2D7F"/>
    <w:rsid w:val="09D750A5"/>
    <w:rsid w:val="0A3208AE"/>
    <w:rsid w:val="0E15651D"/>
    <w:rsid w:val="0ECF2B6F"/>
    <w:rsid w:val="12B10F0A"/>
    <w:rsid w:val="13B56D71"/>
    <w:rsid w:val="146855F8"/>
    <w:rsid w:val="193463F1"/>
    <w:rsid w:val="1A732F49"/>
    <w:rsid w:val="1D7551D2"/>
    <w:rsid w:val="1FC63103"/>
    <w:rsid w:val="20D81D57"/>
    <w:rsid w:val="221C2118"/>
    <w:rsid w:val="242F7EE0"/>
    <w:rsid w:val="270218DC"/>
    <w:rsid w:val="27B70AB5"/>
    <w:rsid w:val="2A295AED"/>
    <w:rsid w:val="2B033E75"/>
    <w:rsid w:val="2D766B80"/>
    <w:rsid w:val="2F860BD0"/>
    <w:rsid w:val="316E7B6E"/>
    <w:rsid w:val="32E53E60"/>
    <w:rsid w:val="34AB1673"/>
    <w:rsid w:val="373F7FE3"/>
    <w:rsid w:val="375A12C0"/>
    <w:rsid w:val="37902946"/>
    <w:rsid w:val="37971BCD"/>
    <w:rsid w:val="37D050DF"/>
    <w:rsid w:val="39074B30"/>
    <w:rsid w:val="391D07F7"/>
    <w:rsid w:val="3A716DDB"/>
    <w:rsid w:val="3A79380C"/>
    <w:rsid w:val="3AD30AAD"/>
    <w:rsid w:val="3B471B5C"/>
    <w:rsid w:val="3B64626A"/>
    <w:rsid w:val="3CDE204C"/>
    <w:rsid w:val="3DEE4511"/>
    <w:rsid w:val="414D154E"/>
    <w:rsid w:val="41DD28D2"/>
    <w:rsid w:val="42AE24C0"/>
    <w:rsid w:val="43931DE2"/>
    <w:rsid w:val="44BF0181"/>
    <w:rsid w:val="45F34DBA"/>
    <w:rsid w:val="4B6E6C91"/>
    <w:rsid w:val="4E45017D"/>
    <w:rsid w:val="4E740A62"/>
    <w:rsid w:val="5030075B"/>
    <w:rsid w:val="50F5758E"/>
    <w:rsid w:val="526E7576"/>
    <w:rsid w:val="533B38FC"/>
    <w:rsid w:val="534C7720"/>
    <w:rsid w:val="553D6107"/>
    <w:rsid w:val="5991283D"/>
    <w:rsid w:val="5B9C33A6"/>
    <w:rsid w:val="5BC16969"/>
    <w:rsid w:val="5C166CB5"/>
    <w:rsid w:val="5D066909"/>
    <w:rsid w:val="5D137698"/>
    <w:rsid w:val="5E23390B"/>
    <w:rsid w:val="5F3A53B0"/>
    <w:rsid w:val="5F5C70D4"/>
    <w:rsid w:val="5FD44EBD"/>
    <w:rsid w:val="603E4A2C"/>
    <w:rsid w:val="60A07495"/>
    <w:rsid w:val="642B4D28"/>
    <w:rsid w:val="64393E88"/>
    <w:rsid w:val="657D5FF6"/>
    <w:rsid w:val="66D460EA"/>
    <w:rsid w:val="67C779FD"/>
    <w:rsid w:val="69F460FE"/>
    <w:rsid w:val="6C726189"/>
    <w:rsid w:val="6CA67BE1"/>
    <w:rsid w:val="6F653D83"/>
    <w:rsid w:val="6FD82D77"/>
    <w:rsid w:val="7007308C"/>
    <w:rsid w:val="71330988"/>
    <w:rsid w:val="71687B5B"/>
    <w:rsid w:val="716F2C97"/>
    <w:rsid w:val="71956476"/>
    <w:rsid w:val="72204E44"/>
    <w:rsid w:val="74A92964"/>
    <w:rsid w:val="770C3DA7"/>
    <w:rsid w:val="77185065"/>
    <w:rsid w:val="77DD7B29"/>
    <w:rsid w:val="78632E2A"/>
    <w:rsid w:val="796C5D0E"/>
    <w:rsid w:val="7C3F770A"/>
    <w:rsid w:val="7E853A34"/>
    <w:rsid w:val="7EBE1163"/>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850B05-C206-409A-B6EB-8DF18B78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qFormat/>
    <w:rPr>
      <w:rFonts w:ascii="PMingLiU" w:eastAsia="PMingLiU" w:hAnsi="PMingLiU" w:cs="PMingLiU"/>
      <w:sz w:val="44"/>
      <w:szCs w:val="44"/>
      <w:lang w:val="zh-CN" w:bidi="zh-CN"/>
    </w:r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zh-CN" w:bidi="zh-CN"/>
    </w:rPr>
  </w:style>
  <w:style w:type="paragraph" w:customStyle="1" w:styleId="Style6">
    <w:name w:val="_Style 6"/>
    <w:basedOn w:val="a"/>
    <w:uiPriority w:val="34"/>
    <w:qFormat/>
    <w:pPr>
      <w:autoSpaceDE/>
      <w:autoSpaceDN/>
      <w:ind w:firstLineChars="200" w:firstLine="420"/>
      <w:jc w:val="both"/>
    </w:pPr>
    <w:rPr>
      <w:rFonts w:ascii="Calibri" w:eastAsia="宋体" w:hAnsi="Calibri" w:cs="Times New Roman"/>
      <w:kern w:val="2"/>
      <w:sz w:val="21"/>
      <w:lang w:val="en-US" w:bidi="ar-SA"/>
    </w:rPr>
  </w:style>
  <w:style w:type="paragraph" w:customStyle="1" w:styleId="11">
    <w:name w:val="修订1"/>
    <w:hidden/>
    <w:uiPriority w:val="99"/>
    <w:unhideWhenUsed/>
    <w:qFormat/>
    <w:rPr>
      <w:rFonts w:ascii="仿宋" w:eastAsia="仿宋" w:hAnsi="仿宋" w:cs="仿宋"/>
      <w:sz w:val="22"/>
      <w:szCs w:val="22"/>
      <w:lang w:val="zh-CN" w:bidi="zh-CN"/>
    </w:rPr>
  </w:style>
  <w:style w:type="paragraph" w:customStyle="1" w:styleId="21">
    <w:name w:val="修订2"/>
    <w:hidden/>
    <w:uiPriority w:val="99"/>
    <w:unhideWhenUsed/>
    <w:qFormat/>
    <w:rPr>
      <w:rFonts w:ascii="仿宋" w:eastAsia="仿宋" w:hAnsi="仿宋" w:cs="仿宋"/>
      <w:sz w:val="22"/>
      <w:szCs w:val="22"/>
      <w:lang w:val="zh-CN" w:bidi="zh-CN"/>
    </w:rPr>
  </w:style>
  <w:style w:type="paragraph" w:customStyle="1" w:styleId="3">
    <w:name w:val="修订3"/>
    <w:hidden/>
    <w:uiPriority w:val="99"/>
    <w:unhideWhenUsed/>
    <w:qFormat/>
    <w:rPr>
      <w:rFonts w:ascii="仿宋" w:eastAsia="仿宋" w:hAnsi="仿宋" w:cs="仿宋"/>
      <w:sz w:val="22"/>
      <w:szCs w:val="22"/>
      <w:lang w:val="zh-CN" w:bidi="zh-CN"/>
    </w:rPr>
  </w:style>
  <w:style w:type="paragraph" w:styleId="af">
    <w:name w:val="List Paragraph"/>
    <w:basedOn w:val="a"/>
    <w:uiPriority w:val="99"/>
    <w:unhideWhenUsed/>
    <w:qFormat/>
    <w:pPr>
      <w:ind w:firstLineChars="200" w:firstLine="420"/>
    </w:pPr>
  </w:style>
  <w:style w:type="paragraph" w:styleId="af0">
    <w:name w:val="Revision"/>
    <w:hidden/>
    <w:uiPriority w:val="99"/>
    <w:unhideWhenUsed/>
    <w:rsid w:val="003E5F2E"/>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8E03-23A0-4B6B-A5B0-0D570AF7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邓攀</cp:lastModifiedBy>
  <cp:revision>20</cp:revision>
  <dcterms:created xsi:type="dcterms:W3CDTF">2025-08-13T07:48:00Z</dcterms:created>
  <dcterms:modified xsi:type="dcterms:W3CDTF">2025-08-15T09:54:00Z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57D148DF2F764966BF4E1C38A6255FA2</vt:lpwstr>
  </property>
  <property fmtid="{D5CDD505-2E9C-101B-9397-08002B2CF9AE}" pid="4" name="KSOTemplateDocerSaveRecord">
    <vt:lpwstr>eyJoZGlkIjoiOTRiYzcwZDJiNDA3NjQ3ZWUzYzg4NDVkMDc2YzU5ZTMiLCJ1c2VySWQiOiIxNzAzMTA5MDM5In0=</vt:lpwstr>
  </property>
</Properties>
</file>