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0965">
      <w:pPr>
        <w:spacing w:before="156" w:beforeLines="50" w:after="156" w:afterLines="50" w:line="400" w:lineRule="exact"/>
        <w:rPr>
          <w:bCs/>
          <w:iCs/>
          <w:color w:val="000000"/>
          <w:sz w:val="24"/>
        </w:rPr>
      </w:pPr>
      <w:r>
        <w:rPr>
          <w:rFonts w:hAnsi="宋体"/>
          <w:bCs/>
          <w:iCs/>
          <w:color w:val="000000"/>
          <w:sz w:val="24"/>
        </w:rPr>
        <w:t>证券代码：</w:t>
      </w:r>
      <w:r>
        <w:rPr>
          <w:color w:val="000000"/>
          <w:sz w:val="24"/>
        </w:rPr>
        <w:t xml:space="preserve">603690         </w:t>
      </w:r>
      <w:r>
        <w:rPr>
          <w:rFonts w:hint="eastAsia"/>
          <w:color w:val="000000"/>
          <w:sz w:val="24"/>
        </w:rPr>
        <w:t xml:space="preserve">    </w:t>
      </w:r>
      <w:r>
        <w:rPr>
          <w:color w:val="000000"/>
          <w:sz w:val="24"/>
        </w:rPr>
        <w:t xml:space="preserve">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至纯科技</w:t>
      </w:r>
    </w:p>
    <w:p w14:paraId="5F7123D3">
      <w:pPr>
        <w:spacing w:before="156" w:beforeLines="50" w:after="156" w:afterLines="50" w:line="400" w:lineRule="exact"/>
        <w:jc w:val="center"/>
        <w:rPr>
          <w:rFonts w:hint="eastAsia" w:ascii="宋体" w:hAnsi="宋体"/>
          <w:b/>
          <w:bCs/>
          <w:iCs/>
          <w:color w:val="000000"/>
          <w:sz w:val="32"/>
          <w:szCs w:val="32"/>
        </w:rPr>
      </w:pPr>
      <w:r>
        <w:rPr>
          <w:rFonts w:ascii="宋体" w:hAnsi="宋体"/>
          <w:b/>
          <w:bCs/>
          <w:iCs/>
          <w:color w:val="000000"/>
          <w:sz w:val="32"/>
          <w:szCs w:val="32"/>
        </w:rPr>
        <w:t>上海至纯洁净系统科技股份有限公司</w:t>
      </w:r>
    </w:p>
    <w:p w14:paraId="3DAE0EA1">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1641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2F8420AC">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投资者关系活动类别</w:t>
            </w:r>
          </w:p>
          <w:p w14:paraId="346D78C4">
            <w:pPr>
              <w:spacing w:line="420" w:lineRule="exact"/>
              <w:rPr>
                <w:rFonts w:hint="default" w:ascii="Times New Roman" w:hAnsi="Times New Roman" w:cs="Times New Roman"/>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43097022">
            <w:pPr>
              <w:spacing w:line="420" w:lineRule="exact"/>
              <w:rPr>
                <w:rFonts w:hint="default" w:ascii="Times New Roman" w:hAnsi="Times New Roman" w:cs="Times New Roman"/>
                <w:bCs/>
                <w:iCs/>
                <w:color w:val="000000"/>
                <w:sz w:val="24"/>
              </w:rPr>
            </w:pP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 xml:space="preserve">特定对象调研         </w:t>
            </w: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分析师会议</w:t>
            </w:r>
          </w:p>
          <w:p w14:paraId="630BAEC3">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 xml:space="preserve">媒体采访            </w:t>
            </w:r>
            <w:r>
              <w:rPr>
                <w:rFonts w:hint="default" w:ascii="Times New Roman" w:hAnsi="Times New Roman" w:cs="Times New Roman"/>
                <w:bCs/>
                <w:iCs/>
                <w:color w:val="000000"/>
                <w:kern w:val="0"/>
                <w:sz w:val="24"/>
              </w:rPr>
              <w:t xml:space="preserve"> □ </w:t>
            </w:r>
            <w:r>
              <w:rPr>
                <w:rFonts w:hint="default" w:ascii="Times New Roman" w:hAnsi="Times New Roman" w:cs="Times New Roman"/>
                <w:kern w:val="0"/>
                <w:sz w:val="24"/>
              </w:rPr>
              <w:t>业绩说明会</w:t>
            </w:r>
          </w:p>
          <w:p w14:paraId="2CA8D0C0">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 xml:space="preserve">新闻发布会           </w:t>
            </w: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路演活动</w:t>
            </w:r>
          </w:p>
          <w:p w14:paraId="75E63948">
            <w:pPr>
              <w:tabs>
                <w:tab w:val="left" w:pos="3168"/>
                <w:tab w:val="center" w:pos="3199"/>
              </w:tabs>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 xml:space="preserve">现场参观             </w:t>
            </w:r>
            <w:r>
              <w:rPr>
                <w:rFonts w:hint="default" w:ascii="Times New Roman" w:hAnsi="Times New Roman" w:cs="Times New Roman"/>
                <w:bCs/>
                <w:iCs/>
                <w:color w:val="000000"/>
                <w:kern w:val="0"/>
                <w:sz w:val="24"/>
              </w:rPr>
              <w:t>√ 券商策略会</w:t>
            </w:r>
          </w:p>
          <w:p w14:paraId="2078158E">
            <w:pPr>
              <w:tabs>
                <w:tab w:val="center" w:pos="3199"/>
              </w:tabs>
              <w:spacing w:line="420" w:lineRule="exact"/>
              <w:rPr>
                <w:rFonts w:hint="default" w:ascii="Times New Roman" w:hAnsi="Times New Roman" w:cs="Times New Roman"/>
                <w:bCs/>
                <w:iCs/>
                <w:color w:val="000000"/>
                <w:sz w:val="24"/>
              </w:rPr>
            </w:pP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 xml:space="preserve">其他 </w:t>
            </w:r>
          </w:p>
        </w:tc>
      </w:tr>
      <w:tr w14:paraId="7CDB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424F940">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参与机构</w:t>
            </w:r>
          </w:p>
        </w:tc>
        <w:tc>
          <w:tcPr>
            <w:tcW w:w="6847" w:type="dxa"/>
            <w:tcBorders>
              <w:top w:val="single" w:color="auto" w:sz="4" w:space="0"/>
              <w:left w:val="single" w:color="auto" w:sz="4" w:space="0"/>
              <w:bottom w:val="single" w:color="auto" w:sz="4" w:space="0"/>
              <w:right w:val="single" w:color="auto" w:sz="4" w:space="0"/>
            </w:tcBorders>
          </w:tcPr>
          <w:p w14:paraId="5EB2F407">
            <w:pPr>
              <w:spacing w:line="420" w:lineRule="exact"/>
              <w:rPr>
                <w:rFonts w:hint="default" w:ascii="Times New Roman" w:hAnsi="Times New Roman" w:cs="Times New Roman"/>
                <w:bCs/>
                <w:iCs/>
                <w:color w:val="000000"/>
                <w:sz w:val="24"/>
                <w:highlight w:val="yellow"/>
                <w:lang w:val="en-US" w:eastAsia="zh-CN"/>
              </w:rPr>
            </w:pPr>
            <w:r>
              <w:rPr>
                <w:rFonts w:hint="default" w:ascii="Times New Roman" w:hAnsi="Times New Roman" w:cs="Times New Roman"/>
                <w:bCs/>
                <w:iCs/>
                <w:color w:val="000000"/>
                <w:sz w:val="24"/>
                <w:highlight w:val="none"/>
                <w:lang w:val="en-US" w:eastAsia="zh-CN"/>
              </w:rPr>
              <w:t>中欧基金、</w:t>
            </w:r>
            <w:r>
              <w:rPr>
                <w:rFonts w:hint="default" w:ascii="Times New Roman" w:hAnsi="Times New Roman" w:eastAsia="宋体" w:cs="Times New Roman"/>
                <w:sz w:val="24"/>
                <w:szCs w:val="24"/>
                <w:highlight w:val="none"/>
              </w:rPr>
              <w:t>高信百诺</w:t>
            </w:r>
            <w:r>
              <w:rPr>
                <w:rFonts w:hint="default" w:ascii="Times New Roman" w:hAnsi="Times New Roman" w:cs="Times New Roman"/>
                <w:sz w:val="24"/>
                <w:szCs w:val="24"/>
                <w:highlight w:val="none"/>
                <w:lang w:val="en-US" w:eastAsia="zh-CN"/>
              </w:rPr>
              <w:t>资管、华泰资管、</w:t>
            </w:r>
            <w:r>
              <w:rPr>
                <w:rFonts w:hint="default" w:ascii="Times New Roman" w:hAnsi="Times New Roman" w:cs="Times New Roman"/>
                <w:bCs/>
                <w:iCs/>
                <w:color w:val="000000"/>
                <w:sz w:val="24"/>
                <w:highlight w:val="none"/>
                <w:lang w:val="en-US" w:eastAsia="zh-CN"/>
              </w:rPr>
              <w:t>海通资管、</w:t>
            </w:r>
            <w:r>
              <w:rPr>
                <w:rFonts w:hint="default" w:ascii="Times New Roman" w:hAnsi="Times New Roman" w:eastAsia="宋体" w:cs="Times New Roman"/>
                <w:sz w:val="24"/>
                <w:szCs w:val="24"/>
                <w:highlight w:val="none"/>
              </w:rPr>
              <w:t>弥远投资</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钦沐资产</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北方工业有限公司</w:t>
            </w:r>
            <w:r>
              <w:rPr>
                <w:rFonts w:hint="default" w:ascii="Times New Roman" w:hAnsi="Times New Roman" w:cs="Times New Roman"/>
                <w:sz w:val="24"/>
                <w:szCs w:val="24"/>
                <w:highlight w:val="none"/>
                <w:lang w:eastAsia="zh-CN"/>
              </w:rPr>
              <w:t>、</w:t>
            </w:r>
            <w:r>
              <w:rPr>
                <w:rFonts w:hint="default" w:ascii="Times New Roman" w:hAnsi="Times New Roman" w:cs="Times New Roman"/>
                <w:bCs/>
                <w:iCs/>
                <w:color w:val="000000"/>
                <w:sz w:val="24"/>
                <w:highlight w:val="none"/>
                <w:lang w:val="en-US" w:eastAsia="zh-CN"/>
              </w:rPr>
              <w:t>UG FUND、Eagle Group、华泰证券、华福证券、天风证券、东方证券等</w:t>
            </w:r>
          </w:p>
        </w:tc>
      </w:tr>
      <w:tr w14:paraId="0990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8" w:type="dxa"/>
            <w:tcBorders>
              <w:top w:val="single" w:color="auto" w:sz="4" w:space="0"/>
              <w:left w:val="single" w:color="auto" w:sz="4" w:space="0"/>
              <w:bottom w:val="single" w:color="auto" w:sz="4" w:space="0"/>
              <w:right w:val="single" w:color="auto" w:sz="4" w:space="0"/>
            </w:tcBorders>
          </w:tcPr>
          <w:p w14:paraId="75B4A02A">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64A6ACAF">
            <w:pPr>
              <w:spacing w:line="420" w:lineRule="exact"/>
              <w:rPr>
                <w:rFonts w:hint="default" w:ascii="Times New Roman" w:hAnsi="Times New Roman" w:cs="Times New Roman"/>
                <w:bCs/>
                <w:iCs/>
                <w:color w:val="000000"/>
                <w:sz w:val="24"/>
              </w:rPr>
            </w:pPr>
            <w:r>
              <w:rPr>
                <w:rFonts w:hint="default" w:ascii="Times New Roman" w:hAnsi="Times New Roman" w:cs="Times New Roman"/>
                <w:bCs/>
                <w:iCs/>
                <w:color w:val="000000"/>
                <w:sz w:val="24"/>
              </w:rPr>
              <w:t>2025年</w:t>
            </w:r>
            <w:r>
              <w:rPr>
                <w:rFonts w:hint="default" w:ascii="Times New Roman" w:hAnsi="Times New Roman" w:cs="Times New Roman"/>
                <w:bCs/>
                <w:iCs/>
                <w:color w:val="000000"/>
                <w:sz w:val="24"/>
                <w:lang w:val="en-US" w:eastAsia="zh-CN"/>
              </w:rPr>
              <w:t>6-7</w:t>
            </w:r>
            <w:r>
              <w:rPr>
                <w:rFonts w:hint="default" w:ascii="Times New Roman" w:hAnsi="Times New Roman" w:cs="Times New Roman"/>
                <w:bCs/>
                <w:iCs/>
                <w:color w:val="000000"/>
                <w:sz w:val="24"/>
              </w:rPr>
              <w:t>月</w:t>
            </w:r>
          </w:p>
        </w:tc>
      </w:tr>
      <w:tr w14:paraId="6D5A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0B8873B2">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1F07395B">
            <w:pPr>
              <w:spacing w:line="420" w:lineRule="exact"/>
              <w:rPr>
                <w:rFonts w:hint="default" w:ascii="Times New Roman" w:hAnsi="Times New Roman" w:eastAsia="宋体" w:cs="Times New Roman"/>
                <w:bCs/>
                <w:iCs/>
                <w:color w:val="000000"/>
                <w:sz w:val="24"/>
                <w:lang w:val="en-US" w:eastAsia="zh-CN"/>
              </w:rPr>
            </w:pPr>
            <w:r>
              <w:rPr>
                <w:rFonts w:hint="default" w:ascii="Times New Roman" w:hAnsi="Times New Roman" w:cs="Times New Roman"/>
                <w:bCs/>
                <w:iCs/>
                <w:color w:val="000000"/>
                <w:sz w:val="24"/>
              </w:rPr>
              <w:t>现场会议</w:t>
            </w:r>
          </w:p>
        </w:tc>
      </w:tr>
      <w:tr w14:paraId="248F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1C98EBD0">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4685007E">
            <w:pPr>
              <w:spacing w:line="420" w:lineRule="exact"/>
              <w:rPr>
                <w:rFonts w:hint="default" w:ascii="Times New Roman" w:hAnsi="Times New Roman" w:eastAsia="宋体" w:cs="Times New Roman"/>
                <w:bCs/>
                <w:sz w:val="24"/>
                <w:lang w:val="en-US" w:eastAsia="zh-CN"/>
              </w:rPr>
            </w:pPr>
            <w:r>
              <w:rPr>
                <w:rFonts w:hint="default" w:ascii="Times New Roman" w:hAnsi="Times New Roman" w:cs="Times New Roman"/>
                <w:bCs/>
                <w:sz w:val="24"/>
              </w:rPr>
              <w:t>董秘任慕华</w:t>
            </w:r>
            <w:r>
              <w:rPr>
                <w:rFonts w:hint="eastAsia" w:cs="Times New Roman"/>
                <w:bCs/>
                <w:sz w:val="24"/>
                <w:lang w:eastAsia="zh-CN"/>
              </w:rPr>
              <w:t>、</w:t>
            </w:r>
            <w:r>
              <w:rPr>
                <w:rFonts w:hint="eastAsia" w:cs="Times New Roman"/>
                <w:bCs/>
                <w:sz w:val="24"/>
                <w:lang w:val="en-US" w:eastAsia="zh-CN"/>
              </w:rPr>
              <w:t>证代张娟</w:t>
            </w:r>
          </w:p>
        </w:tc>
      </w:tr>
      <w:tr w14:paraId="28F3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16A4F50">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投资者关系活动主要内容介绍</w:t>
            </w:r>
          </w:p>
          <w:p w14:paraId="2D283C6B">
            <w:pPr>
              <w:spacing w:line="420" w:lineRule="exact"/>
              <w:rPr>
                <w:rFonts w:hint="default" w:ascii="Times New Roman" w:hAnsi="Times New Roman" w:cs="Times New Roman"/>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70F854EC">
            <w:pPr>
              <w:pStyle w:val="13"/>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交流的主要问题及回复概要</w:t>
            </w:r>
          </w:p>
          <w:p w14:paraId="60B78BD4">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bCs/>
                <w:sz w:val="24"/>
                <w:lang w:val="en-US" w:eastAsia="zh-CN"/>
              </w:rPr>
            </w:pPr>
            <w:r>
              <w:rPr>
                <w:rFonts w:hint="eastAsia" w:cs="Times New Roman"/>
                <w:b/>
                <w:bCs/>
                <w:sz w:val="24"/>
                <w:lang w:val="en-US" w:eastAsia="zh-CN"/>
              </w:rPr>
              <w:t>1、公司2025年上半年整体订单和经营情况如何</w:t>
            </w:r>
            <w:r>
              <w:rPr>
                <w:rFonts w:hint="default" w:cs="Times New Roman"/>
                <w:b/>
                <w:bCs/>
                <w:sz w:val="24"/>
                <w:lang w:val="en-US" w:eastAsia="zh-CN"/>
              </w:rPr>
              <w:t>？</w:t>
            </w:r>
          </w:p>
          <w:p w14:paraId="00A3119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rPr>
              <w:t>答：</w:t>
            </w:r>
            <w:r>
              <w:rPr>
                <w:rFonts w:hint="eastAsia" w:cs="Times New Roman"/>
                <w:sz w:val="24"/>
                <w:lang w:val="en-US" w:eastAsia="zh-CN"/>
              </w:rPr>
              <w:t>2025年上半年，公司整体经营稳定，业务订单正常开展，详细情况请以</w:t>
            </w:r>
            <w:r>
              <w:rPr>
                <w:rFonts w:hint="eastAsia" w:cs="Times New Roman"/>
                <w:sz w:val="24"/>
                <w:highlight w:val="none"/>
                <w:lang w:val="en-US" w:eastAsia="zh-CN"/>
              </w:rPr>
              <w:t>公司2025年</w:t>
            </w:r>
            <w:r>
              <w:rPr>
                <w:rFonts w:hint="eastAsia" w:cs="Times New Roman"/>
                <w:sz w:val="24"/>
                <w:lang w:val="en-US" w:eastAsia="zh-CN"/>
              </w:rPr>
              <w:t>半年度报告为准。</w:t>
            </w:r>
          </w:p>
          <w:p w14:paraId="6CDFD99F">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bCs/>
                <w:sz w:val="24"/>
                <w:lang w:val="en-US" w:eastAsia="zh-CN"/>
              </w:rPr>
            </w:pPr>
            <w:r>
              <w:rPr>
                <w:rFonts w:hint="eastAsia" w:cs="Times New Roman"/>
                <w:b/>
                <w:bCs/>
                <w:sz w:val="24"/>
                <w:lang w:val="en-US" w:eastAsia="zh-CN"/>
              </w:rPr>
              <w:t>2、</w:t>
            </w:r>
            <w:r>
              <w:rPr>
                <w:rFonts w:hint="default" w:cs="Times New Roman"/>
                <w:b/>
                <w:bCs/>
                <w:sz w:val="24"/>
                <w:lang w:val="en-US" w:eastAsia="zh-CN"/>
              </w:rPr>
              <w:t>公司湿法设备业务有何进展？</w:t>
            </w:r>
            <w:r>
              <w:rPr>
                <w:rFonts w:hint="eastAsia" w:cs="Times New Roman"/>
                <w:b/>
                <w:bCs/>
                <w:sz w:val="24"/>
                <w:lang w:val="en-US" w:eastAsia="zh-CN"/>
              </w:rPr>
              <w:t>先进制程高端机进展情况如何</w:t>
            </w:r>
            <w:r>
              <w:rPr>
                <w:rFonts w:hint="default" w:cs="Times New Roman"/>
                <w:b/>
                <w:bCs/>
                <w:sz w:val="24"/>
                <w:lang w:val="en-US" w:eastAsia="zh-CN"/>
              </w:rPr>
              <w:t>？</w:t>
            </w:r>
          </w:p>
          <w:p w14:paraId="13E7FCB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答：2024年公司对设备进行技术升级，优化改造，公司旗下至微科技发布了S300-D湿法设备新平台，该平台专为先进制程需求设计，覆盖SPM、</w:t>
            </w:r>
            <w:bookmarkStart w:id="0" w:name="OLE_LINK15"/>
            <w:r>
              <w:rPr>
                <w:rFonts w:hint="default" w:ascii="Times New Roman" w:hAnsi="Times New Roman" w:cs="Times New Roman"/>
                <w:sz w:val="24"/>
              </w:rPr>
              <w:t>BACKSIDE</w:t>
            </w:r>
            <w:bookmarkEnd w:id="0"/>
            <w:r>
              <w:rPr>
                <w:rFonts w:hint="default" w:ascii="Times New Roman" w:hAnsi="Times New Roman" w:cs="Times New Roman"/>
                <w:sz w:val="24"/>
              </w:rPr>
              <w:t> ETCH（背面蚀刻）、Pre clean（预清洗）、BEVEL（斜边处理）等关键工艺，其WPH（每小时处理晶圆的数量）提升30%，新平台显著提升了生产效率，并在腔体的缩小和流场的控制方面有了进一步提升以满足更苛刻的工艺需求。</w:t>
            </w:r>
          </w:p>
          <w:p w14:paraId="7035A9D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公司于2022年正式推出的高温硫酸SPM设备，成为国产首台应用于大规模量产线的12英寸硫酸清洗机，月产能最高可达6万片次，单机</w:t>
            </w:r>
            <w:r>
              <w:rPr>
                <w:rFonts w:hint="default" w:ascii="Times New Roman" w:hAnsi="Times New Roman" w:cs="Times New Roman"/>
                <w:sz w:val="24"/>
                <w:highlight w:val="none"/>
              </w:rPr>
              <w:t>累计产量</w:t>
            </w:r>
            <w:r>
              <w:rPr>
                <w:rFonts w:hint="eastAsia" w:cs="Times New Roman"/>
                <w:sz w:val="24"/>
                <w:highlight w:val="none"/>
                <w:lang w:val="en-US" w:eastAsia="zh-CN"/>
              </w:rPr>
              <w:t>已</w:t>
            </w:r>
            <w:r>
              <w:rPr>
                <w:rFonts w:hint="default" w:ascii="Times New Roman" w:hAnsi="Times New Roman" w:cs="Times New Roman"/>
                <w:sz w:val="24"/>
                <w:highlight w:val="none"/>
              </w:rPr>
              <w:t>超过</w:t>
            </w:r>
            <w:r>
              <w:rPr>
                <w:rFonts w:hint="eastAsia" w:cs="Times New Roman"/>
                <w:sz w:val="24"/>
                <w:highlight w:val="none"/>
                <w:lang w:val="en-US" w:eastAsia="zh-CN"/>
              </w:rPr>
              <w:t>70</w:t>
            </w:r>
            <w:r>
              <w:rPr>
                <w:rFonts w:hint="default" w:ascii="Times New Roman" w:hAnsi="Times New Roman" w:cs="Times New Roman"/>
                <w:sz w:val="24"/>
                <w:highlight w:val="none"/>
              </w:rPr>
              <w:t>万片次，是高阶</w:t>
            </w:r>
            <w:r>
              <w:rPr>
                <w:rFonts w:hint="default" w:ascii="Times New Roman" w:hAnsi="Times New Roman" w:cs="Times New Roman"/>
                <w:sz w:val="24"/>
              </w:rPr>
              <w:t>湿法设备国产替代进口的重要里程碑。</w:t>
            </w:r>
          </w:p>
          <w:p w14:paraId="796AA20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未来公司将聚焦先进制程的产品与服务，把握好目前先进制程湿法工艺验证领先的优势，希望在下游集成电路客户先进制程有重大进展时抓住机遇，提升公司半导体设备业务比重。</w:t>
            </w:r>
          </w:p>
          <w:p w14:paraId="32375D47">
            <w:pPr>
              <w:pStyle w:val="1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cs="Times New Roman"/>
                <w:b/>
                <w:bCs/>
                <w:sz w:val="24"/>
                <w:lang w:val="en-US" w:eastAsia="zh-CN"/>
              </w:rPr>
            </w:pPr>
            <w:r>
              <w:rPr>
                <w:rFonts w:hint="eastAsia" w:cs="Times New Roman"/>
                <w:b/>
                <w:bCs/>
                <w:sz w:val="24"/>
                <w:lang w:val="en-US" w:eastAsia="zh-CN"/>
              </w:rPr>
              <w:t>国内目前清洗设备的竞争格局如何？</w:t>
            </w:r>
          </w:p>
          <w:p w14:paraId="669A0430">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lang w:val="en-US" w:eastAsia="zh-CN"/>
              </w:rPr>
              <w:t>答：</w:t>
            </w:r>
            <w:r>
              <w:rPr>
                <w:rFonts w:hint="eastAsia" w:cs="Times New Roman"/>
                <w:sz w:val="24"/>
                <w:lang w:val="en-US" w:eastAsia="zh-CN"/>
              </w:rPr>
              <w:t>国内清洗设备行业目前处于快速发展阶段，国产替代加速，国内也有数家湿法设备企业。中低阶清洗设备厂商众多，产品同质化严重，价格竞争激烈；高阶清洗设备技术门槛较高，主要仍由外资品牌主导。公司湿法设备产品聚焦晶</w:t>
            </w:r>
            <w:r>
              <w:rPr>
                <w:rFonts w:hint="default" w:cs="Times New Roman"/>
                <w:sz w:val="24"/>
                <w:lang w:val="en-US" w:eastAsia="zh-CN"/>
              </w:rPr>
              <w:t>圆制造的前道工艺，主要应用于扩散、光刻、刻蚀、离子注入、薄膜沉积等关键工序段前后，</w:t>
            </w:r>
            <w:r>
              <w:rPr>
                <w:rFonts w:hint="eastAsia" w:cs="Times New Roman"/>
                <w:sz w:val="24"/>
                <w:lang w:val="en-US" w:eastAsia="zh-CN"/>
              </w:rPr>
              <w:t>在2</w:t>
            </w:r>
            <w:r>
              <w:rPr>
                <w:rFonts w:hint="default" w:cs="Times New Roman"/>
                <w:sz w:val="24"/>
                <w:lang w:val="en-US" w:eastAsia="zh-CN"/>
              </w:rPr>
              <w:t>8纳米节点设备开发已经全部完成，且全工艺机台均有订单，在更先进制程节点，至微也</w:t>
            </w:r>
            <w:r>
              <w:rPr>
                <w:rFonts w:hint="default" w:cs="Times New Roman"/>
                <w:sz w:val="24"/>
                <w:highlight w:val="none"/>
                <w:lang w:val="en-US" w:eastAsia="zh-CN"/>
              </w:rPr>
              <w:t>已取得</w:t>
            </w:r>
            <w:r>
              <w:rPr>
                <w:rFonts w:hint="eastAsia" w:cs="Times New Roman"/>
                <w:sz w:val="24"/>
                <w:highlight w:val="none"/>
                <w:lang w:val="en-US" w:eastAsia="zh-CN"/>
              </w:rPr>
              <w:t>较多道数</w:t>
            </w:r>
            <w:r>
              <w:rPr>
                <w:rFonts w:hint="default" w:cs="Times New Roman"/>
                <w:sz w:val="24"/>
                <w:highlight w:val="none"/>
                <w:lang w:val="en-US" w:eastAsia="zh-CN"/>
              </w:rPr>
              <w:t>工艺订单，尤其在高温硫酸、FIN</w:t>
            </w:r>
            <w:r>
              <w:rPr>
                <w:rFonts w:hint="eastAsia" w:cs="Times New Roman"/>
                <w:sz w:val="24"/>
                <w:highlight w:val="none"/>
                <w:lang w:val="en-US" w:eastAsia="zh-CN"/>
              </w:rPr>
              <w:t xml:space="preserve"> </w:t>
            </w:r>
            <w:r>
              <w:rPr>
                <w:rFonts w:hint="default" w:cs="Times New Roman"/>
                <w:sz w:val="24"/>
                <w:highlight w:val="none"/>
                <w:lang w:val="en-US" w:eastAsia="zh-CN"/>
              </w:rPr>
              <w:t>ETCH、单片磷酸等尚被国际厂商垄断的机台，公司交付和验证进度都在国内领先。</w:t>
            </w:r>
          </w:p>
          <w:p w14:paraId="03AAFBD4">
            <w:pPr>
              <w:pStyle w:val="1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公司湿法设备能替代国外进口的设备吗？</w:t>
            </w:r>
          </w:p>
          <w:p w14:paraId="60B95F94">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答：公司湿法设备用户已经覆盖大部分核心客户并为其配套关键工艺节点的湿法工艺设备。在28纳米率先实现前中后段全工艺覆盖，在更先进制</w:t>
            </w:r>
            <w:r>
              <w:rPr>
                <w:rFonts w:hint="default" w:ascii="Times New Roman" w:hAnsi="Times New Roman" w:cs="Times New Roman"/>
                <w:sz w:val="24"/>
                <w:highlight w:val="none"/>
              </w:rPr>
              <w:t>程节点正陆续替代国外厂商。公司不仅实现了工艺机台的全自主IP，还</w:t>
            </w:r>
            <w:r>
              <w:rPr>
                <w:rFonts w:hint="eastAsia" w:cs="Times New Roman"/>
                <w:sz w:val="24"/>
                <w:highlight w:val="none"/>
                <w:lang w:val="en-US" w:eastAsia="zh-CN"/>
              </w:rPr>
              <w:t>砥砺五年多时间基本</w:t>
            </w:r>
            <w:r>
              <w:rPr>
                <w:rFonts w:hint="default" w:ascii="Times New Roman" w:hAnsi="Times New Roman" w:cs="Times New Roman"/>
                <w:sz w:val="24"/>
                <w:highlight w:val="none"/>
              </w:rPr>
              <w:t>实现了核心模组到</w:t>
            </w:r>
            <w:r>
              <w:rPr>
                <w:rFonts w:hint="eastAsia" w:cs="Times New Roman"/>
                <w:sz w:val="24"/>
                <w:highlight w:val="none"/>
                <w:lang w:val="en-US" w:eastAsia="zh-CN"/>
              </w:rPr>
              <w:t>功能单元再到</w:t>
            </w:r>
            <w:r>
              <w:rPr>
                <w:rFonts w:hint="default" w:ascii="Times New Roman" w:hAnsi="Times New Roman" w:cs="Times New Roman"/>
                <w:sz w:val="24"/>
                <w:highlight w:val="none"/>
              </w:rPr>
              <w:t>元器件层的本土供应链培育和建设。</w:t>
            </w:r>
          </w:p>
          <w:p w14:paraId="0C7C04B8">
            <w:pPr>
              <w:pStyle w:val="1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电子材料业务</w:t>
            </w:r>
            <w:r>
              <w:rPr>
                <w:rFonts w:hint="eastAsia" w:cs="Times New Roman"/>
                <w:b/>
                <w:bCs/>
                <w:sz w:val="24"/>
                <w:lang w:val="en-US" w:eastAsia="zh-CN"/>
              </w:rPr>
              <w:t>进展</w:t>
            </w:r>
            <w:r>
              <w:rPr>
                <w:rFonts w:hint="default" w:ascii="Times New Roman" w:hAnsi="Times New Roman" w:cs="Times New Roman"/>
                <w:b/>
                <w:bCs/>
                <w:sz w:val="24"/>
              </w:rPr>
              <w:t>如何</w:t>
            </w:r>
            <w:r>
              <w:rPr>
                <w:rFonts w:hint="eastAsia" w:ascii="Times New Roman" w:hAnsi="Times New Roman" w:cs="Times New Roman"/>
                <w:b/>
                <w:bCs/>
                <w:sz w:val="24"/>
                <w:lang w:eastAsia="zh-CN"/>
              </w:rPr>
              <w:t>？</w:t>
            </w:r>
          </w:p>
          <w:p w14:paraId="12004BE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highlight w:val="lightGray"/>
              </w:rPr>
            </w:pPr>
            <w:r>
              <w:rPr>
                <w:rFonts w:hint="default" w:ascii="Times New Roman" w:hAnsi="Times New Roman" w:cs="Times New Roman"/>
                <w:sz w:val="24"/>
              </w:rPr>
              <w:t>答：</w:t>
            </w:r>
            <w:r>
              <w:rPr>
                <w:rFonts w:hint="default" w:ascii="Times New Roman" w:hAnsi="Times New Roman" w:cs="Times New Roman"/>
                <w:sz w:val="24"/>
                <w:highlight w:val="none"/>
              </w:rPr>
              <w:t>公司大宗气站的业务进</w:t>
            </w:r>
            <w:r>
              <w:rPr>
                <w:rFonts w:hint="eastAsia" w:cs="Times New Roman"/>
                <w:sz w:val="24"/>
                <w:highlight w:val="none"/>
                <w:lang w:val="en-US" w:eastAsia="zh-CN"/>
              </w:rPr>
              <w:t>展</w:t>
            </w:r>
            <w:r>
              <w:rPr>
                <w:rFonts w:hint="default" w:ascii="Times New Roman" w:hAnsi="Times New Roman" w:cs="Times New Roman"/>
                <w:sz w:val="24"/>
                <w:highlight w:val="none"/>
              </w:rPr>
              <w:t>顺利。由公司投资和设计建设的国内首座完全国产化的12英寸晶圆对应28纳米的大宗气体供应工厂指标完全达标，为用户提供至少15年的高纯大宗气体供应，从2022年初至今持续稳定运行，成功打破了半导体级大宗气由国际</w:t>
            </w:r>
            <w:bookmarkStart w:id="1" w:name="OLE_LINK39"/>
            <w:r>
              <w:rPr>
                <w:rFonts w:hint="default" w:ascii="Times New Roman" w:hAnsi="Times New Roman" w:cs="Times New Roman"/>
                <w:sz w:val="24"/>
                <w:highlight w:val="none"/>
              </w:rPr>
              <w:t>供应商垄断的格局</w:t>
            </w:r>
            <w:bookmarkEnd w:id="1"/>
            <w:r>
              <w:rPr>
                <w:rFonts w:hint="default" w:ascii="Times New Roman" w:hAnsi="Times New Roman" w:cs="Times New Roman"/>
                <w:sz w:val="24"/>
                <w:highlight w:val="none"/>
              </w:rPr>
              <w:t>，实现了该制程节点国内自主大宗气站零的突破。目前公司第二座大宗气站于2024年上半年已开始为客户提供供气服务</w:t>
            </w:r>
            <w:r>
              <w:rPr>
                <w:rFonts w:hint="eastAsia" w:cs="Times New Roman"/>
                <w:sz w:val="24"/>
                <w:highlight w:val="none"/>
                <w:lang w:eastAsia="zh-CN"/>
              </w:rPr>
              <w:t>，</w:t>
            </w:r>
            <w:r>
              <w:rPr>
                <w:rFonts w:hint="default" w:ascii="Times New Roman" w:hAnsi="Times New Roman" w:cs="Times New Roman"/>
                <w:sz w:val="24"/>
                <w:highlight w:val="none"/>
              </w:rPr>
              <w:t>随着客户的产能爬升，</w:t>
            </w:r>
            <w:r>
              <w:rPr>
                <w:rFonts w:hint="eastAsia" w:cs="Times New Roman"/>
                <w:sz w:val="24"/>
                <w:highlight w:val="none"/>
                <w:lang w:val="en-US" w:eastAsia="zh-CN"/>
              </w:rPr>
              <w:t>预计2025年将</w:t>
            </w:r>
            <w:r>
              <w:rPr>
                <w:rFonts w:hint="default" w:ascii="Times New Roman" w:hAnsi="Times New Roman" w:cs="Times New Roman"/>
                <w:sz w:val="24"/>
                <w:highlight w:val="none"/>
              </w:rPr>
              <w:t>为公司贡献</w:t>
            </w:r>
            <w:r>
              <w:rPr>
                <w:rFonts w:hint="eastAsia" w:cs="Times New Roman"/>
                <w:sz w:val="24"/>
                <w:highlight w:val="none"/>
                <w:lang w:val="en-US" w:eastAsia="zh-CN"/>
              </w:rPr>
              <w:t>更</w:t>
            </w:r>
            <w:r>
              <w:rPr>
                <w:rFonts w:hint="default" w:ascii="Times New Roman" w:hAnsi="Times New Roman" w:cs="Times New Roman"/>
                <w:sz w:val="24"/>
                <w:highlight w:val="none"/>
              </w:rPr>
              <w:t>可观的营收</w:t>
            </w:r>
            <w:r>
              <w:rPr>
                <w:rFonts w:hint="eastAsia" w:cs="Times New Roman"/>
                <w:sz w:val="24"/>
                <w:highlight w:val="none"/>
                <w:lang w:val="en-US" w:eastAsia="zh-CN"/>
              </w:rPr>
              <w:t>及现金流</w:t>
            </w:r>
            <w:r>
              <w:rPr>
                <w:rFonts w:hint="default" w:ascii="Times New Roman" w:hAnsi="Times New Roman" w:cs="Times New Roman"/>
                <w:color w:val="000000"/>
                <w:szCs w:val="21"/>
                <w:highlight w:val="none"/>
              </w:rPr>
              <w:t>。</w:t>
            </w:r>
          </w:p>
          <w:p w14:paraId="35D7140D">
            <w:pPr>
              <w:pStyle w:val="1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bCs/>
                <w:sz w:val="24"/>
              </w:rPr>
            </w:pPr>
            <w:r>
              <w:rPr>
                <w:rFonts w:hint="default" w:ascii="Times New Roman" w:hAnsi="Times New Roman" w:cs="Times New Roman"/>
                <w:b/>
                <w:bCs/>
                <w:sz w:val="24"/>
              </w:rPr>
              <w:t>收购威顿晶磷目前进展如何？</w:t>
            </w:r>
          </w:p>
          <w:p w14:paraId="2ACF186A">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sz w:val="24"/>
              </w:rPr>
            </w:pPr>
            <w:r>
              <w:rPr>
                <w:rFonts w:hint="default" w:ascii="Times New Roman" w:hAnsi="Times New Roman" w:cs="Times New Roman"/>
                <w:sz w:val="24"/>
              </w:rPr>
              <w:t>答：本次收购威顿事项涉及资产的审计、评估、尽职调查等工作正在稳步推进当中，公司持续推进本次交易的相关工作并将在相关工作完成后召开会议审议本次交易的相关事项并公告。</w:t>
            </w:r>
          </w:p>
          <w:p w14:paraId="6F2661D6">
            <w:pPr>
              <w:pStyle w:val="1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sz w:val="24"/>
              </w:rPr>
            </w:pPr>
            <w:r>
              <w:rPr>
                <w:rFonts w:hint="eastAsia" w:ascii="Times New Roman" w:hAnsi="Times New Roman" w:cs="Times New Roman"/>
                <w:b/>
                <w:bCs/>
                <w:sz w:val="24"/>
              </w:rPr>
              <w:t>请问现在手头的订单按照下游的行业来拆分，大概是一个什么样的情况？</w:t>
            </w:r>
          </w:p>
          <w:p w14:paraId="40D2303F">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highlight w:val="none"/>
              </w:rPr>
            </w:pPr>
            <w:r>
              <w:rPr>
                <w:rFonts w:hint="eastAsia" w:ascii="Times New Roman" w:hAnsi="Times New Roman" w:cs="Times New Roman"/>
                <w:sz w:val="24"/>
                <w:highlight w:val="none"/>
                <w:lang w:val="en-US" w:eastAsia="zh-CN"/>
              </w:rPr>
              <w:t>答：</w:t>
            </w:r>
            <w:r>
              <w:rPr>
                <w:rFonts w:hint="default" w:ascii="Times New Roman" w:hAnsi="Times New Roman" w:eastAsia="宋体" w:cs="Times New Roman"/>
                <w:sz w:val="24"/>
                <w:szCs w:val="24"/>
                <w:highlight w:val="none"/>
              </w:rPr>
              <w:t>2024年公司新增订单总额为55.77亿元，其中5年以上长期订单总额为1.17亿元。在除去大宗气站、TGM、TCM等电子材料及专项服务的长交期订单的影响后，2024年新签订单与2023年相比实现了17.88%的增长。2024年新增订单中来自集成电路行业的订单额占比达84.55%，其中服务于12英寸集成电路客户占比达88.46%，且主要为产业的一线用户，包括中芯国际、华虹公司、上海华力、长鑫科技、长江存储、北电集成、燕东微、士兰微、润鹏半导体、H系等。</w:t>
            </w:r>
          </w:p>
          <w:p w14:paraId="349DFD84">
            <w:pPr>
              <w:pStyle w:val="1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sz w:val="24"/>
              </w:rPr>
            </w:pPr>
            <w:r>
              <w:rPr>
                <w:rFonts w:hint="eastAsia" w:ascii="Times New Roman" w:hAnsi="Times New Roman" w:cs="Times New Roman"/>
                <w:b/>
                <w:bCs/>
                <w:sz w:val="24"/>
              </w:rPr>
              <w:t>请问</w:t>
            </w:r>
            <w:r>
              <w:rPr>
                <w:rFonts w:hint="eastAsia" w:cs="Times New Roman"/>
                <w:b/>
                <w:bCs/>
                <w:sz w:val="24"/>
                <w:lang w:val="en-US" w:eastAsia="zh-CN"/>
              </w:rPr>
              <w:t>公司目前收入确认和经营性现金流情况如何？</w:t>
            </w:r>
          </w:p>
          <w:p w14:paraId="5CF5658B">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答：公司主营业务为集成电路及泛半导体产业客户提供高纯工艺系统、半导体湿法设备及电子材料。随着近两年营业收入的增长，带来了应收账款余额的同比增长，且公司业务主要集中于集成电路行业，合同金额档位和项目规模也在逐年扩大，项目周期也相应拉长，</w:t>
            </w:r>
            <w:r>
              <w:rPr>
                <w:rFonts w:hint="eastAsia" w:cs="Times New Roman"/>
                <w:sz w:val="24"/>
                <w:highlight w:val="none"/>
                <w:lang w:val="en-US" w:eastAsia="zh-CN"/>
              </w:rPr>
              <w:t>收入确认需在全部设备联调供应验收完成，而应收款方面，</w:t>
            </w:r>
            <w:r>
              <w:rPr>
                <w:rFonts w:hint="eastAsia" w:ascii="Times New Roman" w:hAnsi="Times New Roman" w:cs="Times New Roman"/>
                <w:sz w:val="24"/>
                <w:highlight w:val="none"/>
                <w:lang w:val="en-US" w:eastAsia="zh-CN"/>
              </w:rPr>
              <w:t>因部分客户付款审批流程长、系统集成项目</w:t>
            </w:r>
            <w:r>
              <w:rPr>
                <w:rFonts w:hint="eastAsia" w:ascii="Times New Roman" w:hAnsi="Times New Roman" w:cs="Times New Roman"/>
                <w:sz w:val="24"/>
                <w:highlight w:val="none"/>
                <w:lang w:val="en-US" w:eastAsia="zh-CN"/>
              </w:rPr>
              <w:t>审计周期不可控等综合影响了部分应收账款的回款速度。近两年由于公司重点发展12寸集成电路制造领域的客户，且已经取得初步成效，新签订单及收入的集中度逐渐提升，且客户回款情况良好。</w:t>
            </w:r>
          </w:p>
          <w:p w14:paraId="07D8A0F3">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2"/>
                <w:szCs w:val="22"/>
                <w:highlight w:val="none"/>
              </w:rPr>
            </w:pPr>
            <w:r>
              <w:rPr>
                <w:rFonts w:hint="default" w:ascii="Times New Roman" w:hAnsi="Times New Roman" w:cs="Times New Roman"/>
                <w:sz w:val="24"/>
                <w:highlight w:val="none"/>
                <w:lang w:val="en-US" w:eastAsia="zh-CN"/>
              </w:rPr>
              <w:t>近几年经营性现金流持续净流出主要</w:t>
            </w:r>
            <w:r>
              <w:rPr>
                <w:rFonts w:hint="eastAsia" w:ascii="Times New Roman" w:hAnsi="Times New Roman" w:cs="Times New Roman"/>
                <w:sz w:val="24"/>
                <w:highlight w:val="none"/>
                <w:lang w:val="en-US" w:eastAsia="zh-CN"/>
              </w:rPr>
              <w:t>原因为：</w:t>
            </w:r>
            <w:r>
              <w:rPr>
                <w:rFonts w:hint="default" w:ascii="Times New Roman" w:hAnsi="Times New Roman" w:cs="Times New Roman"/>
                <w:sz w:val="24"/>
                <w:highlight w:val="none"/>
                <w:lang w:val="en-US" w:eastAsia="zh-CN"/>
              </w:rPr>
              <w:t>第一，受集成电路国际形势收紧等影响，公司进行了战略性的管制品备货；第二，主要系公司在半导体湿法设备及电子材料业务板块持续的投入；第三，公司加大研发先进制程产品的投入。但随着电子材料及设备业务逐步获得客户验证，开始形成重复订单，现金流逐步改善，2024年开始经营性现金流净流出明显收窄，2025年</w:t>
            </w:r>
            <w:r>
              <w:rPr>
                <w:rFonts w:hint="eastAsia" w:cs="Times New Roman"/>
                <w:sz w:val="24"/>
                <w:highlight w:val="none"/>
                <w:lang w:val="en-US" w:eastAsia="zh-CN"/>
              </w:rPr>
              <w:t>一</w:t>
            </w:r>
            <w:r>
              <w:rPr>
                <w:rFonts w:hint="default" w:ascii="Times New Roman" w:hAnsi="Times New Roman" w:cs="Times New Roman"/>
                <w:sz w:val="24"/>
                <w:highlight w:val="none"/>
                <w:lang w:val="en-US" w:eastAsia="zh-CN"/>
              </w:rPr>
              <w:t>季度单季经营性现金流净流出较上年同期收窄接近2个</w:t>
            </w:r>
            <w:bookmarkStart w:id="2" w:name="_GoBack"/>
            <w:bookmarkEnd w:id="2"/>
            <w:r>
              <w:rPr>
                <w:rFonts w:hint="default" w:ascii="Times New Roman" w:hAnsi="Times New Roman" w:cs="Times New Roman"/>
                <w:sz w:val="24"/>
                <w:highlight w:val="none"/>
                <w:lang w:val="en-US" w:eastAsia="zh-CN"/>
              </w:rPr>
              <w:t>亿。</w:t>
            </w:r>
          </w:p>
          <w:p w14:paraId="62917CA9">
            <w:pPr>
              <w:pStyle w:val="1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关注到公司存货较多的原因是什么？</w:t>
            </w:r>
          </w:p>
          <w:p w14:paraId="11E28110">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s="Times New Roman"/>
                <w:sz w:val="22"/>
                <w:szCs w:val="22"/>
                <w:highlight w:val="none"/>
                <w:lang w:val="en-US" w:eastAsia="zh-CN"/>
              </w:rPr>
            </w:pPr>
            <w:r>
              <w:rPr>
                <w:rFonts w:hint="eastAsia" w:ascii="Times New Roman" w:hAnsi="Times New Roman" w:cs="Times New Roman"/>
                <w:sz w:val="24"/>
                <w:highlight w:val="none"/>
                <w:lang w:val="en-US" w:eastAsia="zh-CN"/>
              </w:rPr>
              <w:t>答：2024年公司存货期末余额为31.51亿元，同比增长17.87%，其中存货中原材料、未完工项目施工及在产品占比分别为31.23%、30.18%及25.38%。存货中包括系统集成及材料业务的未完工项目及为保证业务扩张而储备的原材料和零部件等。公司在2024年底被</w:t>
            </w:r>
            <w:r>
              <w:rPr>
                <w:rFonts w:hint="default" w:ascii="Times New Roman" w:hAnsi="Times New Roman" w:cs="Times New Roman"/>
                <w:sz w:val="24"/>
                <w:highlight w:val="none"/>
                <w:lang w:val="en-US" w:eastAsia="zh-CN"/>
              </w:rPr>
              <w:t>美国商务部工业和安全局列至出口管制实体清单，</w:t>
            </w:r>
            <w:r>
              <w:rPr>
                <w:rFonts w:hint="eastAsia" w:ascii="Times New Roman" w:hAnsi="Times New Roman" w:cs="Times New Roman"/>
                <w:sz w:val="24"/>
                <w:highlight w:val="none"/>
                <w:lang w:val="en-US" w:eastAsia="zh-CN"/>
              </w:rPr>
              <w:t>叠加</w:t>
            </w:r>
            <w:r>
              <w:rPr>
                <w:rFonts w:hint="default" w:ascii="Times New Roman" w:hAnsi="Times New Roman" w:cs="Times New Roman"/>
                <w:sz w:val="24"/>
                <w:highlight w:val="none"/>
                <w:lang w:val="en-US" w:eastAsia="zh-CN"/>
              </w:rPr>
              <w:t>集成电路行业的外部环境变化，为保障业务的连续性，一方面公司采取了较为积极的备货策略，另一方面积极进行在地化供应链的开发。国内半导体设备制造企业，均处于相同的行业背景中，针对供应链风险，采取的应对措施相似。因此随着公司业务的增长，存货增长，与行业发展趋势一致。</w:t>
            </w:r>
          </w:p>
        </w:tc>
      </w:tr>
    </w:tbl>
    <w:p w14:paraId="31486E81"/>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3FFB559">
        <w:pPr>
          <w:pStyle w:val="2"/>
          <w:jc w:val="center"/>
        </w:pPr>
        <w:r>
          <w:fldChar w:fldCharType="begin"/>
        </w:r>
        <w:r>
          <w:instrText xml:space="preserve">PAGE   \* MERGEFORMAT</w:instrText>
        </w:r>
        <w:r>
          <w:fldChar w:fldCharType="separate"/>
        </w:r>
        <w:r>
          <w:rPr>
            <w:lang w:val="zh-CN"/>
          </w:rPr>
          <w:t>2</w:t>
        </w:r>
        <w:r>
          <w:fldChar w:fldCharType="end"/>
        </w:r>
      </w:p>
    </w:sdtContent>
  </w:sdt>
  <w:p w14:paraId="3A49EDB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62511">
    <w:pPr>
      <w:pStyle w:val="3"/>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84DA5"/>
    <w:multiLevelType w:val="multilevel"/>
    <w:tmpl w:val="1A184DA5"/>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1">
    <w:nsid w:val="335166F8"/>
    <w:multiLevelType w:val="singleLevel"/>
    <w:tmpl w:val="335166F8"/>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lYWY5NWIwZGRmNzUyYTM4N2M2MjNjMDMyN2VkNDUifQ=="/>
  </w:docVars>
  <w:rsids>
    <w:rsidRoot w:val="006861C7"/>
    <w:rsid w:val="00001B6E"/>
    <w:rsid w:val="00007CB5"/>
    <w:rsid w:val="000268C0"/>
    <w:rsid w:val="000363B5"/>
    <w:rsid w:val="000375D7"/>
    <w:rsid w:val="00043015"/>
    <w:rsid w:val="00046DDE"/>
    <w:rsid w:val="00047EB9"/>
    <w:rsid w:val="00060A74"/>
    <w:rsid w:val="0006206A"/>
    <w:rsid w:val="00067110"/>
    <w:rsid w:val="00070289"/>
    <w:rsid w:val="00080554"/>
    <w:rsid w:val="000875FC"/>
    <w:rsid w:val="0009298A"/>
    <w:rsid w:val="00094858"/>
    <w:rsid w:val="000960E4"/>
    <w:rsid w:val="000A2808"/>
    <w:rsid w:val="000A3023"/>
    <w:rsid w:val="000A3BAC"/>
    <w:rsid w:val="000A7111"/>
    <w:rsid w:val="000B02F2"/>
    <w:rsid w:val="000B379D"/>
    <w:rsid w:val="000C26FD"/>
    <w:rsid w:val="000C2D85"/>
    <w:rsid w:val="000E5700"/>
    <w:rsid w:val="000F0C4B"/>
    <w:rsid w:val="000F0E22"/>
    <w:rsid w:val="000F2C65"/>
    <w:rsid w:val="00105A04"/>
    <w:rsid w:val="001169A9"/>
    <w:rsid w:val="00125EB2"/>
    <w:rsid w:val="00142A4C"/>
    <w:rsid w:val="00144279"/>
    <w:rsid w:val="001452FF"/>
    <w:rsid w:val="001458D0"/>
    <w:rsid w:val="0016617A"/>
    <w:rsid w:val="00167E99"/>
    <w:rsid w:val="00175001"/>
    <w:rsid w:val="00193FA0"/>
    <w:rsid w:val="001975AB"/>
    <w:rsid w:val="001A00F5"/>
    <w:rsid w:val="001A1F65"/>
    <w:rsid w:val="001A5CE9"/>
    <w:rsid w:val="001A7BD4"/>
    <w:rsid w:val="001B50FC"/>
    <w:rsid w:val="001B6CCB"/>
    <w:rsid w:val="001C079B"/>
    <w:rsid w:val="001C50AD"/>
    <w:rsid w:val="001D22EE"/>
    <w:rsid w:val="001D4C89"/>
    <w:rsid w:val="001E1838"/>
    <w:rsid w:val="001E3145"/>
    <w:rsid w:val="001E43D1"/>
    <w:rsid w:val="001E6509"/>
    <w:rsid w:val="001E66A9"/>
    <w:rsid w:val="001E7968"/>
    <w:rsid w:val="001F0EF8"/>
    <w:rsid w:val="00207F24"/>
    <w:rsid w:val="0022180A"/>
    <w:rsid w:val="00223ABC"/>
    <w:rsid w:val="00223B1B"/>
    <w:rsid w:val="002241B9"/>
    <w:rsid w:val="002274D9"/>
    <w:rsid w:val="00230D4C"/>
    <w:rsid w:val="0023455A"/>
    <w:rsid w:val="002346CE"/>
    <w:rsid w:val="00237994"/>
    <w:rsid w:val="00237FDF"/>
    <w:rsid w:val="00251D58"/>
    <w:rsid w:val="00252B5F"/>
    <w:rsid w:val="002530EE"/>
    <w:rsid w:val="002549E6"/>
    <w:rsid w:val="00256602"/>
    <w:rsid w:val="00271C8D"/>
    <w:rsid w:val="00273B53"/>
    <w:rsid w:val="00274FB8"/>
    <w:rsid w:val="0028080C"/>
    <w:rsid w:val="00280BF1"/>
    <w:rsid w:val="00283942"/>
    <w:rsid w:val="0029022C"/>
    <w:rsid w:val="00291B4E"/>
    <w:rsid w:val="00295257"/>
    <w:rsid w:val="00297703"/>
    <w:rsid w:val="002A0826"/>
    <w:rsid w:val="002A0984"/>
    <w:rsid w:val="002A589B"/>
    <w:rsid w:val="002B1184"/>
    <w:rsid w:val="002B15E9"/>
    <w:rsid w:val="002B71B8"/>
    <w:rsid w:val="002B7469"/>
    <w:rsid w:val="002C0250"/>
    <w:rsid w:val="002C08C0"/>
    <w:rsid w:val="002C22C6"/>
    <w:rsid w:val="002C6568"/>
    <w:rsid w:val="002C723B"/>
    <w:rsid w:val="002D39BC"/>
    <w:rsid w:val="002D40DD"/>
    <w:rsid w:val="002D7979"/>
    <w:rsid w:val="002E1B15"/>
    <w:rsid w:val="002E1D3A"/>
    <w:rsid w:val="003005F0"/>
    <w:rsid w:val="003030BF"/>
    <w:rsid w:val="0030374F"/>
    <w:rsid w:val="00304F89"/>
    <w:rsid w:val="00306023"/>
    <w:rsid w:val="0031205D"/>
    <w:rsid w:val="00326543"/>
    <w:rsid w:val="00327D5D"/>
    <w:rsid w:val="00344914"/>
    <w:rsid w:val="00346917"/>
    <w:rsid w:val="00354A7B"/>
    <w:rsid w:val="00360FDA"/>
    <w:rsid w:val="00363075"/>
    <w:rsid w:val="0036573D"/>
    <w:rsid w:val="00367D18"/>
    <w:rsid w:val="003713A3"/>
    <w:rsid w:val="00372A1C"/>
    <w:rsid w:val="0037435A"/>
    <w:rsid w:val="00377D8F"/>
    <w:rsid w:val="00383679"/>
    <w:rsid w:val="00390775"/>
    <w:rsid w:val="00391BFE"/>
    <w:rsid w:val="003A1E68"/>
    <w:rsid w:val="003A5D32"/>
    <w:rsid w:val="003B00A4"/>
    <w:rsid w:val="003B0122"/>
    <w:rsid w:val="003B0BE5"/>
    <w:rsid w:val="003B5352"/>
    <w:rsid w:val="003D18F1"/>
    <w:rsid w:val="003E001E"/>
    <w:rsid w:val="003F7C4D"/>
    <w:rsid w:val="0040075F"/>
    <w:rsid w:val="00403300"/>
    <w:rsid w:val="00404D08"/>
    <w:rsid w:val="004118C0"/>
    <w:rsid w:val="00417A31"/>
    <w:rsid w:val="0042004B"/>
    <w:rsid w:val="00420810"/>
    <w:rsid w:val="00424FFC"/>
    <w:rsid w:val="00425843"/>
    <w:rsid w:val="00433384"/>
    <w:rsid w:val="0043777D"/>
    <w:rsid w:val="00444B3E"/>
    <w:rsid w:val="0045767F"/>
    <w:rsid w:val="00463E9B"/>
    <w:rsid w:val="00467414"/>
    <w:rsid w:val="00473F30"/>
    <w:rsid w:val="004764F1"/>
    <w:rsid w:val="0048591A"/>
    <w:rsid w:val="00486D86"/>
    <w:rsid w:val="0048721A"/>
    <w:rsid w:val="004A02B5"/>
    <w:rsid w:val="004A0BD5"/>
    <w:rsid w:val="004A1BBF"/>
    <w:rsid w:val="004A675B"/>
    <w:rsid w:val="004A73E5"/>
    <w:rsid w:val="004C19BF"/>
    <w:rsid w:val="004C1BC9"/>
    <w:rsid w:val="004C53D8"/>
    <w:rsid w:val="004D7640"/>
    <w:rsid w:val="004E1A9B"/>
    <w:rsid w:val="00500AB6"/>
    <w:rsid w:val="005079B6"/>
    <w:rsid w:val="00512E17"/>
    <w:rsid w:val="005155FB"/>
    <w:rsid w:val="00522341"/>
    <w:rsid w:val="0052245F"/>
    <w:rsid w:val="00523907"/>
    <w:rsid w:val="00524596"/>
    <w:rsid w:val="00524F6B"/>
    <w:rsid w:val="00536FCB"/>
    <w:rsid w:val="00537C53"/>
    <w:rsid w:val="005438F5"/>
    <w:rsid w:val="00544901"/>
    <w:rsid w:val="005474D3"/>
    <w:rsid w:val="00550737"/>
    <w:rsid w:val="00550A8A"/>
    <w:rsid w:val="00554CFA"/>
    <w:rsid w:val="00555DD2"/>
    <w:rsid w:val="00565ED9"/>
    <w:rsid w:val="0057593F"/>
    <w:rsid w:val="005760C6"/>
    <w:rsid w:val="00580B13"/>
    <w:rsid w:val="00585A1B"/>
    <w:rsid w:val="00591260"/>
    <w:rsid w:val="00591314"/>
    <w:rsid w:val="005913DE"/>
    <w:rsid w:val="00593D40"/>
    <w:rsid w:val="00594D99"/>
    <w:rsid w:val="00595D00"/>
    <w:rsid w:val="00595F1B"/>
    <w:rsid w:val="005A3BE0"/>
    <w:rsid w:val="005A6CCC"/>
    <w:rsid w:val="005B1026"/>
    <w:rsid w:val="005B642F"/>
    <w:rsid w:val="005C04C1"/>
    <w:rsid w:val="005C1785"/>
    <w:rsid w:val="005D0C83"/>
    <w:rsid w:val="005D2D87"/>
    <w:rsid w:val="005D6A09"/>
    <w:rsid w:val="005E2B4B"/>
    <w:rsid w:val="005E5CB8"/>
    <w:rsid w:val="005E5F63"/>
    <w:rsid w:val="005E6BA1"/>
    <w:rsid w:val="005F280D"/>
    <w:rsid w:val="00604F15"/>
    <w:rsid w:val="0060779A"/>
    <w:rsid w:val="00610F29"/>
    <w:rsid w:val="006139D9"/>
    <w:rsid w:val="00622F13"/>
    <w:rsid w:val="00625503"/>
    <w:rsid w:val="0062662D"/>
    <w:rsid w:val="00632AC7"/>
    <w:rsid w:val="00632E78"/>
    <w:rsid w:val="006344F1"/>
    <w:rsid w:val="00637186"/>
    <w:rsid w:val="00646DF4"/>
    <w:rsid w:val="00651DE6"/>
    <w:rsid w:val="006523BB"/>
    <w:rsid w:val="0065347E"/>
    <w:rsid w:val="00654B49"/>
    <w:rsid w:val="00656189"/>
    <w:rsid w:val="00662505"/>
    <w:rsid w:val="0066333C"/>
    <w:rsid w:val="0066674C"/>
    <w:rsid w:val="006760F7"/>
    <w:rsid w:val="006861C7"/>
    <w:rsid w:val="00686DDF"/>
    <w:rsid w:val="006966D0"/>
    <w:rsid w:val="00697B12"/>
    <w:rsid w:val="006A55BB"/>
    <w:rsid w:val="006A7613"/>
    <w:rsid w:val="006B661A"/>
    <w:rsid w:val="006B6E3A"/>
    <w:rsid w:val="006B7CC9"/>
    <w:rsid w:val="006B7D00"/>
    <w:rsid w:val="006C6BC5"/>
    <w:rsid w:val="006D2927"/>
    <w:rsid w:val="006D4711"/>
    <w:rsid w:val="006D61A2"/>
    <w:rsid w:val="006E16A5"/>
    <w:rsid w:val="006E1DB4"/>
    <w:rsid w:val="006F1648"/>
    <w:rsid w:val="006F636D"/>
    <w:rsid w:val="00723EA0"/>
    <w:rsid w:val="00731635"/>
    <w:rsid w:val="007477A4"/>
    <w:rsid w:val="00753DB6"/>
    <w:rsid w:val="00761464"/>
    <w:rsid w:val="00763847"/>
    <w:rsid w:val="00771FE3"/>
    <w:rsid w:val="00774A7D"/>
    <w:rsid w:val="00776BDE"/>
    <w:rsid w:val="007809B4"/>
    <w:rsid w:val="0078157C"/>
    <w:rsid w:val="00786870"/>
    <w:rsid w:val="00791427"/>
    <w:rsid w:val="00792237"/>
    <w:rsid w:val="0079272A"/>
    <w:rsid w:val="007A1DA9"/>
    <w:rsid w:val="007B2252"/>
    <w:rsid w:val="007B2736"/>
    <w:rsid w:val="007B79D9"/>
    <w:rsid w:val="007C67B1"/>
    <w:rsid w:val="007D0F1C"/>
    <w:rsid w:val="007E354A"/>
    <w:rsid w:val="007E69C8"/>
    <w:rsid w:val="007F4782"/>
    <w:rsid w:val="00801BE3"/>
    <w:rsid w:val="008050A8"/>
    <w:rsid w:val="0080525B"/>
    <w:rsid w:val="008062C5"/>
    <w:rsid w:val="0080741A"/>
    <w:rsid w:val="00814B5B"/>
    <w:rsid w:val="00835ADD"/>
    <w:rsid w:val="00835E5E"/>
    <w:rsid w:val="00836F34"/>
    <w:rsid w:val="00843E73"/>
    <w:rsid w:val="00844EBF"/>
    <w:rsid w:val="008474C4"/>
    <w:rsid w:val="00854F61"/>
    <w:rsid w:val="00863F4D"/>
    <w:rsid w:val="00864202"/>
    <w:rsid w:val="008679FD"/>
    <w:rsid w:val="00873B59"/>
    <w:rsid w:val="0087701F"/>
    <w:rsid w:val="00877662"/>
    <w:rsid w:val="00882377"/>
    <w:rsid w:val="0089283D"/>
    <w:rsid w:val="008A0ADC"/>
    <w:rsid w:val="008A1BAB"/>
    <w:rsid w:val="008B3117"/>
    <w:rsid w:val="008B38B7"/>
    <w:rsid w:val="008B458E"/>
    <w:rsid w:val="008C4D4A"/>
    <w:rsid w:val="008D5EE7"/>
    <w:rsid w:val="008E11AE"/>
    <w:rsid w:val="008E1708"/>
    <w:rsid w:val="008E4844"/>
    <w:rsid w:val="008F4BE2"/>
    <w:rsid w:val="008F6ACB"/>
    <w:rsid w:val="00902A01"/>
    <w:rsid w:val="00904492"/>
    <w:rsid w:val="00904DFB"/>
    <w:rsid w:val="00910E86"/>
    <w:rsid w:val="0091457B"/>
    <w:rsid w:val="00923763"/>
    <w:rsid w:val="00930ED6"/>
    <w:rsid w:val="0093293F"/>
    <w:rsid w:val="00933105"/>
    <w:rsid w:val="00934FE6"/>
    <w:rsid w:val="00944E4A"/>
    <w:rsid w:val="009474EF"/>
    <w:rsid w:val="00953FB4"/>
    <w:rsid w:val="00957FF5"/>
    <w:rsid w:val="00962626"/>
    <w:rsid w:val="00972D4C"/>
    <w:rsid w:val="009767DD"/>
    <w:rsid w:val="00977AF2"/>
    <w:rsid w:val="009809E4"/>
    <w:rsid w:val="00985FC5"/>
    <w:rsid w:val="00987E71"/>
    <w:rsid w:val="009919DD"/>
    <w:rsid w:val="00993BDD"/>
    <w:rsid w:val="009A6DFB"/>
    <w:rsid w:val="009A746B"/>
    <w:rsid w:val="009B6EC0"/>
    <w:rsid w:val="009C2FCC"/>
    <w:rsid w:val="009C7FAF"/>
    <w:rsid w:val="009D07FA"/>
    <w:rsid w:val="009D4199"/>
    <w:rsid w:val="009E5E6A"/>
    <w:rsid w:val="009F0DD5"/>
    <w:rsid w:val="009F1B95"/>
    <w:rsid w:val="009F6C05"/>
    <w:rsid w:val="00A07C96"/>
    <w:rsid w:val="00A12713"/>
    <w:rsid w:val="00A134E5"/>
    <w:rsid w:val="00A13CB6"/>
    <w:rsid w:val="00A14A1A"/>
    <w:rsid w:val="00A16F30"/>
    <w:rsid w:val="00A22CDD"/>
    <w:rsid w:val="00A25AEE"/>
    <w:rsid w:val="00A261DC"/>
    <w:rsid w:val="00A31EB1"/>
    <w:rsid w:val="00A321E8"/>
    <w:rsid w:val="00A33AEA"/>
    <w:rsid w:val="00A42F53"/>
    <w:rsid w:val="00A44927"/>
    <w:rsid w:val="00A461CD"/>
    <w:rsid w:val="00A469C5"/>
    <w:rsid w:val="00A5317D"/>
    <w:rsid w:val="00A6284E"/>
    <w:rsid w:val="00A63306"/>
    <w:rsid w:val="00A63E81"/>
    <w:rsid w:val="00A71139"/>
    <w:rsid w:val="00A71A85"/>
    <w:rsid w:val="00A8775A"/>
    <w:rsid w:val="00A91FA5"/>
    <w:rsid w:val="00AA4A3F"/>
    <w:rsid w:val="00AA5998"/>
    <w:rsid w:val="00AB07E7"/>
    <w:rsid w:val="00AC34EE"/>
    <w:rsid w:val="00AD11DB"/>
    <w:rsid w:val="00AD1BA8"/>
    <w:rsid w:val="00AF2686"/>
    <w:rsid w:val="00B02A29"/>
    <w:rsid w:val="00B03522"/>
    <w:rsid w:val="00B04AD6"/>
    <w:rsid w:val="00B14CAA"/>
    <w:rsid w:val="00B257CE"/>
    <w:rsid w:val="00B269C1"/>
    <w:rsid w:val="00B35711"/>
    <w:rsid w:val="00B4746C"/>
    <w:rsid w:val="00B52B1D"/>
    <w:rsid w:val="00B65354"/>
    <w:rsid w:val="00B71A0E"/>
    <w:rsid w:val="00B80518"/>
    <w:rsid w:val="00B81765"/>
    <w:rsid w:val="00B832F5"/>
    <w:rsid w:val="00BA2FAB"/>
    <w:rsid w:val="00BB5E28"/>
    <w:rsid w:val="00BC307E"/>
    <w:rsid w:val="00BC79C0"/>
    <w:rsid w:val="00BD15F3"/>
    <w:rsid w:val="00BD7986"/>
    <w:rsid w:val="00BD79D3"/>
    <w:rsid w:val="00BF02E2"/>
    <w:rsid w:val="00BF2E36"/>
    <w:rsid w:val="00BF6742"/>
    <w:rsid w:val="00C042E2"/>
    <w:rsid w:val="00C04F82"/>
    <w:rsid w:val="00C15AC0"/>
    <w:rsid w:val="00C26030"/>
    <w:rsid w:val="00C33347"/>
    <w:rsid w:val="00C36C34"/>
    <w:rsid w:val="00C41091"/>
    <w:rsid w:val="00C510BA"/>
    <w:rsid w:val="00C63056"/>
    <w:rsid w:val="00C661D1"/>
    <w:rsid w:val="00C775BA"/>
    <w:rsid w:val="00C803DF"/>
    <w:rsid w:val="00C80DC4"/>
    <w:rsid w:val="00C849EC"/>
    <w:rsid w:val="00C85331"/>
    <w:rsid w:val="00C85A50"/>
    <w:rsid w:val="00C94D46"/>
    <w:rsid w:val="00C9589D"/>
    <w:rsid w:val="00C97B3A"/>
    <w:rsid w:val="00CA0006"/>
    <w:rsid w:val="00CA443A"/>
    <w:rsid w:val="00CA52D7"/>
    <w:rsid w:val="00CB000A"/>
    <w:rsid w:val="00CB2461"/>
    <w:rsid w:val="00CB37FD"/>
    <w:rsid w:val="00CC4D65"/>
    <w:rsid w:val="00CC6084"/>
    <w:rsid w:val="00CC61E7"/>
    <w:rsid w:val="00CD03EC"/>
    <w:rsid w:val="00CD25AD"/>
    <w:rsid w:val="00CD3FFC"/>
    <w:rsid w:val="00CD6BA8"/>
    <w:rsid w:val="00CF565C"/>
    <w:rsid w:val="00D016A3"/>
    <w:rsid w:val="00D248D3"/>
    <w:rsid w:val="00D40570"/>
    <w:rsid w:val="00D44DE5"/>
    <w:rsid w:val="00D50148"/>
    <w:rsid w:val="00D512E3"/>
    <w:rsid w:val="00D602C9"/>
    <w:rsid w:val="00D87993"/>
    <w:rsid w:val="00DA26A9"/>
    <w:rsid w:val="00DA629A"/>
    <w:rsid w:val="00DB01FF"/>
    <w:rsid w:val="00DC7778"/>
    <w:rsid w:val="00DE7391"/>
    <w:rsid w:val="00DF2DB5"/>
    <w:rsid w:val="00DF6560"/>
    <w:rsid w:val="00E04CC0"/>
    <w:rsid w:val="00E136FF"/>
    <w:rsid w:val="00E14626"/>
    <w:rsid w:val="00E2442E"/>
    <w:rsid w:val="00E32528"/>
    <w:rsid w:val="00E3413A"/>
    <w:rsid w:val="00E35520"/>
    <w:rsid w:val="00E35F26"/>
    <w:rsid w:val="00E53165"/>
    <w:rsid w:val="00E53850"/>
    <w:rsid w:val="00E61EF7"/>
    <w:rsid w:val="00E663B4"/>
    <w:rsid w:val="00E727A7"/>
    <w:rsid w:val="00E74D58"/>
    <w:rsid w:val="00E80CEB"/>
    <w:rsid w:val="00E82038"/>
    <w:rsid w:val="00EA5103"/>
    <w:rsid w:val="00EA6FB9"/>
    <w:rsid w:val="00EB06AA"/>
    <w:rsid w:val="00EB5E6A"/>
    <w:rsid w:val="00EB73F9"/>
    <w:rsid w:val="00EC2AD7"/>
    <w:rsid w:val="00ED5C1F"/>
    <w:rsid w:val="00ED7DE0"/>
    <w:rsid w:val="00EE2B9A"/>
    <w:rsid w:val="00EE4F5B"/>
    <w:rsid w:val="00EE7891"/>
    <w:rsid w:val="00EF1477"/>
    <w:rsid w:val="00EF49FE"/>
    <w:rsid w:val="00EF5341"/>
    <w:rsid w:val="00F041BC"/>
    <w:rsid w:val="00F04908"/>
    <w:rsid w:val="00F07C21"/>
    <w:rsid w:val="00F12EF6"/>
    <w:rsid w:val="00F21065"/>
    <w:rsid w:val="00F22C28"/>
    <w:rsid w:val="00F24CB4"/>
    <w:rsid w:val="00F43465"/>
    <w:rsid w:val="00F45475"/>
    <w:rsid w:val="00F47E88"/>
    <w:rsid w:val="00F546D4"/>
    <w:rsid w:val="00F64E72"/>
    <w:rsid w:val="00F70AB5"/>
    <w:rsid w:val="00F70C7D"/>
    <w:rsid w:val="00F716D3"/>
    <w:rsid w:val="00F747BD"/>
    <w:rsid w:val="00F74E64"/>
    <w:rsid w:val="00F8358C"/>
    <w:rsid w:val="00F83E23"/>
    <w:rsid w:val="00F9272E"/>
    <w:rsid w:val="00F97743"/>
    <w:rsid w:val="00FA2C79"/>
    <w:rsid w:val="00FA6DAF"/>
    <w:rsid w:val="00FC058C"/>
    <w:rsid w:val="00FC16B1"/>
    <w:rsid w:val="00FC6884"/>
    <w:rsid w:val="00FC747A"/>
    <w:rsid w:val="00FC770C"/>
    <w:rsid w:val="00FD1E25"/>
    <w:rsid w:val="00FE0B24"/>
    <w:rsid w:val="00FE6232"/>
    <w:rsid w:val="00FE62F3"/>
    <w:rsid w:val="00FF71D2"/>
    <w:rsid w:val="01817106"/>
    <w:rsid w:val="02054F52"/>
    <w:rsid w:val="02F3423C"/>
    <w:rsid w:val="02FF7BF3"/>
    <w:rsid w:val="031F2043"/>
    <w:rsid w:val="03872597"/>
    <w:rsid w:val="04B50EB1"/>
    <w:rsid w:val="055661F0"/>
    <w:rsid w:val="06032E01"/>
    <w:rsid w:val="063D2F0C"/>
    <w:rsid w:val="06852E96"/>
    <w:rsid w:val="06FA3C9E"/>
    <w:rsid w:val="08912F79"/>
    <w:rsid w:val="09AE2D93"/>
    <w:rsid w:val="09F83784"/>
    <w:rsid w:val="0A3B59B5"/>
    <w:rsid w:val="0AE61DC4"/>
    <w:rsid w:val="0B022976"/>
    <w:rsid w:val="0C564D28"/>
    <w:rsid w:val="0C8C699B"/>
    <w:rsid w:val="0C9C64B3"/>
    <w:rsid w:val="0E56100F"/>
    <w:rsid w:val="0F625791"/>
    <w:rsid w:val="0F860A60"/>
    <w:rsid w:val="0FFE195E"/>
    <w:rsid w:val="101B4648"/>
    <w:rsid w:val="116A2780"/>
    <w:rsid w:val="1178649F"/>
    <w:rsid w:val="11C20769"/>
    <w:rsid w:val="122B4561"/>
    <w:rsid w:val="13272F7A"/>
    <w:rsid w:val="13695831"/>
    <w:rsid w:val="14C234BE"/>
    <w:rsid w:val="14F67CF1"/>
    <w:rsid w:val="15B11221"/>
    <w:rsid w:val="16EF3DAF"/>
    <w:rsid w:val="16F56894"/>
    <w:rsid w:val="16F75359"/>
    <w:rsid w:val="177B5642"/>
    <w:rsid w:val="18971BF3"/>
    <w:rsid w:val="18C272A1"/>
    <w:rsid w:val="1ABA3501"/>
    <w:rsid w:val="1B2418A5"/>
    <w:rsid w:val="1B6B3C20"/>
    <w:rsid w:val="1C116575"/>
    <w:rsid w:val="1D572130"/>
    <w:rsid w:val="1DF5454F"/>
    <w:rsid w:val="1E1336DC"/>
    <w:rsid w:val="1E692DC7"/>
    <w:rsid w:val="1F1F369F"/>
    <w:rsid w:val="1FBFC074"/>
    <w:rsid w:val="20A61423"/>
    <w:rsid w:val="20FA2556"/>
    <w:rsid w:val="21EA39D7"/>
    <w:rsid w:val="22025452"/>
    <w:rsid w:val="245711E5"/>
    <w:rsid w:val="2494603F"/>
    <w:rsid w:val="26307F40"/>
    <w:rsid w:val="2710774F"/>
    <w:rsid w:val="27127645"/>
    <w:rsid w:val="283A6E54"/>
    <w:rsid w:val="284F79A0"/>
    <w:rsid w:val="29D86924"/>
    <w:rsid w:val="2A0E67EA"/>
    <w:rsid w:val="2B6C37C8"/>
    <w:rsid w:val="2C0954BB"/>
    <w:rsid w:val="2D8C63A3"/>
    <w:rsid w:val="2DD6761F"/>
    <w:rsid w:val="2DF10C78"/>
    <w:rsid w:val="2E8E7EF9"/>
    <w:rsid w:val="2EBC2BC4"/>
    <w:rsid w:val="30B13F77"/>
    <w:rsid w:val="326B21D7"/>
    <w:rsid w:val="32A31C6D"/>
    <w:rsid w:val="32E5DAFD"/>
    <w:rsid w:val="33193CA6"/>
    <w:rsid w:val="331A59A0"/>
    <w:rsid w:val="333A41AC"/>
    <w:rsid w:val="335A6CC5"/>
    <w:rsid w:val="33B36201"/>
    <w:rsid w:val="341D696C"/>
    <w:rsid w:val="358838F4"/>
    <w:rsid w:val="36FB9E1F"/>
    <w:rsid w:val="378940CB"/>
    <w:rsid w:val="380D7A5B"/>
    <w:rsid w:val="3AC151B3"/>
    <w:rsid w:val="3ACE209D"/>
    <w:rsid w:val="3AF3796B"/>
    <w:rsid w:val="3AFF6407"/>
    <w:rsid w:val="3BFA3B96"/>
    <w:rsid w:val="3CBA6D3D"/>
    <w:rsid w:val="3CEF3472"/>
    <w:rsid w:val="3CF950D8"/>
    <w:rsid w:val="3DF069E7"/>
    <w:rsid w:val="3EFF16E9"/>
    <w:rsid w:val="40442B0E"/>
    <w:rsid w:val="416B7C26"/>
    <w:rsid w:val="446B7284"/>
    <w:rsid w:val="45E1382F"/>
    <w:rsid w:val="461E170B"/>
    <w:rsid w:val="472B52BB"/>
    <w:rsid w:val="48CC36A0"/>
    <w:rsid w:val="4A2D016F"/>
    <w:rsid w:val="4A673681"/>
    <w:rsid w:val="4BBD1C07"/>
    <w:rsid w:val="4BD80A66"/>
    <w:rsid w:val="4C6836E0"/>
    <w:rsid w:val="4E3A33E5"/>
    <w:rsid w:val="4E546612"/>
    <w:rsid w:val="4E6D1482"/>
    <w:rsid w:val="4E922C96"/>
    <w:rsid w:val="4FB7132F"/>
    <w:rsid w:val="500100D3"/>
    <w:rsid w:val="50090EBB"/>
    <w:rsid w:val="50FA38A3"/>
    <w:rsid w:val="51044674"/>
    <w:rsid w:val="52054D68"/>
    <w:rsid w:val="52831274"/>
    <w:rsid w:val="53AA2830"/>
    <w:rsid w:val="53D004E8"/>
    <w:rsid w:val="54085ED4"/>
    <w:rsid w:val="544E2499"/>
    <w:rsid w:val="54A37739"/>
    <w:rsid w:val="55AA510C"/>
    <w:rsid w:val="55F94836"/>
    <w:rsid w:val="566D010E"/>
    <w:rsid w:val="56CE4A87"/>
    <w:rsid w:val="5BD112A2"/>
    <w:rsid w:val="5C4C26D6"/>
    <w:rsid w:val="5CB5630A"/>
    <w:rsid w:val="5D860DA0"/>
    <w:rsid w:val="5D8617AC"/>
    <w:rsid w:val="5DB06C95"/>
    <w:rsid w:val="5E045177"/>
    <w:rsid w:val="610523E0"/>
    <w:rsid w:val="617D7FA5"/>
    <w:rsid w:val="61C827FF"/>
    <w:rsid w:val="623A1223"/>
    <w:rsid w:val="6397692D"/>
    <w:rsid w:val="648D5F82"/>
    <w:rsid w:val="650F4BE9"/>
    <w:rsid w:val="65815AE7"/>
    <w:rsid w:val="66434B4A"/>
    <w:rsid w:val="66F0653A"/>
    <w:rsid w:val="69513A22"/>
    <w:rsid w:val="6962178B"/>
    <w:rsid w:val="69A43B52"/>
    <w:rsid w:val="6B6D4417"/>
    <w:rsid w:val="6D5910F7"/>
    <w:rsid w:val="6DC81DD9"/>
    <w:rsid w:val="713E488C"/>
    <w:rsid w:val="72AC3A77"/>
    <w:rsid w:val="758E734A"/>
    <w:rsid w:val="763C6B1C"/>
    <w:rsid w:val="76E56024"/>
    <w:rsid w:val="77446974"/>
    <w:rsid w:val="774A385E"/>
    <w:rsid w:val="77C02F22"/>
    <w:rsid w:val="77CF73AC"/>
    <w:rsid w:val="78FF0116"/>
    <w:rsid w:val="79881468"/>
    <w:rsid w:val="7A044199"/>
    <w:rsid w:val="7C187771"/>
    <w:rsid w:val="7CD442F6"/>
    <w:rsid w:val="7D4A45B8"/>
    <w:rsid w:val="7D7D673C"/>
    <w:rsid w:val="7DE11816"/>
    <w:rsid w:val="7E694F12"/>
    <w:rsid w:val="7F7C7068"/>
    <w:rsid w:val="B7DDD54D"/>
    <w:rsid w:val="E3FFE6ED"/>
    <w:rsid w:val="F1F52E3D"/>
    <w:rsid w:val="F5DB8A63"/>
    <w:rsid w:val="F797912E"/>
    <w:rsid w:val="FE7B4896"/>
    <w:rsid w:val="FE7DCEB8"/>
    <w:rsid w:val="FED7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字符"/>
    <w:basedOn w:val="6"/>
    <w:link w:val="2"/>
    <w:qFormat/>
    <w:uiPriority w:val="99"/>
    <w:rPr>
      <w:kern w:val="2"/>
      <w:sz w:val="18"/>
      <w:szCs w:val="18"/>
    </w:rPr>
  </w:style>
  <w:style w:type="character" w:customStyle="1" w:styleId="12">
    <w:name w:val="页眉 字符"/>
    <w:basedOn w:val="6"/>
    <w:link w:val="3"/>
    <w:qFormat/>
    <w:uiPriority w:val="0"/>
    <w:rPr>
      <w:kern w:val="2"/>
      <w:sz w:val="18"/>
      <w:szCs w:val="18"/>
    </w:rPr>
  </w:style>
  <w:style w:type="paragraph" w:styleId="13">
    <w:name w:val="List Paragraph"/>
    <w:basedOn w:val="1"/>
    <w:qFormat/>
    <w:uiPriority w:val="34"/>
    <w:pPr>
      <w:ind w:firstLine="420" w:firstLineChars="200"/>
    </w:p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2324</Words>
  <Characters>2492</Characters>
  <Lines>28</Lines>
  <Paragraphs>7</Paragraphs>
  <TotalTime>32</TotalTime>
  <ScaleCrop>false</ScaleCrop>
  <LinksUpToDate>false</LinksUpToDate>
  <CharactersWithSpaces>2589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2025-04-03T15:32:00Z</dcterms:created>
  <dc:creator>微软用户</dc:creator>
  <cp:lastModifiedBy>张娟</cp:lastModifiedBy>
  <cp:lastPrinted>2025-03-31T17:18:00Z</cp:lastPrinted>
  <dcterms:modified xsi:type="dcterms:W3CDTF">2025-08-18T03:08:15Z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E33D68BC921544DDABA31AA0C55B6D47_13</vt:lpwstr>
  </property>
  <property fmtid="{D5CDD505-2E9C-101B-9397-08002B2CF9AE}" pid="4" name="KSOTemplateDocerSaveRecord">
    <vt:lpwstr>eyJoZGlkIjoiZWE5ZGI1NzNmOGM2ZDdhMWRmZjI2N2FiMGY2MDRjM2YiLCJ1c2VySWQiOiI0MDM2NjU0MTIifQ==</vt:lpwstr>
  </property>
</Properties>
</file>