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C745F">
      <w:pPr>
        <w:spacing w:before="156" w:beforeLines="50" w:after="156" w:afterLines="50" w:line="400" w:lineRule="exact"/>
        <w:jc w:val="center"/>
        <w:rPr>
          <w:rFonts w:hint="eastAsia" w:ascii="宋体" w:hAnsi="宋体"/>
          <w:b/>
          <w:bCs/>
          <w:iCs/>
          <w:color w:val="FF0000"/>
          <w:sz w:val="28"/>
          <w:szCs w:val="24"/>
        </w:rPr>
      </w:pPr>
      <w:r>
        <w:rPr>
          <w:rFonts w:hint="eastAsia" w:ascii="宋体" w:hAnsi="宋体"/>
          <w:b/>
          <w:bCs/>
          <w:iCs/>
          <w:color w:val="FF0000"/>
          <w:sz w:val="28"/>
          <w:szCs w:val="24"/>
        </w:rPr>
        <w:t>广东天安新材料</w:t>
      </w:r>
      <w:r>
        <w:rPr>
          <w:rFonts w:ascii="宋体" w:hAnsi="宋体"/>
          <w:b/>
          <w:bCs/>
          <w:iCs/>
          <w:color w:val="FF0000"/>
          <w:sz w:val="28"/>
          <w:szCs w:val="24"/>
        </w:rPr>
        <w:t>股份有限公司</w:t>
      </w:r>
    </w:p>
    <w:p w14:paraId="2F692872">
      <w:pPr>
        <w:spacing w:before="156" w:beforeLines="50" w:after="156" w:afterLines="50" w:line="400" w:lineRule="exact"/>
        <w:jc w:val="center"/>
        <w:rPr>
          <w:rFonts w:hint="eastAsia" w:ascii="宋体" w:hAnsi="宋体"/>
          <w:b/>
          <w:bCs/>
          <w:iCs/>
          <w:color w:val="FF0000"/>
          <w:sz w:val="28"/>
          <w:szCs w:val="24"/>
        </w:rPr>
      </w:pPr>
      <w:r>
        <w:rPr>
          <w:rFonts w:hint="eastAsia" w:ascii="宋体" w:hAnsi="宋体"/>
          <w:b/>
          <w:bCs/>
          <w:iCs/>
          <w:color w:val="FF0000"/>
          <w:sz w:val="28"/>
          <w:szCs w:val="24"/>
        </w:rPr>
        <w:t>投资者关系活动记录表</w:t>
      </w:r>
    </w:p>
    <w:p w14:paraId="70415F46">
      <w:pPr>
        <w:spacing w:line="400" w:lineRule="exact"/>
        <w:rPr>
          <w:rFonts w:hint="eastAsia" w:ascii="宋体" w:hAnsi="宋体" w:eastAsia="宋体"/>
          <w:bCs/>
          <w:iCs/>
          <w:sz w:val="24"/>
          <w:szCs w:val="24"/>
          <w:lang w:eastAsia="zh-CN"/>
        </w:rPr>
      </w:pPr>
      <w:r>
        <w:rPr>
          <w:rFonts w:hint="eastAsia" w:ascii="宋体" w:hAnsi="宋体"/>
          <w:bCs/>
          <w:iCs/>
          <w:sz w:val="24"/>
          <w:szCs w:val="24"/>
        </w:rPr>
        <w:t xml:space="preserve">                                                   编号：</w:t>
      </w:r>
      <w:r>
        <w:rPr>
          <w:rFonts w:ascii="宋体" w:hAnsi="宋体"/>
          <w:bCs/>
          <w:iCs/>
          <w:sz w:val="24"/>
          <w:szCs w:val="24"/>
        </w:rPr>
        <w:t>TA</w:t>
      </w:r>
      <w:r>
        <w:rPr>
          <w:rFonts w:hint="eastAsia" w:ascii="宋体" w:hAnsi="宋体"/>
          <w:bCs/>
          <w:iCs/>
          <w:sz w:val="24"/>
          <w:szCs w:val="24"/>
        </w:rPr>
        <w:t>2025-00</w:t>
      </w:r>
      <w:r>
        <w:rPr>
          <w:rFonts w:hint="eastAsia" w:ascii="宋体" w:hAnsi="宋体"/>
          <w:bCs/>
          <w:iCs/>
          <w:sz w:val="24"/>
          <w:szCs w:val="24"/>
          <w:lang w:val="en-US" w:eastAsia="zh-CN"/>
        </w:rPr>
        <w:t>5</w:t>
      </w:r>
    </w:p>
    <w:tbl>
      <w:tblPr>
        <w:tblStyle w:val="6"/>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5943"/>
      </w:tblGrid>
      <w:tr w14:paraId="09D0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16F0F3AC">
            <w:pPr>
              <w:spacing w:line="480" w:lineRule="atLeast"/>
              <w:jc w:val="both"/>
              <w:rPr>
                <w:rFonts w:hint="eastAsia" w:ascii="宋体" w:hAnsi="宋体"/>
                <w:b/>
                <w:bCs/>
                <w:iCs/>
                <w:sz w:val="24"/>
                <w:szCs w:val="24"/>
              </w:rPr>
            </w:pPr>
            <w:r>
              <w:rPr>
                <w:rFonts w:hint="eastAsia" w:ascii="宋体" w:hAnsi="宋体"/>
                <w:b/>
                <w:bCs/>
                <w:iCs/>
                <w:sz w:val="24"/>
                <w:szCs w:val="24"/>
              </w:rPr>
              <w:t>投资者关系活动类别</w:t>
            </w:r>
          </w:p>
          <w:p w14:paraId="34C0CF0C">
            <w:pPr>
              <w:spacing w:line="480" w:lineRule="atLeast"/>
              <w:jc w:val="both"/>
              <w:rPr>
                <w:rFonts w:hint="eastAsia" w:ascii="宋体" w:hAnsi="宋体"/>
                <w:b/>
                <w:bCs/>
                <w:iCs/>
                <w:sz w:val="24"/>
                <w:szCs w:val="24"/>
              </w:rPr>
            </w:pPr>
          </w:p>
        </w:tc>
        <w:tc>
          <w:tcPr>
            <w:tcW w:w="5943" w:type="dxa"/>
            <w:shd w:val="clear" w:color="auto" w:fill="auto"/>
          </w:tcPr>
          <w:p w14:paraId="63D3D6B9">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特定对象调研        </w:t>
            </w:r>
            <w:r>
              <w:rPr>
                <w:rFonts w:hint="eastAsia" w:ascii="宋体" w:hAnsi="宋体"/>
                <w:bCs/>
                <w:iCs/>
                <w:sz w:val="24"/>
                <w:szCs w:val="24"/>
              </w:rPr>
              <w:t>□</w:t>
            </w:r>
            <w:r>
              <w:rPr>
                <w:rFonts w:hint="eastAsia" w:ascii="宋体" w:hAnsi="宋体"/>
                <w:sz w:val="24"/>
                <w:szCs w:val="24"/>
              </w:rPr>
              <w:t>分析师会议</w:t>
            </w:r>
          </w:p>
          <w:p w14:paraId="50E16F77">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t>□</w:t>
            </w:r>
            <w:r>
              <w:rPr>
                <w:rFonts w:hint="eastAsia" w:ascii="宋体" w:hAnsi="宋体"/>
                <w:sz w:val="24"/>
                <w:szCs w:val="24"/>
              </w:rPr>
              <w:t>业绩说明会</w:t>
            </w:r>
          </w:p>
          <w:p w14:paraId="737E1686">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sz w:val="24"/>
                <w:szCs w:val="24"/>
                <w:lang w:val="en-US" w:eastAsia="zh-CN"/>
              </w:rPr>
              <w:t xml:space="preserve"> </w:t>
            </w:r>
            <w:r>
              <w:rPr>
                <w:rFonts w:hint="eastAsia" w:ascii="宋体" w:hAnsi="宋体"/>
                <w:sz w:val="24"/>
                <w:szCs w:val="24"/>
              </w:rPr>
              <w:t xml:space="preserve">        □路演活动</w:t>
            </w:r>
          </w:p>
          <w:p w14:paraId="4732FAE8">
            <w:pPr>
              <w:tabs>
                <w:tab w:val="left" w:pos="2805"/>
                <w:tab w:val="center" w:pos="3199"/>
              </w:tabs>
              <w:spacing w:line="480" w:lineRule="atLeast"/>
              <w:rPr>
                <w:rFonts w:hint="eastAsia" w:ascii="宋体" w:hAnsi="宋体" w:eastAsia="宋体"/>
                <w:bCs/>
                <w:iCs/>
                <w:sz w:val="24"/>
                <w:szCs w:val="24"/>
                <w:lang w:val="en-US" w:eastAsia="zh-CN"/>
              </w:rPr>
            </w:pPr>
            <w:r>
              <w:rPr>
                <w:rFonts w:hint="eastAsia" w:ascii="宋体" w:hAnsi="宋体"/>
                <w:bCs/>
                <w:iCs/>
                <w:sz w:val="24"/>
                <w:szCs w:val="24"/>
              </w:rPr>
              <w:t>□</w:t>
            </w:r>
            <w:r>
              <w:rPr>
                <w:rFonts w:hint="eastAsia" w:ascii="宋体" w:hAnsi="宋体"/>
                <w:sz w:val="24"/>
                <w:szCs w:val="24"/>
              </w:rPr>
              <w:t>现场参观</w:t>
            </w:r>
            <w:r>
              <w:rPr>
                <w:rFonts w:hint="eastAsia" w:ascii="宋体" w:hAnsi="宋体"/>
                <w:bCs/>
                <w:iCs/>
                <w:sz w:val="24"/>
                <w:szCs w:val="24"/>
              </w:rPr>
              <w:t xml:space="preserve">            √其他</w:t>
            </w:r>
          </w:p>
        </w:tc>
      </w:tr>
      <w:tr w14:paraId="051E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1A7BBD2E">
            <w:pPr>
              <w:spacing w:line="480" w:lineRule="atLeast"/>
              <w:jc w:val="both"/>
              <w:rPr>
                <w:rFonts w:hint="eastAsia" w:ascii="宋体" w:hAnsi="宋体"/>
                <w:b/>
                <w:bCs/>
                <w:iCs/>
                <w:sz w:val="24"/>
                <w:szCs w:val="24"/>
              </w:rPr>
            </w:pPr>
            <w:r>
              <w:rPr>
                <w:rFonts w:hint="eastAsia" w:ascii="宋体" w:hAnsi="宋体"/>
                <w:b/>
                <w:bCs/>
                <w:iCs/>
                <w:sz w:val="24"/>
                <w:szCs w:val="24"/>
              </w:rPr>
              <w:t>参与单位名称</w:t>
            </w:r>
          </w:p>
        </w:tc>
        <w:tc>
          <w:tcPr>
            <w:tcW w:w="5943" w:type="dxa"/>
            <w:shd w:val="clear" w:color="auto" w:fill="auto"/>
          </w:tcPr>
          <w:p w14:paraId="18155306">
            <w:pPr>
              <w:spacing w:line="480" w:lineRule="atLeas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排名不分先后</w:t>
            </w:r>
            <w:r>
              <w:rPr>
                <w:rFonts w:hint="eastAsia" w:asciiTheme="minorEastAsia" w:hAnsiTheme="minorEastAsia" w:eastAsiaTheme="minorEastAsia"/>
                <w:sz w:val="24"/>
                <w:szCs w:val="24"/>
                <w:lang w:eastAsia="zh-CN"/>
              </w:rPr>
              <w:t>）</w:t>
            </w:r>
            <w:r>
              <w:rPr>
                <w:rFonts w:hint="default" w:asciiTheme="minorEastAsia" w:hAnsiTheme="minorEastAsia" w:eastAsiaTheme="minorEastAsia"/>
                <w:sz w:val="24"/>
                <w:szCs w:val="24"/>
                <w:lang w:val="en-US" w:eastAsia="zh-CN"/>
              </w:rPr>
              <w:t>申万宏源、国金证券、招商证券、广发证券、东北证券、东吴证券、光大证券、长城证券、华鑫证券、中信证券、财通证券、长江证券、国泰海通、国投证券、华安证券、国联民生证券、天风证券、华泰证券、方正证券、中银理财、华西证券、上海证券、太平基金、浙商证券、中银国际、西部利得基金、乘是资产、度势投资、象舆行投资、源乘私募</w:t>
            </w:r>
            <w:r>
              <w:rPr>
                <w:rFonts w:hint="eastAsia" w:asciiTheme="minorEastAsia" w:hAnsiTheme="minorEastAsia" w:eastAsiaTheme="minorEastAsia"/>
                <w:sz w:val="24"/>
                <w:szCs w:val="24"/>
                <w:lang w:val="en-US" w:eastAsia="zh-CN"/>
              </w:rPr>
              <w:t>、中信保诚基金、国泰基金、平安保险、国海富兰克林、华泰保险、融通基金、信达澳亚、金信基金、前海人寿、宝盈基金、诺安基金、Morgan Stanley、长城基金、大成基金、红土创新、农银汇理、鑫元基金、创金合信等</w:t>
            </w:r>
          </w:p>
        </w:tc>
      </w:tr>
      <w:tr w14:paraId="3E71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07EB9D8B">
            <w:pPr>
              <w:spacing w:line="480" w:lineRule="atLeast"/>
              <w:jc w:val="both"/>
              <w:rPr>
                <w:rFonts w:hint="eastAsia" w:ascii="宋体" w:hAnsi="宋体"/>
                <w:b/>
                <w:bCs/>
                <w:iCs/>
                <w:sz w:val="24"/>
                <w:szCs w:val="24"/>
              </w:rPr>
            </w:pPr>
            <w:r>
              <w:rPr>
                <w:rFonts w:hint="eastAsia" w:ascii="宋体" w:hAnsi="宋体"/>
                <w:b/>
                <w:bCs/>
                <w:iCs/>
                <w:sz w:val="24"/>
                <w:szCs w:val="24"/>
              </w:rPr>
              <w:t>时间</w:t>
            </w:r>
          </w:p>
        </w:tc>
        <w:tc>
          <w:tcPr>
            <w:tcW w:w="5943" w:type="dxa"/>
            <w:shd w:val="clear" w:color="auto" w:fill="auto"/>
          </w:tcPr>
          <w:p w14:paraId="750791CB">
            <w:pPr>
              <w:spacing w:line="480" w:lineRule="atLeast"/>
              <w:rPr>
                <w:rFonts w:hint="default" w:ascii="宋体" w:hAnsi="宋体" w:eastAsia="宋体"/>
                <w:bCs/>
                <w:iCs/>
                <w:sz w:val="24"/>
                <w:szCs w:val="24"/>
                <w:lang w:val="en-US" w:eastAsia="zh-CN"/>
              </w:rPr>
            </w:pPr>
            <w:r>
              <w:rPr>
                <w:rFonts w:hint="eastAsia" w:ascii="宋体" w:hAnsi="宋体"/>
                <w:bCs/>
                <w:iCs/>
                <w:sz w:val="24"/>
                <w:szCs w:val="24"/>
              </w:rPr>
              <w:t>2025年</w:t>
            </w:r>
            <w:r>
              <w:rPr>
                <w:rFonts w:hint="eastAsia" w:ascii="宋体" w:hAnsi="宋体"/>
                <w:bCs/>
                <w:iCs/>
                <w:sz w:val="24"/>
                <w:szCs w:val="24"/>
                <w:lang w:val="en-US" w:eastAsia="zh-CN"/>
              </w:rPr>
              <w:t>8</w:t>
            </w:r>
            <w:r>
              <w:rPr>
                <w:rFonts w:hint="eastAsia" w:ascii="宋体" w:hAnsi="宋体"/>
                <w:bCs/>
                <w:iCs/>
                <w:sz w:val="24"/>
                <w:szCs w:val="24"/>
              </w:rPr>
              <w:t>月</w:t>
            </w:r>
            <w:r>
              <w:rPr>
                <w:rFonts w:hint="eastAsia" w:ascii="宋体" w:hAnsi="宋体"/>
                <w:bCs/>
                <w:iCs/>
                <w:sz w:val="24"/>
                <w:szCs w:val="24"/>
                <w:lang w:val="en-US" w:eastAsia="zh-CN"/>
              </w:rPr>
              <w:t>18</w:t>
            </w:r>
            <w:r>
              <w:rPr>
                <w:rFonts w:hint="eastAsia" w:ascii="宋体" w:hAnsi="宋体"/>
                <w:bCs/>
                <w:iCs/>
                <w:sz w:val="24"/>
                <w:szCs w:val="24"/>
              </w:rPr>
              <w:t>日</w:t>
            </w:r>
            <w:r>
              <w:rPr>
                <w:rFonts w:hint="eastAsia" w:ascii="宋体" w:hAnsi="宋体"/>
                <w:bCs/>
                <w:iCs/>
                <w:sz w:val="24"/>
                <w:szCs w:val="24"/>
                <w:lang w:val="en-US" w:eastAsia="zh-CN"/>
              </w:rPr>
              <w:t>-8月25日</w:t>
            </w:r>
          </w:p>
        </w:tc>
      </w:tr>
      <w:tr w14:paraId="61A5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129AC241">
            <w:pPr>
              <w:spacing w:line="480" w:lineRule="atLeast"/>
              <w:jc w:val="both"/>
              <w:rPr>
                <w:rFonts w:hint="eastAsia" w:ascii="宋体" w:hAnsi="宋体"/>
                <w:b/>
                <w:bCs/>
                <w:iCs/>
                <w:sz w:val="24"/>
                <w:szCs w:val="24"/>
              </w:rPr>
            </w:pPr>
            <w:r>
              <w:rPr>
                <w:rFonts w:hint="eastAsia" w:ascii="宋体" w:hAnsi="宋体"/>
                <w:b/>
                <w:bCs/>
                <w:iCs/>
                <w:sz w:val="24"/>
                <w:szCs w:val="24"/>
              </w:rPr>
              <w:t>地点</w:t>
            </w:r>
          </w:p>
        </w:tc>
        <w:tc>
          <w:tcPr>
            <w:tcW w:w="5943" w:type="dxa"/>
            <w:shd w:val="clear" w:color="auto" w:fill="auto"/>
          </w:tcPr>
          <w:p w14:paraId="561AEA90">
            <w:pPr>
              <w:spacing w:line="480" w:lineRule="atLeast"/>
              <w:rPr>
                <w:rFonts w:hint="eastAsia" w:ascii="宋体" w:hAnsi="宋体" w:eastAsia="宋体"/>
                <w:bCs/>
                <w:iCs/>
                <w:sz w:val="24"/>
                <w:szCs w:val="24"/>
                <w:lang w:eastAsia="zh-CN"/>
              </w:rPr>
            </w:pPr>
            <w:r>
              <w:rPr>
                <w:rFonts w:hint="eastAsia" w:ascii="宋体" w:hAnsi="宋体"/>
                <w:bCs/>
                <w:iCs/>
                <w:sz w:val="24"/>
                <w:szCs w:val="24"/>
              </w:rPr>
              <w:t>线上电话会议</w:t>
            </w:r>
            <w:r>
              <w:rPr>
                <w:rFonts w:hint="eastAsia" w:ascii="宋体" w:hAnsi="宋体"/>
                <w:bCs/>
                <w:iCs/>
                <w:sz w:val="24"/>
                <w:szCs w:val="24"/>
                <w:lang w:eastAsia="zh-CN"/>
              </w:rPr>
              <w:t>、反路演现场</w:t>
            </w:r>
          </w:p>
        </w:tc>
      </w:tr>
      <w:tr w14:paraId="0CD8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25C337B3">
            <w:pPr>
              <w:spacing w:line="480" w:lineRule="atLeast"/>
              <w:jc w:val="both"/>
              <w:rPr>
                <w:rFonts w:hint="eastAsia" w:ascii="宋体" w:hAnsi="宋体"/>
                <w:b/>
                <w:bCs/>
                <w:iCs/>
                <w:sz w:val="24"/>
                <w:szCs w:val="24"/>
              </w:rPr>
            </w:pPr>
            <w:r>
              <w:rPr>
                <w:rFonts w:hint="eastAsia" w:ascii="宋体" w:hAnsi="宋体"/>
                <w:b/>
                <w:bCs/>
                <w:iCs/>
                <w:sz w:val="24"/>
                <w:szCs w:val="24"/>
              </w:rPr>
              <w:t>上市公司接待人员姓名</w:t>
            </w:r>
          </w:p>
        </w:tc>
        <w:tc>
          <w:tcPr>
            <w:tcW w:w="5943" w:type="dxa"/>
            <w:shd w:val="clear" w:color="auto" w:fill="auto"/>
            <w:vAlign w:val="center"/>
          </w:tcPr>
          <w:p w14:paraId="5B3AD6CD">
            <w:pPr>
              <w:spacing w:line="480" w:lineRule="atLeast"/>
              <w:jc w:val="both"/>
              <w:rPr>
                <w:rFonts w:hint="eastAsia" w:ascii="宋体" w:hAnsi="宋体"/>
                <w:bCs/>
                <w:iCs/>
                <w:sz w:val="24"/>
                <w:szCs w:val="24"/>
              </w:rPr>
            </w:pPr>
            <w:r>
              <w:rPr>
                <w:rFonts w:hint="eastAsia" w:ascii="宋体" w:hAnsi="宋体"/>
                <w:bCs/>
                <w:iCs/>
                <w:sz w:val="24"/>
                <w:szCs w:val="24"/>
              </w:rPr>
              <w:t>董事长、总经理吴启超</w:t>
            </w:r>
          </w:p>
          <w:p w14:paraId="7EC2A8F3">
            <w:pPr>
              <w:spacing w:line="480" w:lineRule="atLeast"/>
              <w:jc w:val="both"/>
              <w:rPr>
                <w:rFonts w:hint="eastAsia" w:ascii="宋体" w:hAnsi="宋体"/>
                <w:bCs/>
                <w:iCs/>
                <w:sz w:val="24"/>
                <w:szCs w:val="24"/>
              </w:rPr>
            </w:pPr>
            <w:r>
              <w:rPr>
                <w:rFonts w:hint="eastAsia" w:ascii="宋体" w:hAnsi="宋体"/>
                <w:bCs/>
                <w:iCs/>
                <w:sz w:val="24"/>
                <w:szCs w:val="24"/>
              </w:rPr>
              <w:t>董事、副总经理、董事会秘书曾艳华</w:t>
            </w:r>
          </w:p>
        </w:tc>
      </w:tr>
      <w:tr w14:paraId="1184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730" w:type="dxa"/>
            <w:shd w:val="clear" w:color="auto" w:fill="auto"/>
            <w:vAlign w:val="center"/>
          </w:tcPr>
          <w:p w14:paraId="65C3D4FB">
            <w:pPr>
              <w:spacing w:line="480" w:lineRule="atLeast"/>
              <w:jc w:val="both"/>
              <w:rPr>
                <w:rFonts w:hint="eastAsia" w:ascii="宋体" w:hAnsi="宋体"/>
                <w:b/>
                <w:bCs/>
                <w:iCs/>
                <w:sz w:val="24"/>
                <w:szCs w:val="24"/>
              </w:rPr>
            </w:pPr>
            <w:r>
              <w:rPr>
                <w:rFonts w:hint="eastAsia" w:ascii="宋体" w:hAnsi="宋体"/>
                <w:b/>
                <w:bCs/>
                <w:iCs/>
                <w:sz w:val="24"/>
                <w:szCs w:val="24"/>
              </w:rPr>
              <w:t>投资者关系活动主要内容介绍</w:t>
            </w:r>
          </w:p>
          <w:p w14:paraId="24CE7D0C">
            <w:pPr>
              <w:spacing w:line="480" w:lineRule="atLeast"/>
              <w:jc w:val="both"/>
              <w:rPr>
                <w:rFonts w:hint="eastAsia" w:ascii="宋体" w:hAnsi="宋体"/>
                <w:b/>
                <w:bCs/>
                <w:iCs/>
                <w:sz w:val="24"/>
                <w:szCs w:val="24"/>
              </w:rPr>
            </w:pPr>
          </w:p>
        </w:tc>
        <w:tc>
          <w:tcPr>
            <w:tcW w:w="5943" w:type="dxa"/>
            <w:shd w:val="clear" w:color="auto" w:fill="auto"/>
          </w:tcPr>
          <w:p w14:paraId="61A53F82">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b/>
                <w:sz w:val="24"/>
                <w:szCs w:val="24"/>
              </w:rPr>
            </w:pPr>
            <w:r>
              <w:rPr>
                <w:rFonts w:hint="eastAsia"/>
                <w:b/>
                <w:sz w:val="24"/>
                <w:szCs w:val="24"/>
              </w:rPr>
              <w:t>公司基本情况介绍；</w:t>
            </w:r>
          </w:p>
          <w:p w14:paraId="6550C831">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b/>
                <w:sz w:val="24"/>
                <w:szCs w:val="24"/>
              </w:rPr>
            </w:pPr>
            <w:r>
              <w:rPr>
                <w:rFonts w:hint="eastAsia"/>
                <w:b/>
                <w:sz w:val="24"/>
                <w:szCs w:val="24"/>
              </w:rPr>
              <w:t>与投资者进行交流，主要内容如下：</w:t>
            </w:r>
          </w:p>
          <w:p w14:paraId="48711F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b/>
                <w:sz w:val="24"/>
                <w:szCs w:val="24"/>
              </w:rPr>
            </w:pPr>
            <w:r>
              <w:rPr>
                <w:rFonts w:hint="eastAsia"/>
                <w:b/>
                <w:sz w:val="24"/>
                <w:szCs w:val="24"/>
              </w:rPr>
              <w:t>（一）202</w:t>
            </w:r>
            <w:r>
              <w:rPr>
                <w:rFonts w:hint="eastAsia"/>
                <w:b/>
                <w:sz w:val="24"/>
                <w:szCs w:val="24"/>
                <w:lang w:val="en-US" w:eastAsia="zh-CN"/>
              </w:rPr>
              <w:t>5</w:t>
            </w:r>
            <w:r>
              <w:rPr>
                <w:rFonts w:hint="eastAsia"/>
                <w:b/>
                <w:sz w:val="24"/>
                <w:szCs w:val="24"/>
              </w:rPr>
              <w:t>年</w:t>
            </w:r>
            <w:r>
              <w:rPr>
                <w:rFonts w:hint="eastAsia"/>
                <w:b/>
                <w:sz w:val="24"/>
                <w:szCs w:val="24"/>
                <w:lang w:val="en-US" w:eastAsia="zh-CN"/>
              </w:rPr>
              <w:t>半年</w:t>
            </w:r>
            <w:r>
              <w:rPr>
                <w:rFonts w:hint="eastAsia"/>
                <w:b/>
                <w:sz w:val="24"/>
                <w:szCs w:val="24"/>
              </w:rPr>
              <w:t>度公司主要经营情况</w:t>
            </w:r>
          </w:p>
          <w:p w14:paraId="4B8F82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sz w:val="24"/>
                <w:szCs w:val="24"/>
              </w:rPr>
            </w:pPr>
            <w:r>
              <w:rPr>
                <w:rFonts w:hint="eastAsia"/>
                <w:b w:val="0"/>
                <w:bCs/>
                <w:sz w:val="24"/>
                <w:szCs w:val="24"/>
              </w:rPr>
              <w:t>2025年上半年，公司各业务板块多点开花，实现营业收入144,352.28万元，同比上升3.97%；实现归属于上市公司股东的净利润6,216.90万元，同比增长16.59%；实现归属于上市公司股东的扣除非经常性损益的净利润为6,009.72万元，同比增加20.04%。公司持续夯实高分子复合饰面材料、建筑陶瓷两大主业，其中，在高分子复合饰面材料板块，公司通过加大项目开发力度，提升产品品质和服务质量，增强与客户的合作黏性，营业收入实现较大幅度增长；在地产持续调整、陶瓷行业低迷的大背景下，公司建筑陶瓷板块稳住基本盘，连年实现销量增长，报告期内，公司建筑陶瓷销量超过2,030万方，同比增长6%，受终端价格影响，营业收入同比下降6%，为59,381.94万元。报告期内，通过强化成本控制，持续推进信息化、精细化管理等手段提升经营效益，公司整体毛利率为23.54%，归属于上市公司股东的净利润及归属于上市公司股东的扣除非经常性损益的净利润均实现较大幅度提升。</w:t>
            </w:r>
          </w:p>
          <w:p w14:paraId="271026D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sz w:val="24"/>
                <w:szCs w:val="24"/>
              </w:rPr>
            </w:pPr>
          </w:p>
          <w:p w14:paraId="5C956FBD">
            <w:pPr>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rPr>
            </w:pPr>
            <w:r>
              <w:rPr>
                <w:rFonts w:hint="eastAsia"/>
                <w:b/>
                <w:sz w:val="24"/>
                <w:szCs w:val="24"/>
              </w:rPr>
              <w:t>（</w:t>
            </w:r>
            <w:r>
              <w:rPr>
                <w:rFonts w:hint="eastAsia"/>
                <w:b/>
                <w:sz w:val="24"/>
                <w:szCs w:val="24"/>
                <w:lang w:val="en-US" w:eastAsia="zh-CN"/>
              </w:rPr>
              <w:t>二</w:t>
            </w:r>
            <w:r>
              <w:rPr>
                <w:rFonts w:hint="eastAsia"/>
                <w:b/>
                <w:sz w:val="24"/>
                <w:szCs w:val="24"/>
              </w:rPr>
              <w:t>）提问交流环节：</w:t>
            </w:r>
          </w:p>
          <w:p w14:paraId="7DC7C5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eastAsia="宋体"/>
                <w:sz w:val="24"/>
                <w:szCs w:val="24"/>
                <w:lang w:val="en-US" w:eastAsia="zh-CN"/>
              </w:rPr>
            </w:pPr>
            <w:r>
              <w:rPr>
                <w:rFonts w:hint="eastAsia"/>
                <w:sz w:val="24"/>
                <w:szCs w:val="24"/>
              </w:rPr>
              <w:t>1、公司汽车内饰材料业务的增长情况如何？公司有哪些具体举措</w:t>
            </w:r>
            <w:r>
              <w:rPr>
                <w:rFonts w:hint="eastAsia"/>
                <w:sz w:val="24"/>
                <w:szCs w:val="24"/>
                <w:lang w:val="en-US" w:eastAsia="zh-CN"/>
              </w:rPr>
              <w:t>？</w:t>
            </w:r>
          </w:p>
          <w:p w14:paraId="31AC1E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sz w:val="24"/>
                <w:szCs w:val="24"/>
              </w:rPr>
              <w:t>答：在汽车内饰饰面材料业务板块，公司紧抓新能源汽车渗透率持续提高及国产自主品牌车企崛起的战略机遇期，紧跟市场客户需求，持续加强研发投入；积极维护并深入拓展与现有客户的合作关系，持续拓展主机厂客户矩阵，业务开拓呈现“多点开花”态势，推动汽车内饰饰面材料业务板块销量和收入持续增长，2025年1-6月，汽车内饰饰面材料板块营业收入为30,553.74万元，同比增长35.96%；同时，通过调整订单结构聚焦高附加值订单、优化产品配方、打造差异化服务能力等系列举措，显著提升生产运营效率，在主机厂价格年降压力下，依然实现毛利率的逆势增长</w:t>
            </w:r>
            <w:r>
              <w:rPr>
                <w:rFonts w:hint="eastAsia"/>
                <w:sz w:val="24"/>
                <w:szCs w:val="24"/>
                <w:lang w:val="en-US" w:eastAsia="zh-CN"/>
              </w:rPr>
              <w:t>。</w:t>
            </w:r>
            <w:bookmarkStart w:id="0" w:name="_GoBack"/>
            <w:r>
              <w:rPr>
                <w:sz w:val="24"/>
                <w:szCs w:val="24"/>
              </w:rPr>
              <w:t xml:space="preserve"> </w:t>
            </w:r>
            <w:bookmarkEnd w:id="0"/>
          </w:p>
          <w:p w14:paraId="2907CFC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sz w:val="24"/>
                <w:szCs w:val="24"/>
              </w:rPr>
            </w:pPr>
          </w:p>
          <w:p w14:paraId="06B701D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lang w:val="en-US" w:eastAsia="zh-CN"/>
              </w:rPr>
              <w:t>2</w:t>
            </w:r>
            <w:r>
              <w:rPr>
                <w:rFonts w:hint="eastAsia"/>
                <w:sz w:val="24"/>
                <w:szCs w:val="24"/>
              </w:rPr>
              <w:t>、公司费用管控成果如何？</w:t>
            </w:r>
          </w:p>
          <w:p w14:paraId="45C704C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rPr>
              <w:t>答：尊敬的投资者，您好！公司以信息化赋能管理升级，以精细化深耕运营效能，双重驱动下管理费用持续走低，费用管控的 “内功” 不断精进，为稳健发展筑牢成本优势根基。公司管理费用率同比下降0.22个百分点。与此同时，公司锚定产业价值高地，紧扣 “微笑曲线” 两端精准发力，报告期内研发费用与销售投入同步加码，彰显布局长远的战略定力。报告期内，公司研发费用5408.84万元，同比增长19.02%，销售费用9464.64万元，同比增长6.51%。研发端聚焦高附加值产品攻坚与先进工艺技术突破，以创新为矛刺穿市场壁垒；营销端加码新媒体精准投放，同步深耕客户拓展与渠道网络建设，以品牌为盾抢占用户心智。双向投入既厚植当下竞争力，更积蓄未来增长势能，为可持续发展注入强劲动力。</w:t>
            </w:r>
          </w:p>
          <w:p w14:paraId="481C7F3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p>
          <w:p w14:paraId="7FB48A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lang w:val="en-US" w:eastAsia="zh-CN"/>
              </w:rPr>
              <w:t>3</w:t>
            </w:r>
            <w:r>
              <w:rPr>
                <w:rFonts w:hint="eastAsia"/>
                <w:sz w:val="24"/>
                <w:szCs w:val="24"/>
              </w:rPr>
              <w:t>、公司研发电子皮肤，与现有业务的关联度体现在哪里？</w:t>
            </w:r>
          </w:p>
          <w:p w14:paraId="7B200ED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rPr>
              <w:t>答：得益于人工智能大模型的崛起、硬件性能迭代提升以及政策的大力支持，机器人尤其是人形机器人产业正在以前所未有的速度发展。公司在聚焦主业的同时，积极布局新赛道，紧抓机器人发展机遇，积极拓展新材料在人工智能领域的应用，以公司擅长的肤感饰面材料为基础开展更多同源性技术探索和延伸。公司凭借国家级专精特新“小巨人”企业平台以及高分子复合饰面材料领域二十余年的深耕积累，具备强大的自主知识产权及专业的人才技术团队，饰面产品性能成熟，机器人皮肤对肤感柔软性、耐弯折、耐磨以及轻量化属性的要求，与公司自主研发的高分子复合饰面材料高度适配，使公司具备对电子皮肤开展同源性研发的基础。公司积极与多所国内科研院校、头部传感器企业、机器人厂商进行相关技术交流与应用探讨，共同探索电子皮肤技术发展路径。未来公司将继续深化产学研交流与合作，持续推进在电子皮肤领域的前瞻性研究与产品研发。目前公司在电子皮肤相关领域仍处于技术探索和研究阶段，暂未有相关产品，对公司业绩不构成影响，请广大投资者理性决策，注意投资风险。</w:t>
            </w:r>
          </w:p>
          <w:p w14:paraId="53A0230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p>
          <w:p w14:paraId="41E8891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4、在建筑陶瓷行业整体下行的大环境下，公司是如何实现建筑陶瓷销量增长和市占率提升的？</w:t>
            </w:r>
          </w:p>
          <w:p w14:paraId="76805BB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答：建筑陶瓷板块秉持稳健经营策略，持续深化市场布局与核心竞争力构建。一方面，持续推进渠道的广度延伸与深度下沉，完善经销商、整装、工程等全渠道网络，深挖县域及乡镇市场需求潜力，不断提高产品市场占有率；另一方面，深化新媒体传播矩阵建设，借助短视频、直播、社交媒体等多元平台，强化品牌精准触达与用户互动，进一步扩大了品牌的影响力，同时持续推进产品迭代创新，推出兼具设计美学与文化内涵的系列新品，满足差异化需求。鹰牌公司与行业领先制造商合作打造联营工厂，通过输出核心技术与品牌标准，严格把控产品质量，深挖供应链潜力，持续推进中心仓建设，通过集中管理和库存优化，降低物流成本，全面提升供应链运营效率，强化成本控制能力。2025年上半年，公司建筑陶瓷板块差异化竞争策略、风险把控及降本提效的系列举措取得成效，实现销售量稳步上升，同时鹰牌公司现金流保持稳定充裕，毛利率较上年同期增长1.55个百分点，经营质量持续向好。</w:t>
            </w:r>
          </w:p>
          <w:p w14:paraId="469DDB7F">
            <w:pPr>
              <w:widowControl/>
              <w:jc w:val="left"/>
              <w:rPr>
                <w:rFonts w:hint="eastAsia"/>
                <w:sz w:val="24"/>
                <w:szCs w:val="24"/>
              </w:rPr>
            </w:pPr>
          </w:p>
          <w:p w14:paraId="79A1F78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lang w:val="en-US" w:eastAsia="zh-CN"/>
              </w:rPr>
              <w:t>5</w:t>
            </w:r>
            <w:r>
              <w:rPr>
                <w:rFonts w:hint="eastAsia"/>
                <w:sz w:val="24"/>
                <w:szCs w:val="24"/>
              </w:rPr>
              <w:t>、公司的出海战略有哪些具体举措？</w:t>
            </w:r>
          </w:p>
          <w:p w14:paraId="714D9F2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rPr>
              <w:t>答：在全球产业格局深度调整的背景下，公司深知要在危机中育新机，于变局中开新局，积极布局海外市场，重点聚焦经济发达但家居建材工业化程度尚具提升空间的国家和地区，致力于实现技术、服务、品牌出海。2025年上半年，控股子公司鹰牌公司作为公司出海战略的先手棋，鹰牌陶瓷在澳大利亚墨尔本以及悉尼的经销商展厅相继开业，携手海外当地的设计师团队，依托瓷砖、墙板、板材、地板等一系列既富设计美学又具有健康环保的产品，为海外消费者打造高品质空间美学体验，提升品牌海外声量，同时公司对外出口的部品部件安装简单快捷，能大大缩短施工的工期，节省人工费用，在人工费用高昂的海外国家地区颇受欢迎。未来公司将继续深化国际合作，拓展全球市场版图，通过输出成熟的技术解决方案、卓越的服务体系以及强大的品牌价值，致力于实现从区域性领军企业向全球化泛家居品牌的战略升级。</w:t>
            </w:r>
          </w:p>
          <w:p w14:paraId="44BBE3B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p>
          <w:p w14:paraId="738A101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6、公司的几次收并购都非常成功，是否有下一步的收并购计划？</w:t>
            </w:r>
          </w:p>
          <w:p w14:paraId="7DD98A8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答：公司通过顶层设计从战略、机制、文化、组织等多方面变革来加强投后整合管理，被收并购对象均实现管理效率和经营效益提升。近年来，公司通过内生增长以及收并购，推动业务点线面体多维发展，以多品牌、多渠道、多品类产品，逐步实现从材料供应商转型为环保艺术空间综合服务商，打造闭环的家居产业生态圈。目前公司的经营重心在于提高既有的泛家居产业链的转化效果。公司将立足建筑陶瓷和高分子复合饰面材料两大基业，通过材料板块与EPC板块相互赋能，以终端整装需求带动对前端建材产品的销售提量，全面构建材料端技术领先、产业链闭环融合、各子公司各业务板块关联度极强的泛家居生态圈，以强化集团产业链优势增量，不断优化资源配置，寻求新的业绩增长点，推动公司高质量发展。公司将积极拥抱前沿技术和产业，未来，公司不排除通过并购、自研等方式开拓渠道和市场，引进更多先进的技术、人才、品牌，拓宽产业领域。</w:t>
            </w:r>
          </w:p>
          <w:p w14:paraId="6DA1EE9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p>
          <w:p w14:paraId="2EB281E8">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在当前市场竞争白热化的大环境下，公司在供应链管理方面有哪些举措，效果如何？</w:t>
            </w:r>
          </w:p>
          <w:p w14:paraId="1BA2B45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default"/>
                <w:sz w:val="24"/>
                <w:szCs w:val="24"/>
                <w:lang w:val="en-US" w:eastAsia="zh-CN"/>
              </w:rPr>
              <w:t>答：在供应链管理方面，公司持续强化供应链管理优势，旗下鹰牌公司与行业领先制造商合作打造联营工厂，通过输出核心技术与品牌标准，严格把控产品质量，深挖供应链潜力，持续推进中心仓建设，通过集中管理和库存优化，降低物流成本，全面提升供应链运营效率，强化成本控制能力。报告期内，公司建筑陶瓷板块差异化竞争策略、风险把控及降本提效的系列举措取得成效，实现销售量稳步上升，同时鹰牌公司现金流保持稳定充裕，毛利率较上年同期增长1.55个百分点，经营质量持续向好。</w:t>
            </w:r>
          </w:p>
          <w:p w14:paraId="12B6FFE8">
            <w:pPr>
              <w:widowControl/>
              <w:jc w:val="left"/>
              <w:rPr>
                <w:sz w:val="24"/>
                <w:szCs w:val="24"/>
              </w:rPr>
            </w:pPr>
          </w:p>
        </w:tc>
      </w:tr>
      <w:tr w14:paraId="623B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2CBAFEF1">
            <w:pPr>
              <w:spacing w:line="480" w:lineRule="atLeast"/>
              <w:rPr>
                <w:rFonts w:hint="eastAsia" w:ascii="宋体" w:hAnsi="宋体"/>
                <w:b/>
                <w:bCs/>
                <w:iCs/>
                <w:sz w:val="24"/>
                <w:szCs w:val="24"/>
              </w:rPr>
            </w:pPr>
            <w:r>
              <w:rPr>
                <w:rFonts w:hint="eastAsia" w:ascii="宋体" w:hAnsi="宋体"/>
                <w:b/>
                <w:bCs/>
                <w:iCs/>
                <w:sz w:val="24"/>
                <w:szCs w:val="24"/>
              </w:rPr>
              <w:t>附件清单</w:t>
            </w:r>
          </w:p>
          <w:p w14:paraId="14C10D9E">
            <w:pPr>
              <w:spacing w:line="480" w:lineRule="atLeast"/>
              <w:rPr>
                <w:rFonts w:hint="eastAsia" w:ascii="宋体" w:hAnsi="宋体"/>
                <w:b/>
                <w:bCs/>
                <w:iCs/>
                <w:sz w:val="24"/>
                <w:szCs w:val="24"/>
              </w:rPr>
            </w:pPr>
            <w:r>
              <w:rPr>
                <w:rFonts w:hint="eastAsia" w:ascii="宋体" w:hAnsi="宋体"/>
                <w:b/>
                <w:bCs/>
                <w:iCs/>
                <w:sz w:val="24"/>
                <w:szCs w:val="24"/>
              </w:rPr>
              <w:t>（如有）</w:t>
            </w:r>
          </w:p>
        </w:tc>
        <w:tc>
          <w:tcPr>
            <w:tcW w:w="5943" w:type="dxa"/>
            <w:shd w:val="clear" w:color="auto" w:fill="auto"/>
          </w:tcPr>
          <w:p w14:paraId="4D3415FA">
            <w:pPr>
              <w:spacing w:line="480" w:lineRule="atLeast"/>
              <w:rPr>
                <w:rFonts w:hint="eastAsia" w:ascii="宋体" w:hAnsi="宋体"/>
                <w:bCs/>
                <w:iCs/>
                <w:sz w:val="24"/>
                <w:szCs w:val="24"/>
              </w:rPr>
            </w:pPr>
            <w:r>
              <w:rPr>
                <w:rFonts w:ascii="宋体" w:hAnsi="宋体"/>
                <w:bCs/>
                <w:iCs/>
                <w:sz w:val="24"/>
                <w:szCs w:val="24"/>
              </w:rPr>
              <w:t>无</w:t>
            </w:r>
          </w:p>
        </w:tc>
      </w:tr>
      <w:tr w14:paraId="719A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32A9BB6F">
            <w:pPr>
              <w:spacing w:line="480" w:lineRule="atLeast"/>
              <w:rPr>
                <w:rFonts w:hint="eastAsia" w:ascii="宋体" w:hAnsi="宋体"/>
                <w:b/>
                <w:bCs/>
                <w:iCs/>
                <w:sz w:val="24"/>
                <w:szCs w:val="24"/>
              </w:rPr>
            </w:pPr>
            <w:r>
              <w:rPr>
                <w:rFonts w:hint="eastAsia" w:ascii="宋体" w:hAnsi="宋体"/>
                <w:b/>
                <w:bCs/>
                <w:iCs/>
                <w:sz w:val="24"/>
                <w:szCs w:val="24"/>
              </w:rPr>
              <w:t>日期</w:t>
            </w:r>
          </w:p>
        </w:tc>
        <w:tc>
          <w:tcPr>
            <w:tcW w:w="5943" w:type="dxa"/>
            <w:shd w:val="clear" w:color="auto" w:fill="auto"/>
          </w:tcPr>
          <w:p w14:paraId="3488726F">
            <w:pPr>
              <w:spacing w:line="480" w:lineRule="atLeast"/>
              <w:rPr>
                <w:rFonts w:hint="eastAsia" w:ascii="宋体" w:hAnsi="宋体"/>
                <w:bCs/>
                <w:iCs/>
                <w:sz w:val="24"/>
                <w:szCs w:val="24"/>
              </w:rPr>
            </w:pPr>
            <w:r>
              <w:rPr>
                <w:rFonts w:hint="eastAsia" w:ascii="宋体" w:hAnsi="宋体"/>
                <w:bCs/>
                <w:iCs/>
                <w:sz w:val="24"/>
                <w:szCs w:val="24"/>
              </w:rPr>
              <w:t>2025年</w:t>
            </w:r>
            <w:r>
              <w:rPr>
                <w:rFonts w:hint="eastAsia" w:ascii="宋体" w:hAnsi="宋体"/>
                <w:bCs/>
                <w:iCs/>
                <w:sz w:val="24"/>
                <w:szCs w:val="24"/>
                <w:lang w:val="en-US" w:eastAsia="zh-CN"/>
              </w:rPr>
              <w:t>8</w:t>
            </w:r>
            <w:r>
              <w:rPr>
                <w:rFonts w:hint="eastAsia" w:ascii="宋体" w:hAnsi="宋体"/>
                <w:bCs/>
                <w:iCs/>
                <w:sz w:val="24"/>
                <w:szCs w:val="24"/>
              </w:rPr>
              <w:t>月</w:t>
            </w:r>
            <w:r>
              <w:rPr>
                <w:rFonts w:hint="eastAsia" w:ascii="宋体" w:hAnsi="宋体"/>
                <w:bCs/>
                <w:iCs/>
                <w:sz w:val="24"/>
                <w:szCs w:val="24"/>
                <w:lang w:val="en-US" w:eastAsia="zh-CN"/>
              </w:rPr>
              <w:t>25</w:t>
            </w:r>
            <w:r>
              <w:rPr>
                <w:rFonts w:hint="eastAsia" w:ascii="宋体" w:hAnsi="宋体"/>
                <w:bCs/>
                <w:iCs/>
                <w:sz w:val="24"/>
                <w:szCs w:val="24"/>
              </w:rPr>
              <w:t>日</w:t>
            </w:r>
          </w:p>
        </w:tc>
      </w:tr>
    </w:tbl>
    <w:p w14:paraId="5B12D23E"/>
    <w:sectPr>
      <w:headerReference r:id="rId3" w:type="default"/>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92EF">
    <w:pPr>
      <w:pStyle w:val="4"/>
      <w:rPr>
        <w:rFonts w:hint="eastAsia" w:ascii="宋体" w:hAnsi="宋体"/>
        <w:bCs/>
        <w:iCs/>
        <w:sz w:val="21"/>
        <w:szCs w:val="21"/>
      </w:rPr>
    </w:pPr>
    <w:r>
      <w:rPr>
        <w:rFonts w:hint="eastAsia" w:ascii="宋体" w:hAnsi="宋体"/>
        <w:bCs/>
        <w:iCs/>
        <w:sz w:val="21"/>
        <w:szCs w:val="21"/>
      </w:rPr>
      <w:t>证券代码：60</w:t>
    </w:r>
    <w:r>
      <w:rPr>
        <w:rFonts w:ascii="宋体" w:hAnsi="宋体"/>
        <w:bCs/>
        <w:iCs/>
        <w:sz w:val="21"/>
        <w:szCs w:val="21"/>
      </w:rPr>
      <w:t>3</w:t>
    </w:r>
    <w:r>
      <w:rPr>
        <w:rFonts w:hint="eastAsia" w:ascii="宋体" w:hAnsi="宋体"/>
        <w:bCs/>
        <w:iCs/>
        <w:sz w:val="21"/>
        <w:szCs w:val="21"/>
      </w:rPr>
      <w:t xml:space="preserve">725  </w:t>
    </w:r>
    <w:r>
      <w:rPr>
        <w:rFonts w:ascii="宋体" w:hAnsi="宋体"/>
        <w:bCs/>
        <w:iCs/>
        <w:sz w:val="21"/>
        <w:szCs w:val="21"/>
      </w:rPr>
      <w:t xml:space="preserve">                         </w:t>
    </w:r>
    <w:r>
      <w:rPr>
        <w:rFonts w:hint="eastAsia" w:ascii="宋体" w:hAnsi="宋体"/>
        <w:bCs/>
        <w:iCs/>
        <w:sz w:val="21"/>
        <w:szCs w:val="21"/>
      </w:rPr>
      <w:t xml:space="preserve">         证券简称：天安新材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5E24F"/>
    <w:multiLevelType w:val="singleLevel"/>
    <w:tmpl w:val="4DC5E24F"/>
    <w:lvl w:ilvl="0" w:tentative="0">
      <w:start w:val="7"/>
      <w:numFmt w:val="decimal"/>
      <w:suff w:val="nothing"/>
      <w:lvlText w:val="%1、"/>
      <w:lvlJc w:val="left"/>
    </w:lvl>
  </w:abstractNum>
  <w:abstractNum w:abstractNumId="1">
    <w:nsid w:val="5CA57A49"/>
    <w:multiLevelType w:val="multilevel"/>
    <w:tmpl w:val="5CA57A49"/>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8"/>
    <w:rsid w:val="000157FD"/>
    <w:rsid w:val="000245CA"/>
    <w:rsid w:val="000450A9"/>
    <w:rsid w:val="00063073"/>
    <w:rsid w:val="000754B4"/>
    <w:rsid w:val="0007568B"/>
    <w:rsid w:val="00080F2B"/>
    <w:rsid w:val="000849BA"/>
    <w:rsid w:val="000A31DA"/>
    <w:rsid w:val="000A79FB"/>
    <w:rsid w:val="000A7E4A"/>
    <w:rsid w:val="000B1C14"/>
    <w:rsid w:val="000B75A7"/>
    <w:rsid w:val="000D00C7"/>
    <w:rsid w:val="000D3A79"/>
    <w:rsid w:val="000D56FE"/>
    <w:rsid w:val="000F18AF"/>
    <w:rsid w:val="000F4DD6"/>
    <w:rsid w:val="001024E5"/>
    <w:rsid w:val="00106147"/>
    <w:rsid w:val="00113B34"/>
    <w:rsid w:val="00130C40"/>
    <w:rsid w:val="001337F9"/>
    <w:rsid w:val="0013500E"/>
    <w:rsid w:val="001439BE"/>
    <w:rsid w:val="00143F94"/>
    <w:rsid w:val="001502E6"/>
    <w:rsid w:val="00155B3C"/>
    <w:rsid w:val="001722F3"/>
    <w:rsid w:val="00173E13"/>
    <w:rsid w:val="00174F18"/>
    <w:rsid w:val="00175757"/>
    <w:rsid w:val="00192E4E"/>
    <w:rsid w:val="00194834"/>
    <w:rsid w:val="001A467E"/>
    <w:rsid w:val="001B1A53"/>
    <w:rsid w:val="001C3480"/>
    <w:rsid w:val="001C6A4B"/>
    <w:rsid w:val="001D2DB1"/>
    <w:rsid w:val="001D369A"/>
    <w:rsid w:val="001D3916"/>
    <w:rsid w:val="001D4AAE"/>
    <w:rsid w:val="001D6BFE"/>
    <w:rsid w:val="001F10A8"/>
    <w:rsid w:val="001F4DDD"/>
    <w:rsid w:val="00214491"/>
    <w:rsid w:val="00220AEA"/>
    <w:rsid w:val="00225393"/>
    <w:rsid w:val="002312D7"/>
    <w:rsid w:val="00231727"/>
    <w:rsid w:val="00232BC1"/>
    <w:rsid w:val="00246187"/>
    <w:rsid w:val="0025317F"/>
    <w:rsid w:val="00273315"/>
    <w:rsid w:val="002C5EEF"/>
    <w:rsid w:val="002D1265"/>
    <w:rsid w:val="002D200D"/>
    <w:rsid w:val="002D39A7"/>
    <w:rsid w:val="002D7DA7"/>
    <w:rsid w:val="003063E5"/>
    <w:rsid w:val="00312F15"/>
    <w:rsid w:val="00320994"/>
    <w:rsid w:val="003262D5"/>
    <w:rsid w:val="00333001"/>
    <w:rsid w:val="0033336C"/>
    <w:rsid w:val="00340B1B"/>
    <w:rsid w:val="0035062B"/>
    <w:rsid w:val="00352F7F"/>
    <w:rsid w:val="003542D7"/>
    <w:rsid w:val="00371229"/>
    <w:rsid w:val="00374563"/>
    <w:rsid w:val="00395D4D"/>
    <w:rsid w:val="003B1E53"/>
    <w:rsid w:val="003B5E23"/>
    <w:rsid w:val="003E102C"/>
    <w:rsid w:val="003E2689"/>
    <w:rsid w:val="003E59F4"/>
    <w:rsid w:val="003F122F"/>
    <w:rsid w:val="003F4018"/>
    <w:rsid w:val="003F43A4"/>
    <w:rsid w:val="003F4561"/>
    <w:rsid w:val="00404F68"/>
    <w:rsid w:val="00415156"/>
    <w:rsid w:val="004425B5"/>
    <w:rsid w:val="00444B9F"/>
    <w:rsid w:val="00465489"/>
    <w:rsid w:val="00474FCD"/>
    <w:rsid w:val="0047613C"/>
    <w:rsid w:val="00497936"/>
    <w:rsid w:val="004B1A37"/>
    <w:rsid w:val="004B1BED"/>
    <w:rsid w:val="004D363E"/>
    <w:rsid w:val="004E2B0F"/>
    <w:rsid w:val="004F55D1"/>
    <w:rsid w:val="004F612C"/>
    <w:rsid w:val="00512B00"/>
    <w:rsid w:val="005266F5"/>
    <w:rsid w:val="005275C3"/>
    <w:rsid w:val="00532CF0"/>
    <w:rsid w:val="0054754D"/>
    <w:rsid w:val="00547B0C"/>
    <w:rsid w:val="00550366"/>
    <w:rsid w:val="00572AFC"/>
    <w:rsid w:val="005736DE"/>
    <w:rsid w:val="00575FE1"/>
    <w:rsid w:val="005821BB"/>
    <w:rsid w:val="005846A6"/>
    <w:rsid w:val="0058766F"/>
    <w:rsid w:val="0059105E"/>
    <w:rsid w:val="005A47A2"/>
    <w:rsid w:val="005B17F9"/>
    <w:rsid w:val="005C77BC"/>
    <w:rsid w:val="005D293A"/>
    <w:rsid w:val="005E7547"/>
    <w:rsid w:val="005F359B"/>
    <w:rsid w:val="005F503A"/>
    <w:rsid w:val="00611486"/>
    <w:rsid w:val="00612EFB"/>
    <w:rsid w:val="0061358F"/>
    <w:rsid w:val="00613C16"/>
    <w:rsid w:val="00627797"/>
    <w:rsid w:val="00640A3C"/>
    <w:rsid w:val="00642CF8"/>
    <w:rsid w:val="00645FCE"/>
    <w:rsid w:val="006468F7"/>
    <w:rsid w:val="00654A0F"/>
    <w:rsid w:val="00667A84"/>
    <w:rsid w:val="00684FFB"/>
    <w:rsid w:val="00686ADF"/>
    <w:rsid w:val="006870FD"/>
    <w:rsid w:val="006C0777"/>
    <w:rsid w:val="006C2175"/>
    <w:rsid w:val="006D524A"/>
    <w:rsid w:val="006D58E8"/>
    <w:rsid w:val="006E7E43"/>
    <w:rsid w:val="006F0CFA"/>
    <w:rsid w:val="006F0D58"/>
    <w:rsid w:val="006F5D79"/>
    <w:rsid w:val="0072048B"/>
    <w:rsid w:val="00736D7F"/>
    <w:rsid w:val="00752C09"/>
    <w:rsid w:val="00762AF4"/>
    <w:rsid w:val="00774DCC"/>
    <w:rsid w:val="00775F2E"/>
    <w:rsid w:val="007819D5"/>
    <w:rsid w:val="00786334"/>
    <w:rsid w:val="00786BC2"/>
    <w:rsid w:val="007919B0"/>
    <w:rsid w:val="007A786C"/>
    <w:rsid w:val="007C57FF"/>
    <w:rsid w:val="007D371E"/>
    <w:rsid w:val="007E334D"/>
    <w:rsid w:val="007E6C40"/>
    <w:rsid w:val="00807DF7"/>
    <w:rsid w:val="00812FFA"/>
    <w:rsid w:val="00817A24"/>
    <w:rsid w:val="00821EFA"/>
    <w:rsid w:val="008403C3"/>
    <w:rsid w:val="00851660"/>
    <w:rsid w:val="00860925"/>
    <w:rsid w:val="0086439C"/>
    <w:rsid w:val="008713D8"/>
    <w:rsid w:val="00872CDE"/>
    <w:rsid w:val="0087466F"/>
    <w:rsid w:val="00877D67"/>
    <w:rsid w:val="00883B7B"/>
    <w:rsid w:val="008865DC"/>
    <w:rsid w:val="0089641D"/>
    <w:rsid w:val="008A0B53"/>
    <w:rsid w:val="008A17AA"/>
    <w:rsid w:val="008A7858"/>
    <w:rsid w:val="008B255D"/>
    <w:rsid w:val="008F1A7E"/>
    <w:rsid w:val="008F31B0"/>
    <w:rsid w:val="008F3A0C"/>
    <w:rsid w:val="0090042E"/>
    <w:rsid w:val="0091762C"/>
    <w:rsid w:val="009234B9"/>
    <w:rsid w:val="00923FA7"/>
    <w:rsid w:val="00941E2C"/>
    <w:rsid w:val="00947DE7"/>
    <w:rsid w:val="00957F83"/>
    <w:rsid w:val="009648A3"/>
    <w:rsid w:val="0098031D"/>
    <w:rsid w:val="009829C7"/>
    <w:rsid w:val="0099128B"/>
    <w:rsid w:val="00992438"/>
    <w:rsid w:val="00993947"/>
    <w:rsid w:val="009B06B8"/>
    <w:rsid w:val="009B0E89"/>
    <w:rsid w:val="009B52CC"/>
    <w:rsid w:val="009D6411"/>
    <w:rsid w:val="009E11A3"/>
    <w:rsid w:val="009E1A7B"/>
    <w:rsid w:val="009F00AB"/>
    <w:rsid w:val="00A001F8"/>
    <w:rsid w:val="00A0553C"/>
    <w:rsid w:val="00A1617C"/>
    <w:rsid w:val="00A2592E"/>
    <w:rsid w:val="00A34AF5"/>
    <w:rsid w:val="00A374E6"/>
    <w:rsid w:val="00A37B2D"/>
    <w:rsid w:val="00A51181"/>
    <w:rsid w:val="00A607A4"/>
    <w:rsid w:val="00A60AEF"/>
    <w:rsid w:val="00A641FB"/>
    <w:rsid w:val="00A767D4"/>
    <w:rsid w:val="00A7755E"/>
    <w:rsid w:val="00A7759C"/>
    <w:rsid w:val="00A82C5F"/>
    <w:rsid w:val="00A8341B"/>
    <w:rsid w:val="00A90EC7"/>
    <w:rsid w:val="00A91C76"/>
    <w:rsid w:val="00AC0959"/>
    <w:rsid w:val="00AD039E"/>
    <w:rsid w:val="00AD0F41"/>
    <w:rsid w:val="00AE4E56"/>
    <w:rsid w:val="00AF0224"/>
    <w:rsid w:val="00AF7C3D"/>
    <w:rsid w:val="00AF7F31"/>
    <w:rsid w:val="00B0652E"/>
    <w:rsid w:val="00B07A7E"/>
    <w:rsid w:val="00B241D3"/>
    <w:rsid w:val="00B27C5C"/>
    <w:rsid w:val="00B352B6"/>
    <w:rsid w:val="00B37C8E"/>
    <w:rsid w:val="00B37D1E"/>
    <w:rsid w:val="00B504EB"/>
    <w:rsid w:val="00B54BB7"/>
    <w:rsid w:val="00B54D2F"/>
    <w:rsid w:val="00B65713"/>
    <w:rsid w:val="00B7542F"/>
    <w:rsid w:val="00BA1952"/>
    <w:rsid w:val="00BA1A55"/>
    <w:rsid w:val="00BA78D9"/>
    <w:rsid w:val="00BD0516"/>
    <w:rsid w:val="00BD096D"/>
    <w:rsid w:val="00BD2277"/>
    <w:rsid w:val="00C140EC"/>
    <w:rsid w:val="00C17D24"/>
    <w:rsid w:val="00C25E7A"/>
    <w:rsid w:val="00C44A3A"/>
    <w:rsid w:val="00C50940"/>
    <w:rsid w:val="00C52AF1"/>
    <w:rsid w:val="00C56033"/>
    <w:rsid w:val="00C65777"/>
    <w:rsid w:val="00C66E2E"/>
    <w:rsid w:val="00C73448"/>
    <w:rsid w:val="00C84344"/>
    <w:rsid w:val="00CB7B99"/>
    <w:rsid w:val="00CC384A"/>
    <w:rsid w:val="00CD4E73"/>
    <w:rsid w:val="00CD74DE"/>
    <w:rsid w:val="00CF19F9"/>
    <w:rsid w:val="00CF6EB7"/>
    <w:rsid w:val="00D13A50"/>
    <w:rsid w:val="00D1672D"/>
    <w:rsid w:val="00D239AB"/>
    <w:rsid w:val="00D25FC2"/>
    <w:rsid w:val="00D336F2"/>
    <w:rsid w:val="00D35953"/>
    <w:rsid w:val="00D35C2F"/>
    <w:rsid w:val="00D56E9D"/>
    <w:rsid w:val="00D66034"/>
    <w:rsid w:val="00D70F87"/>
    <w:rsid w:val="00D80003"/>
    <w:rsid w:val="00D87A9B"/>
    <w:rsid w:val="00DA1244"/>
    <w:rsid w:val="00DA214C"/>
    <w:rsid w:val="00DA75A1"/>
    <w:rsid w:val="00DB0AE8"/>
    <w:rsid w:val="00DC3BE2"/>
    <w:rsid w:val="00DC6C00"/>
    <w:rsid w:val="00DD2324"/>
    <w:rsid w:val="00DD4F16"/>
    <w:rsid w:val="00DF0471"/>
    <w:rsid w:val="00DF4543"/>
    <w:rsid w:val="00DF7207"/>
    <w:rsid w:val="00DF77E6"/>
    <w:rsid w:val="00E02D30"/>
    <w:rsid w:val="00E0677D"/>
    <w:rsid w:val="00E109A7"/>
    <w:rsid w:val="00E11054"/>
    <w:rsid w:val="00E1547C"/>
    <w:rsid w:val="00E40C1C"/>
    <w:rsid w:val="00E44458"/>
    <w:rsid w:val="00E50677"/>
    <w:rsid w:val="00E52047"/>
    <w:rsid w:val="00E62974"/>
    <w:rsid w:val="00E763EC"/>
    <w:rsid w:val="00E81BEF"/>
    <w:rsid w:val="00E84B35"/>
    <w:rsid w:val="00E906D5"/>
    <w:rsid w:val="00EC6CF7"/>
    <w:rsid w:val="00EF2C4F"/>
    <w:rsid w:val="00F006DC"/>
    <w:rsid w:val="00F069B6"/>
    <w:rsid w:val="00F24EE3"/>
    <w:rsid w:val="00F30B51"/>
    <w:rsid w:val="00F46166"/>
    <w:rsid w:val="00F54E81"/>
    <w:rsid w:val="00F564A0"/>
    <w:rsid w:val="00F60C0E"/>
    <w:rsid w:val="00F733B4"/>
    <w:rsid w:val="00F737B7"/>
    <w:rsid w:val="00F77FD2"/>
    <w:rsid w:val="00F82D1E"/>
    <w:rsid w:val="00F83012"/>
    <w:rsid w:val="00F83D23"/>
    <w:rsid w:val="00F85525"/>
    <w:rsid w:val="00F934AD"/>
    <w:rsid w:val="00F96DAA"/>
    <w:rsid w:val="00FA3967"/>
    <w:rsid w:val="00FB5EE6"/>
    <w:rsid w:val="00FC29B2"/>
    <w:rsid w:val="00FC51E6"/>
    <w:rsid w:val="00FD03A8"/>
    <w:rsid w:val="00FD3B33"/>
    <w:rsid w:val="00FD68D8"/>
    <w:rsid w:val="00FF321C"/>
    <w:rsid w:val="01A87AFF"/>
    <w:rsid w:val="01AC619B"/>
    <w:rsid w:val="02BB6852"/>
    <w:rsid w:val="031418F0"/>
    <w:rsid w:val="03536EC3"/>
    <w:rsid w:val="03681C3C"/>
    <w:rsid w:val="037B54CB"/>
    <w:rsid w:val="043B10FF"/>
    <w:rsid w:val="046425BE"/>
    <w:rsid w:val="04785EAF"/>
    <w:rsid w:val="04D806FC"/>
    <w:rsid w:val="04F66000"/>
    <w:rsid w:val="05446477"/>
    <w:rsid w:val="05942874"/>
    <w:rsid w:val="06293733"/>
    <w:rsid w:val="068C65AB"/>
    <w:rsid w:val="06C4775E"/>
    <w:rsid w:val="073360BD"/>
    <w:rsid w:val="07397B77"/>
    <w:rsid w:val="074262C5"/>
    <w:rsid w:val="07697D31"/>
    <w:rsid w:val="079923C4"/>
    <w:rsid w:val="07A019A5"/>
    <w:rsid w:val="07A174CB"/>
    <w:rsid w:val="07C30AFD"/>
    <w:rsid w:val="07F7533D"/>
    <w:rsid w:val="08057A5A"/>
    <w:rsid w:val="082A74C0"/>
    <w:rsid w:val="08986B20"/>
    <w:rsid w:val="08A74FB5"/>
    <w:rsid w:val="08C16076"/>
    <w:rsid w:val="08F24482"/>
    <w:rsid w:val="09075A53"/>
    <w:rsid w:val="091C4F8C"/>
    <w:rsid w:val="09436A8B"/>
    <w:rsid w:val="0973209F"/>
    <w:rsid w:val="098827C8"/>
    <w:rsid w:val="0A474359"/>
    <w:rsid w:val="0A6B58A5"/>
    <w:rsid w:val="0AB3379D"/>
    <w:rsid w:val="0B0D1E69"/>
    <w:rsid w:val="0B884C29"/>
    <w:rsid w:val="0C831895"/>
    <w:rsid w:val="0CC02A05"/>
    <w:rsid w:val="0CC5375D"/>
    <w:rsid w:val="0CDD0FA5"/>
    <w:rsid w:val="0CF46A23"/>
    <w:rsid w:val="0D662534"/>
    <w:rsid w:val="0D763030"/>
    <w:rsid w:val="0D8C0298"/>
    <w:rsid w:val="0DAB40F0"/>
    <w:rsid w:val="0DCB0A0E"/>
    <w:rsid w:val="0E1D789D"/>
    <w:rsid w:val="0E2D3866"/>
    <w:rsid w:val="0E682AF0"/>
    <w:rsid w:val="0EC202DE"/>
    <w:rsid w:val="0F1D392A"/>
    <w:rsid w:val="0F5355AE"/>
    <w:rsid w:val="0F696B20"/>
    <w:rsid w:val="0FB5289B"/>
    <w:rsid w:val="0FBB2F4F"/>
    <w:rsid w:val="0FCE0E92"/>
    <w:rsid w:val="11AB1672"/>
    <w:rsid w:val="11B00A36"/>
    <w:rsid w:val="11DF30C9"/>
    <w:rsid w:val="12906AB9"/>
    <w:rsid w:val="12B27644"/>
    <w:rsid w:val="130D1EB8"/>
    <w:rsid w:val="13631D30"/>
    <w:rsid w:val="13D529D6"/>
    <w:rsid w:val="141F555F"/>
    <w:rsid w:val="150A2B53"/>
    <w:rsid w:val="15DB2014"/>
    <w:rsid w:val="15DB629E"/>
    <w:rsid w:val="16337E88"/>
    <w:rsid w:val="163D2AB4"/>
    <w:rsid w:val="16565924"/>
    <w:rsid w:val="165A3666"/>
    <w:rsid w:val="16836428"/>
    <w:rsid w:val="16AE750E"/>
    <w:rsid w:val="173043C7"/>
    <w:rsid w:val="17B9468F"/>
    <w:rsid w:val="17D226D6"/>
    <w:rsid w:val="17D82A95"/>
    <w:rsid w:val="18D55226"/>
    <w:rsid w:val="18DE3F5F"/>
    <w:rsid w:val="194D300E"/>
    <w:rsid w:val="19BD0194"/>
    <w:rsid w:val="19FE21FC"/>
    <w:rsid w:val="1A3C637F"/>
    <w:rsid w:val="1AFF47DC"/>
    <w:rsid w:val="1B2B3823"/>
    <w:rsid w:val="1B3E5305"/>
    <w:rsid w:val="1B733202"/>
    <w:rsid w:val="1B8371BB"/>
    <w:rsid w:val="1C3B2397"/>
    <w:rsid w:val="1C664547"/>
    <w:rsid w:val="1C6C5EA1"/>
    <w:rsid w:val="1CD51C99"/>
    <w:rsid w:val="1D3A5FA0"/>
    <w:rsid w:val="1D533C1F"/>
    <w:rsid w:val="1E18008F"/>
    <w:rsid w:val="1E182ECA"/>
    <w:rsid w:val="1EA062D6"/>
    <w:rsid w:val="1EA336D1"/>
    <w:rsid w:val="1EB17343"/>
    <w:rsid w:val="1F6E1F30"/>
    <w:rsid w:val="1F8A78EA"/>
    <w:rsid w:val="20601879"/>
    <w:rsid w:val="20BB0071"/>
    <w:rsid w:val="20DF30E6"/>
    <w:rsid w:val="20F84E09"/>
    <w:rsid w:val="211C2557"/>
    <w:rsid w:val="21333432"/>
    <w:rsid w:val="21B84BEB"/>
    <w:rsid w:val="22205764"/>
    <w:rsid w:val="22917AEB"/>
    <w:rsid w:val="2305495A"/>
    <w:rsid w:val="23137077"/>
    <w:rsid w:val="23AE6D9F"/>
    <w:rsid w:val="23B31F24"/>
    <w:rsid w:val="23C73B1B"/>
    <w:rsid w:val="23CD7676"/>
    <w:rsid w:val="24961D0D"/>
    <w:rsid w:val="25407ECB"/>
    <w:rsid w:val="259734E4"/>
    <w:rsid w:val="25A4045A"/>
    <w:rsid w:val="25FD7B6A"/>
    <w:rsid w:val="262D3FA9"/>
    <w:rsid w:val="262E03B6"/>
    <w:rsid w:val="26493BE3"/>
    <w:rsid w:val="26527EB6"/>
    <w:rsid w:val="266F2816"/>
    <w:rsid w:val="267B7D64"/>
    <w:rsid w:val="269D41C7"/>
    <w:rsid w:val="26A5448A"/>
    <w:rsid w:val="26AB5818"/>
    <w:rsid w:val="26C64400"/>
    <w:rsid w:val="26ED0DC9"/>
    <w:rsid w:val="27092D0A"/>
    <w:rsid w:val="27930786"/>
    <w:rsid w:val="279A0157"/>
    <w:rsid w:val="28172612"/>
    <w:rsid w:val="289B0BA8"/>
    <w:rsid w:val="28E6709C"/>
    <w:rsid w:val="29254939"/>
    <w:rsid w:val="29785E86"/>
    <w:rsid w:val="29946A38"/>
    <w:rsid w:val="29CF181E"/>
    <w:rsid w:val="29EC3DAC"/>
    <w:rsid w:val="2A010E51"/>
    <w:rsid w:val="2A264090"/>
    <w:rsid w:val="2A355B25"/>
    <w:rsid w:val="2A5C7555"/>
    <w:rsid w:val="2A62278A"/>
    <w:rsid w:val="2A6C52BE"/>
    <w:rsid w:val="2A8F3DB3"/>
    <w:rsid w:val="2B520958"/>
    <w:rsid w:val="2B6F28F5"/>
    <w:rsid w:val="2B6F55CF"/>
    <w:rsid w:val="2BD466CA"/>
    <w:rsid w:val="2BE02C40"/>
    <w:rsid w:val="2BEB6DE3"/>
    <w:rsid w:val="2C043A01"/>
    <w:rsid w:val="2C531232"/>
    <w:rsid w:val="2CA07839"/>
    <w:rsid w:val="2D047A30"/>
    <w:rsid w:val="2D2D6F87"/>
    <w:rsid w:val="2DA76D39"/>
    <w:rsid w:val="2DEC6DA9"/>
    <w:rsid w:val="2E05033D"/>
    <w:rsid w:val="2E2C5491"/>
    <w:rsid w:val="2E8059FB"/>
    <w:rsid w:val="2E9D1A0C"/>
    <w:rsid w:val="2F430CE4"/>
    <w:rsid w:val="2F5C0D51"/>
    <w:rsid w:val="2FDA77E1"/>
    <w:rsid w:val="300D72CC"/>
    <w:rsid w:val="30405223"/>
    <w:rsid w:val="30B978AD"/>
    <w:rsid w:val="31081922"/>
    <w:rsid w:val="314174A5"/>
    <w:rsid w:val="31464ABB"/>
    <w:rsid w:val="3154611C"/>
    <w:rsid w:val="318E3088"/>
    <w:rsid w:val="31A11CF2"/>
    <w:rsid w:val="31BD23A5"/>
    <w:rsid w:val="31CD6F8B"/>
    <w:rsid w:val="323E5792"/>
    <w:rsid w:val="32496611"/>
    <w:rsid w:val="32B02AEC"/>
    <w:rsid w:val="332E1CAB"/>
    <w:rsid w:val="337726A7"/>
    <w:rsid w:val="338D077F"/>
    <w:rsid w:val="33C30645"/>
    <w:rsid w:val="34044EE1"/>
    <w:rsid w:val="34207846"/>
    <w:rsid w:val="35BC359E"/>
    <w:rsid w:val="35FB603C"/>
    <w:rsid w:val="362115CD"/>
    <w:rsid w:val="365E4F6F"/>
    <w:rsid w:val="36D6243D"/>
    <w:rsid w:val="3747259D"/>
    <w:rsid w:val="375A659B"/>
    <w:rsid w:val="37620175"/>
    <w:rsid w:val="37950099"/>
    <w:rsid w:val="379D2F5B"/>
    <w:rsid w:val="37AE4A52"/>
    <w:rsid w:val="38C40AA6"/>
    <w:rsid w:val="38DB60E6"/>
    <w:rsid w:val="39194863"/>
    <w:rsid w:val="39740540"/>
    <w:rsid w:val="39822409"/>
    <w:rsid w:val="3A045513"/>
    <w:rsid w:val="3A3C4CAD"/>
    <w:rsid w:val="3A576901"/>
    <w:rsid w:val="3A663AD8"/>
    <w:rsid w:val="3B017004"/>
    <w:rsid w:val="3B3140E6"/>
    <w:rsid w:val="3B5953EB"/>
    <w:rsid w:val="3BDC04F6"/>
    <w:rsid w:val="3BF764BC"/>
    <w:rsid w:val="3C522566"/>
    <w:rsid w:val="3C7624CD"/>
    <w:rsid w:val="3CC1149A"/>
    <w:rsid w:val="3D032B65"/>
    <w:rsid w:val="3D7C3859"/>
    <w:rsid w:val="3EE80F60"/>
    <w:rsid w:val="3F073ADC"/>
    <w:rsid w:val="3F43088C"/>
    <w:rsid w:val="4027003D"/>
    <w:rsid w:val="40642868"/>
    <w:rsid w:val="40793110"/>
    <w:rsid w:val="40D4373D"/>
    <w:rsid w:val="40D5502B"/>
    <w:rsid w:val="41A53138"/>
    <w:rsid w:val="41AB4B00"/>
    <w:rsid w:val="41EA3241"/>
    <w:rsid w:val="425D1C65"/>
    <w:rsid w:val="4262727B"/>
    <w:rsid w:val="42674EE5"/>
    <w:rsid w:val="42D42037"/>
    <w:rsid w:val="42DC0504"/>
    <w:rsid w:val="42E303BC"/>
    <w:rsid w:val="43616E7D"/>
    <w:rsid w:val="43747266"/>
    <w:rsid w:val="438F661B"/>
    <w:rsid w:val="439518B3"/>
    <w:rsid w:val="43B458B4"/>
    <w:rsid w:val="446F063A"/>
    <w:rsid w:val="44B6499C"/>
    <w:rsid w:val="4542345E"/>
    <w:rsid w:val="45570BED"/>
    <w:rsid w:val="45765089"/>
    <w:rsid w:val="45AA51C1"/>
    <w:rsid w:val="461F178B"/>
    <w:rsid w:val="462036D5"/>
    <w:rsid w:val="46C24BA5"/>
    <w:rsid w:val="474A3B9E"/>
    <w:rsid w:val="47C003E5"/>
    <w:rsid w:val="47CC58C3"/>
    <w:rsid w:val="483671E0"/>
    <w:rsid w:val="4848391D"/>
    <w:rsid w:val="48BB1493"/>
    <w:rsid w:val="48D16F09"/>
    <w:rsid w:val="48EF7956"/>
    <w:rsid w:val="4A8F0E29"/>
    <w:rsid w:val="4AD056CA"/>
    <w:rsid w:val="4B4B1FAE"/>
    <w:rsid w:val="4BB62FE7"/>
    <w:rsid w:val="4BC87E8A"/>
    <w:rsid w:val="4C97785C"/>
    <w:rsid w:val="4CA67C81"/>
    <w:rsid w:val="4CEA7E6E"/>
    <w:rsid w:val="4D151ABA"/>
    <w:rsid w:val="4D461C73"/>
    <w:rsid w:val="4E345F70"/>
    <w:rsid w:val="4E946A0E"/>
    <w:rsid w:val="4ECF65DB"/>
    <w:rsid w:val="4EDD2163"/>
    <w:rsid w:val="4F1F277C"/>
    <w:rsid w:val="4FB355BA"/>
    <w:rsid w:val="503404A9"/>
    <w:rsid w:val="50504A55"/>
    <w:rsid w:val="50874A7C"/>
    <w:rsid w:val="50A607F3"/>
    <w:rsid w:val="50B11AF9"/>
    <w:rsid w:val="50D86F9C"/>
    <w:rsid w:val="50EF2A97"/>
    <w:rsid w:val="511856D5"/>
    <w:rsid w:val="51256932"/>
    <w:rsid w:val="51A74EF3"/>
    <w:rsid w:val="523F3135"/>
    <w:rsid w:val="526D18EF"/>
    <w:rsid w:val="52913E6A"/>
    <w:rsid w:val="529C5288"/>
    <w:rsid w:val="529F6FA1"/>
    <w:rsid w:val="52A95399"/>
    <w:rsid w:val="53797153"/>
    <w:rsid w:val="541C54DC"/>
    <w:rsid w:val="548A4FF6"/>
    <w:rsid w:val="54C448CE"/>
    <w:rsid w:val="54E3249D"/>
    <w:rsid w:val="551663CF"/>
    <w:rsid w:val="5520724E"/>
    <w:rsid w:val="5578402A"/>
    <w:rsid w:val="559612BE"/>
    <w:rsid w:val="55B0580B"/>
    <w:rsid w:val="55E26BF6"/>
    <w:rsid w:val="568357E0"/>
    <w:rsid w:val="56C02A96"/>
    <w:rsid w:val="56FE536D"/>
    <w:rsid w:val="57396CFC"/>
    <w:rsid w:val="57824451"/>
    <w:rsid w:val="581035A9"/>
    <w:rsid w:val="584063F0"/>
    <w:rsid w:val="58F85DEC"/>
    <w:rsid w:val="59013441"/>
    <w:rsid w:val="5909268A"/>
    <w:rsid w:val="59193CBA"/>
    <w:rsid w:val="59853B23"/>
    <w:rsid w:val="5A2E0922"/>
    <w:rsid w:val="5A5B12B5"/>
    <w:rsid w:val="5A997C79"/>
    <w:rsid w:val="5AD7215D"/>
    <w:rsid w:val="5ADB40AE"/>
    <w:rsid w:val="5B0647F0"/>
    <w:rsid w:val="5B19266E"/>
    <w:rsid w:val="5B8B1199"/>
    <w:rsid w:val="5BB04C2C"/>
    <w:rsid w:val="5BC53F6F"/>
    <w:rsid w:val="5C2313D1"/>
    <w:rsid w:val="5C867FAD"/>
    <w:rsid w:val="5D4810F0"/>
    <w:rsid w:val="5D647EF4"/>
    <w:rsid w:val="5E197728"/>
    <w:rsid w:val="5E4E6523"/>
    <w:rsid w:val="5F313E05"/>
    <w:rsid w:val="5F4B4EC7"/>
    <w:rsid w:val="5FBC2EAC"/>
    <w:rsid w:val="5FC609F2"/>
    <w:rsid w:val="5FC77BFC"/>
    <w:rsid w:val="60092CBB"/>
    <w:rsid w:val="606A72E3"/>
    <w:rsid w:val="61355C29"/>
    <w:rsid w:val="614147D4"/>
    <w:rsid w:val="618525F4"/>
    <w:rsid w:val="61B52BB6"/>
    <w:rsid w:val="61E909C7"/>
    <w:rsid w:val="61F665F1"/>
    <w:rsid w:val="622F287E"/>
    <w:rsid w:val="624A590A"/>
    <w:rsid w:val="6256605D"/>
    <w:rsid w:val="62681703"/>
    <w:rsid w:val="62B72874"/>
    <w:rsid w:val="62C31A1B"/>
    <w:rsid w:val="62F810E9"/>
    <w:rsid w:val="63204010"/>
    <w:rsid w:val="63442359"/>
    <w:rsid w:val="635822A8"/>
    <w:rsid w:val="63F7386F"/>
    <w:rsid w:val="64124205"/>
    <w:rsid w:val="648D1ADE"/>
    <w:rsid w:val="64E8140A"/>
    <w:rsid w:val="651A2071"/>
    <w:rsid w:val="660202AA"/>
    <w:rsid w:val="66546D57"/>
    <w:rsid w:val="665713CF"/>
    <w:rsid w:val="66FE4F15"/>
    <w:rsid w:val="67277FC8"/>
    <w:rsid w:val="67535261"/>
    <w:rsid w:val="677956E9"/>
    <w:rsid w:val="67952A23"/>
    <w:rsid w:val="67A54D96"/>
    <w:rsid w:val="68843049"/>
    <w:rsid w:val="68905759"/>
    <w:rsid w:val="68EB3277"/>
    <w:rsid w:val="693966D8"/>
    <w:rsid w:val="69450B30"/>
    <w:rsid w:val="695D5F23"/>
    <w:rsid w:val="698A0CE2"/>
    <w:rsid w:val="698E7C07"/>
    <w:rsid w:val="699C2263"/>
    <w:rsid w:val="69FC44B0"/>
    <w:rsid w:val="6A221CCC"/>
    <w:rsid w:val="6AA12AE5"/>
    <w:rsid w:val="6B457299"/>
    <w:rsid w:val="6B713F07"/>
    <w:rsid w:val="6B924C11"/>
    <w:rsid w:val="6BF50006"/>
    <w:rsid w:val="6C3D64DF"/>
    <w:rsid w:val="6CA634AC"/>
    <w:rsid w:val="6CD90324"/>
    <w:rsid w:val="6CEE3336"/>
    <w:rsid w:val="6D257B8B"/>
    <w:rsid w:val="6DE035C6"/>
    <w:rsid w:val="6DEF3809"/>
    <w:rsid w:val="6E0A777F"/>
    <w:rsid w:val="6E0E1190"/>
    <w:rsid w:val="6E427DDD"/>
    <w:rsid w:val="6E527FB0"/>
    <w:rsid w:val="6EC439C2"/>
    <w:rsid w:val="6EE60768"/>
    <w:rsid w:val="6F135C71"/>
    <w:rsid w:val="6F1572A0"/>
    <w:rsid w:val="6F1D0EF1"/>
    <w:rsid w:val="6F467459"/>
    <w:rsid w:val="6F80296B"/>
    <w:rsid w:val="6FCF744E"/>
    <w:rsid w:val="6FFB1610"/>
    <w:rsid w:val="700A0487"/>
    <w:rsid w:val="70FA6D46"/>
    <w:rsid w:val="71213CDA"/>
    <w:rsid w:val="716B31A7"/>
    <w:rsid w:val="717643E7"/>
    <w:rsid w:val="726273B2"/>
    <w:rsid w:val="72802C82"/>
    <w:rsid w:val="72835DCF"/>
    <w:rsid w:val="72897D89"/>
    <w:rsid w:val="72E2393D"/>
    <w:rsid w:val="72E707EF"/>
    <w:rsid w:val="730B69EF"/>
    <w:rsid w:val="733C6F85"/>
    <w:rsid w:val="738238D4"/>
    <w:rsid w:val="73D9089C"/>
    <w:rsid w:val="7488443F"/>
    <w:rsid w:val="74B9247B"/>
    <w:rsid w:val="75151DA7"/>
    <w:rsid w:val="755F4997"/>
    <w:rsid w:val="765468FF"/>
    <w:rsid w:val="76634D94"/>
    <w:rsid w:val="768F7AF6"/>
    <w:rsid w:val="76D4314C"/>
    <w:rsid w:val="76F31C74"/>
    <w:rsid w:val="77212C85"/>
    <w:rsid w:val="7744462F"/>
    <w:rsid w:val="77470212"/>
    <w:rsid w:val="7761127E"/>
    <w:rsid w:val="77794C6D"/>
    <w:rsid w:val="781A76D5"/>
    <w:rsid w:val="781D71EE"/>
    <w:rsid w:val="78686692"/>
    <w:rsid w:val="78FD327E"/>
    <w:rsid w:val="79652BD2"/>
    <w:rsid w:val="798E588D"/>
    <w:rsid w:val="7A066163"/>
    <w:rsid w:val="7A2605B3"/>
    <w:rsid w:val="7B0D7956"/>
    <w:rsid w:val="7B742C9F"/>
    <w:rsid w:val="7BEE6EAE"/>
    <w:rsid w:val="7BF5648F"/>
    <w:rsid w:val="7BF62924"/>
    <w:rsid w:val="7C6210BC"/>
    <w:rsid w:val="7C7750F6"/>
    <w:rsid w:val="7C977546"/>
    <w:rsid w:val="7D690EE2"/>
    <w:rsid w:val="7DC9372F"/>
    <w:rsid w:val="7DDD0F99"/>
    <w:rsid w:val="7DFD162B"/>
    <w:rsid w:val="7E880E0B"/>
    <w:rsid w:val="7ED625A7"/>
    <w:rsid w:val="7F4C0323"/>
    <w:rsid w:val="7F4C4618"/>
    <w:rsid w:val="7F92054D"/>
    <w:rsid w:val="7F9B4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kern w:val="2"/>
      <w:sz w:val="18"/>
      <w:szCs w:val="18"/>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1">
    <w:name w:val="批注框文本 字符"/>
    <w:basedOn w:val="7"/>
    <w:link w:val="2"/>
    <w:semiHidden/>
    <w:qFormat/>
    <w:uiPriority w:val="99"/>
    <w:rPr>
      <w:rFonts w:ascii="Times New Roman" w:hAnsi="Times New Roman"/>
      <w:kern w:val="2"/>
      <w:sz w:val="18"/>
      <w:szCs w:val="18"/>
    </w:rPr>
  </w:style>
  <w:style w:type="paragraph" w:customStyle="1" w:styleId="1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3391</Words>
  <Characters>3539</Characters>
  <Lines>1</Lines>
  <Paragraphs>1</Paragraphs>
  <TotalTime>521</TotalTime>
  <ScaleCrop>false</ScaleCrop>
  <LinksUpToDate>false</LinksUpToDate>
  <CharactersWithSpaces>3655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2023-09-22T00:44:00Z</dcterms:created>
  <dc:creator>pc</dc:creator>
  <cp:lastModifiedBy>WZ</cp:lastModifiedBy>
  <cp:lastPrinted>2017-11-06T02:12:00Z</cp:lastPrinted>
  <dcterms:modified xsi:type="dcterms:W3CDTF">2025-08-25T09:02:17Z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0F8B9BFDE05D4B62967F67DD66F7EAE7</vt:lpwstr>
  </property>
  <property fmtid="{D5CDD505-2E9C-101B-9397-08002B2CF9AE}" pid="4" name="KSOTemplateDocerSaveRecord">
    <vt:lpwstr>eyJoZGlkIjoiZmJlNTRkODU4Mzc2YjVhMzdlN2ZiN2EyZjE2YWUxN2EiLCJ1c2VySWQiOiI0MTgwNTk0NTEifQ==</vt:lpwstr>
  </property>
</Properties>
</file>