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D76A5" w14:textId="77777777" w:rsidR="00092BD3" w:rsidRDefault="00E34479">
      <w:pPr>
        <w:spacing w:line="360" w:lineRule="auto"/>
        <w:jc w:val="center"/>
        <w:rPr>
          <w:rFonts w:ascii="宋体" w:eastAsia="宋体" w:hAnsi="宋体" w:cs="宋体"/>
          <w:b/>
          <w:bCs/>
          <w:sz w:val="36"/>
          <w:szCs w:val="36"/>
        </w:rPr>
      </w:pPr>
      <w:r>
        <w:rPr>
          <w:rFonts w:ascii="宋体" w:eastAsia="宋体" w:hAnsi="宋体" w:cs="宋体" w:hint="eastAsia"/>
          <w:b/>
          <w:bCs/>
          <w:sz w:val="36"/>
          <w:szCs w:val="36"/>
        </w:rPr>
        <w:t>宁波美诺华药业股份有限公司</w:t>
      </w:r>
    </w:p>
    <w:p w14:paraId="7262E645" w14:textId="77777777" w:rsidR="00092BD3" w:rsidRDefault="00E34479">
      <w:pPr>
        <w:spacing w:line="360" w:lineRule="auto"/>
        <w:jc w:val="center"/>
        <w:rPr>
          <w:rFonts w:ascii="宋体" w:eastAsia="宋体" w:hAnsi="宋体" w:cs="宋体"/>
          <w:sz w:val="36"/>
          <w:szCs w:val="36"/>
        </w:rPr>
      </w:pPr>
      <w:r>
        <w:rPr>
          <w:rFonts w:ascii="宋体" w:eastAsia="宋体" w:hAnsi="宋体" w:cs="宋体" w:hint="eastAsia"/>
          <w:b/>
          <w:bCs/>
          <w:sz w:val="36"/>
          <w:szCs w:val="36"/>
        </w:rPr>
        <w:t>投资者关系活动记录表</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7"/>
        <w:gridCol w:w="6148"/>
      </w:tblGrid>
      <w:tr w:rsidR="00092BD3" w14:paraId="1233867C" w14:textId="77777777">
        <w:trPr>
          <w:trHeight w:val="2801"/>
          <w:jc w:val="center"/>
        </w:trPr>
        <w:tc>
          <w:tcPr>
            <w:tcW w:w="2377" w:type="dxa"/>
            <w:vAlign w:val="center"/>
          </w:tcPr>
          <w:p w14:paraId="57E1CEF3" w14:textId="77777777" w:rsidR="00092BD3" w:rsidRDefault="00092BD3">
            <w:pPr>
              <w:pStyle w:val="TableParagraph"/>
              <w:spacing w:before="7"/>
              <w:rPr>
                <w:rFonts w:ascii="宋体" w:eastAsia="宋体" w:hAnsi="宋体" w:cs="宋体"/>
                <w:sz w:val="18"/>
              </w:rPr>
            </w:pPr>
          </w:p>
          <w:p w14:paraId="0CCD1FBD" w14:textId="77777777" w:rsidR="00092BD3" w:rsidRDefault="00E34479">
            <w:pPr>
              <w:pStyle w:val="TableParagraph"/>
              <w:spacing w:before="1"/>
              <w:ind w:left="107"/>
              <w:rPr>
                <w:rFonts w:ascii="宋体" w:eastAsia="宋体" w:hAnsi="宋体" w:cs="宋体"/>
                <w:sz w:val="21"/>
              </w:rPr>
            </w:pPr>
            <w:r>
              <w:rPr>
                <w:rFonts w:ascii="宋体" w:eastAsia="宋体" w:hAnsi="宋体" w:cs="宋体" w:hint="eastAsia"/>
                <w:sz w:val="21"/>
              </w:rPr>
              <w:t>投资者关系活动类别</w:t>
            </w:r>
          </w:p>
        </w:tc>
        <w:tc>
          <w:tcPr>
            <w:tcW w:w="6148" w:type="dxa"/>
            <w:vAlign w:val="center"/>
          </w:tcPr>
          <w:p w14:paraId="344758DF" w14:textId="77777777" w:rsidR="00092BD3" w:rsidRDefault="00092BD3">
            <w:pPr>
              <w:pStyle w:val="TableParagraph"/>
              <w:spacing w:before="7"/>
              <w:rPr>
                <w:rFonts w:ascii="宋体" w:eastAsia="宋体" w:hAnsi="宋体" w:cs="宋体"/>
                <w:sz w:val="18"/>
              </w:rPr>
            </w:pPr>
          </w:p>
          <w:p w14:paraId="30293A3B" w14:textId="77777777" w:rsidR="00092BD3" w:rsidRDefault="00E34479">
            <w:pPr>
              <w:pStyle w:val="TableParagraph"/>
              <w:tabs>
                <w:tab w:val="left" w:pos="2418"/>
              </w:tabs>
              <w:spacing w:before="1"/>
              <w:ind w:left="107"/>
              <w:rPr>
                <w:rFonts w:ascii="宋体" w:eastAsia="宋体" w:hAnsi="宋体" w:cs="宋体"/>
                <w:sz w:val="21"/>
              </w:rPr>
            </w:pPr>
            <w:r>
              <w:rPr>
                <w:rFonts w:ascii="宋体" w:eastAsia="宋体" w:hAnsi="宋体" w:cs="宋体" w:hint="eastAsia"/>
                <w:sz w:val="21"/>
              </w:rPr>
              <w:t>√特</w:t>
            </w:r>
            <w:r>
              <w:rPr>
                <w:rFonts w:ascii="宋体" w:eastAsia="宋体" w:hAnsi="宋体" w:cs="宋体" w:hint="eastAsia"/>
                <w:spacing w:val="-3"/>
                <w:sz w:val="21"/>
              </w:rPr>
              <w:t>定</w:t>
            </w:r>
            <w:r>
              <w:rPr>
                <w:rFonts w:ascii="宋体" w:eastAsia="宋体" w:hAnsi="宋体" w:cs="宋体" w:hint="eastAsia"/>
                <w:sz w:val="21"/>
              </w:rPr>
              <w:t>对</w:t>
            </w:r>
            <w:r>
              <w:rPr>
                <w:rFonts w:ascii="宋体" w:eastAsia="宋体" w:hAnsi="宋体" w:cs="宋体" w:hint="eastAsia"/>
                <w:spacing w:val="-3"/>
                <w:sz w:val="21"/>
              </w:rPr>
              <w:t>象</w:t>
            </w:r>
            <w:r>
              <w:rPr>
                <w:rFonts w:ascii="宋体" w:eastAsia="宋体" w:hAnsi="宋体" w:cs="宋体" w:hint="eastAsia"/>
                <w:sz w:val="21"/>
              </w:rPr>
              <w:t>调研</w:t>
            </w:r>
            <w:r>
              <w:rPr>
                <w:rFonts w:ascii="宋体" w:eastAsia="宋体" w:hAnsi="宋体" w:cs="宋体" w:hint="eastAsia"/>
                <w:sz w:val="21"/>
              </w:rPr>
              <w:tab/>
              <w:t>□分</w:t>
            </w:r>
            <w:r>
              <w:rPr>
                <w:rFonts w:ascii="宋体" w:eastAsia="宋体" w:hAnsi="宋体" w:cs="宋体" w:hint="eastAsia"/>
                <w:spacing w:val="-3"/>
                <w:sz w:val="21"/>
              </w:rPr>
              <w:t>析</w:t>
            </w:r>
            <w:r>
              <w:rPr>
                <w:rFonts w:ascii="宋体" w:eastAsia="宋体" w:hAnsi="宋体" w:cs="宋体" w:hint="eastAsia"/>
                <w:sz w:val="21"/>
              </w:rPr>
              <w:t>师</w:t>
            </w:r>
            <w:r>
              <w:rPr>
                <w:rFonts w:ascii="宋体" w:eastAsia="宋体" w:hAnsi="宋体" w:cs="宋体" w:hint="eastAsia"/>
                <w:spacing w:val="-3"/>
                <w:sz w:val="21"/>
              </w:rPr>
              <w:t>会</w:t>
            </w:r>
            <w:r>
              <w:rPr>
                <w:rFonts w:ascii="宋体" w:eastAsia="宋体" w:hAnsi="宋体" w:cs="宋体" w:hint="eastAsia"/>
                <w:sz w:val="21"/>
              </w:rPr>
              <w:t>议</w:t>
            </w:r>
          </w:p>
          <w:p w14:paraId="38ABAD65" w14:textId="77777777" w:rsidR="00092BD3" w:rsidRDefault="00092BD3">
            <w:pPr>
              <w:pStyle w:val="TableParagraph"/>
              <w:spacing w:before="11"/>
              <w:rPr>
                <w:rFonts w:ascii="宋体" w:eastAsia="宋体" w:hAnsi="宋体" w:cs="宋体"/>
              </w:rPr>
            </w:pPr>
          </w:p>
          <w:p w14:paraId="2D27CBDE" w14:textId="77777777" w:rsidR="00092BD3" w:rsidRDefault="00E34479">
            <w:pPr>
              <w:pStyle w:val="TableParagraph"/>
              <w:tabs>
                <w:tab w:val="left" w:pos="2418"/>
              </w:tabs>
              <w:ind w:left="107"/>
              <w:rPr>
                <w:rFonts w:ascii="宋体" w:eastAsia="宋体" w:hAnsi="宋体" w:cs="宋体"/>
                <w:sz w:val="21"/>
              </w:rPr>
            </w:pPr>
            <w:r>
              <w:rPr>
                <w:rFonts w:ascii="宋体" w:eastAsia="宋体" w:hAnsi="宋体" w:cs="宋体" w:hint="eastAsia"/>
                <w:sz w:val="21"/>
              </w:rPr>
              <w:t>□媒</w:t>
            </w:r>
            <w:r>
              <w:rPr>
                <w:rFonts w:ascii="宋体" w:eastAsia="宋体" w:hAnsi="宋体" w:cs="宋体" w:hint="eastAsia"/>
                <w:spacing w:val="-3"/>
                <w:sz w:val="21"/>
              </w:rPr>
              <w:t>体</w:t>
            </w:r>
            <w:r>
              <w:rPr>
                <w:rFonts w:ascii="宋体" w:eastAsia="宋体" w:hAnsi="宋体" w:cs="宋体" w:hint="eastAsia"/>
                <w:sz w:val="21"/>
              </w:rPr>
              <w:t>采访</w:t>
            </w:r>
            <w:r>
              <w:rPr>
                <w:rFonts w:ascii="宋体" w:eastAsia="宋体" w:hAnsi="宋体" w:cs="宋体" w:hint="eastAsia"/>
                <w:sz w:val="21"/>
              </w:rPr>
              <w:tab/>
              <w:t>□业</w:t>
            </w:r>
            <w:r>
              <w:rPr>
                <w:rFonts w:ascii="宋体" w:eastAsia="宋体" w:hAnsi="宋体" w:cs="宋体" w:hint="eastAsia"/>
                <w:spacing w:val="-3"/>
                <w:sz w:val="21"/>
              </w:rPr>
              <w:t>绩</w:t>
            </w:r>
            <w:r>
              <w:rPr>
                <w:rFonts w:ascii="宋体" w:eastAsia="宋体" w:hAnsi="宋体" w:cs="宋体" w:hint="eastAsia"/>
                <w:sz w:val="21"/>
              </w:rPr>
              <w:t>说</w:t>
            </w:r>
            <w:r>
              <w:rPr>
                <w:rFonts w:ascii="宋体" w:eastAsia="宋体" w:hAnsi="宋体" w:cs="宋体" w:hint="eastAsia"/>
                <w:spacing w:val="-3"/>
                <w:sz w:val="21"/>
              </w:rPr>
              <w:t>明</w:t>
            </w:r>
            <w:r>
              <w:rPr>
                <w:rFonts w:ascii="宋体" w:eastAsia="宋体" w:hAnsi="宋体" w:cs="宋体" w:hint="eastAsia"/>
                <w:sz w:val="21"/>
              </w:rPr>
              <w:t>会</w:t>
            </w:r>
          </w:p>
          <w:p w14:paraId="6AC4C4C2" w14:textId="77777777" w:rsidR="00092BD3" w:rsidRDefault="00092BD3">
            <w:pPr>
              <w:pStyle w:val="TableParagraph"/>
              <w:spacing w:before="8"/>
              <w:rPr>
                <w:rFonts w:ascii="宋体" w:eastAsia="宋体" w:hAnsi="宋体" w:cs="宋体"/>
              </w:rPr>
            </w:pPr>
          </w:p>
          <w:p w14:paraId="19BD40C3" w14:textId="77777777" w:rsidR="00092BD3" w:rsidRDefault="00E34479">
            <w:pPr>
              <w:pStyle w:val="TableParagraph"/>
              <w:tabs>
                <w:tab w:val="left" w:pos="2418"/>
              </w:tabs>
              <w:ind w:left="107"/>
              <w:rPr>
                <w:rFonts w:ascii="宋体" w:eastAsia="宋体" w:hAnsi="宋体" w:cs="宋体"/>
                <w:sz w:val="21"/>
              </w:rPr>
            </w:pPr>
            <w:r>
              <w:rPr>
                <w:rFonts w:ascii="宋体" w:eastAsia="宋体" w:hAnsi="宋体" w:cs="宋体" w:hint="eastAsia"/>
                <w:sz w:val="21"/>
              </w:rPr>
              <w:t>□新</w:t>
            </w:r>
            <w:r>
              <w:rPr>
                <w:rFonts w:ascii="宋体" w:eastAsia="宋体" w:hAnsi="宋体" w:cs="宋体" w:hint="eastAsia"/>
                <w:spacing w:val="-3"/>
                <w:sz w:val="21"/>
              </w:rPr>
              <w:t>闻</w:t>
            </w:r>
            <w:r>
              <w:rPr>
                <w:rFonts w:ascii="宋体" w:eastAsia="宋体" w:hAnsi="宋体" w:cs="宋体" w:hint="eastAsia"/>
                <w:sz w:val="21"/>
              </w:rPr>
              <w:t>发</w:t>
            </w:r>
            <w:r>
              <w:rPr>
                <w:rFonts w:ascii="宋体" w:eastAsia="宋体" w:hAnsi="宋体" w:cs="宋体" w:hint="eastAsia"/>
                <w:spacing w:val="-3"/>
                <w:sz w:val="21"/>
              </w:rPr>
              <w:t>布</w:t>
            </w:r>
            <w:r>
              <w:rPr>
                <w:rFonts w:ascii="宋体" w:eastAsia="宋体" w:hAnsi="宋体" w:cs="宋体" w:hint="eastAsia"/>
                <w:sz w:val="21"/>
              </w:rPr>
              <w:t>会</w:t>
            </w:r>
            <w:r>
              <w:rPr>
                <w:rFonts w:ascii="宋体" w:eastAsia="宋体" w:hAnsi="宋体" w:cs="宋体" w:hint="eastAsia"/>
                <w:sz w:val="21"/>
              </w:rPr>
              <w:tab/>
              <w:t>□路</w:t>
            </w:r>
            <w:r>
              <w:rPr>
                <w:rFonts w:ascii="宋体" w:eastAsia="宋体" w:hAnsi="宋体" w:cs="宋体" w:hint="eastAsia"/>
                <w:spacing w:val="-3"/>
                <w:sz w:val="21"/>
              </w:rPr>
              <w:t>演</w:t>
            </w:r>
            <w:r>
              <w:rPr>
                <w:rFonts w:ascii="宋体" w:eastAsia="宋体" w:hAnsi="宋体" w:cs="宋体" w:hint="eastAsia"/>
                <w:sz w:val="21"/>
              </w:rPr>
              <w:t>活动</w:t>
            </w:r>
          </w:p>
          <w:p w14:paraId="0C6A3D1A" w14:textId="77777777" w:rsidR="00092BD3" w:rsidRDefault="00092BD3">
            <w:pPr>
              <w:pStyle w:val="TableParagraph"/>
              <w:spacing w:before="8"/>
              <w:rPr>
                <w:rFonts w:ascii="宋体" w:eastAsia="宋体" w:hAnsi="宋体" w:cs="宋体"/>
              </w:rPr>
            </w:pPr>
          </w:p>
          <w:p w14:paraId="62B6D420" w14:textId="77777777" w:rsidR="00092BD3" w:rsidRDefault="00E34479">
            <w:pPr>
              <w:pStyle w:val="TableParagraph"/>
              <w:ind w:left="107"/>
              <w:rPr>
                <w:rFonts w:ascii="宋体" w:eastAsia="宋体" w:hAnsi="宋体" w:cs="宋体"/>
                <w:sz w:val="21"/>
              </w:rPr>
            </w:pPr>
            <w:r>
              <w:rPr>
                <w:rFonts w:ascii="宋体" w:eastAsia="宋体" w:hAnsi="宋体" w:cs="宋体" w:hint="eastAsia"/>
                <w:sz w:val="21"/>
              </w:rPr>
              <w:t>□现场参观</w:t>
            </w:r>
          </w:p>
          <w:p w14:paraId="1AF4CCFC" w14:textId="77777777" w:rsidR="00092BD3" w:rsidRDefault="00092BD3">
            <w:pPr>
              <w:pStyle w:val="TableParagraph"/>
              <w:spacing w:before="11"/>
              <w:rPr>
                <w:rFonts w:ascii="宋体" w:eastAsia="宋体" w:hAnsi="宋体" w:cs="宋体"/>
              </w:rPr>
            </w:pPr>
          </w:p>
          <w:p w14:paraId="3C688E9A" w14:textId="77777777" w:rsidR="00092BD3" w:rsidRDefault="00E34479">
            <w:pPr>
              <w:pStyle w:val="TableParagraph"/>
              <w:ind w:left="107"/>
              <w:rPr>
                <w:rFonts w:ascii="宋体" w:eastAsia="宋体" w:hAnsi="宋体" w:cs="宋体"/>
                <w:sz w:val="21"/>
              </w:rPr>
            </w:pPr>
            <w:r>
              <w:rPr>
                <w:rFonts w:ascii="宋体" w:eastAsia="宋体" w:hAnsi="宋体" w:cs="宋体" w:hint="eastAsia"/>
                <w:sz w:val="21"/>
              </w:rPr>
              <w:t>□其他</w:t>
            </w:r>
          </w:p>
        </w:tc>
      </w:tr>
      <w:tr w:rsidR="00092BD3" w14:paraId="718A1DD3" w14:textId="77777777">
        <w:trPr>
          <w:trHeight w:val="1297"/>
          <w:jc w:val="center"/>
        </w:trPr>
        <w:tc>
          <w:tcPr>
            <w:tcW w:w="2377" w:type="dxa"/>
            <w:vAlign w:val="center"/>
          </w:tcPr>
          <w:p w14:paraId="5DBB0309" w14:textId="77777777" w:rsidR="00092BD3" w:rsidRDefault="00E34479">
            <w:pPr>
              <w:pStyle w:val="TableParagraph"/>
              <w:spacing w:line="560" w:lineRule="exact"/>
              <w:ind w:left="107" w:right="96"/>
              <w:rPr>
                <w:rFonts w:ascii="宋体" w:eastAsia="宋体" w:hAnsi="宋体" w:cs="宋体"/>
                <w:sz w:val="21"/>
              </w:rPr>
            </w:pPr>
            <w:r>
              <w:rPr>
                <w:rFonts w:ascii="宋体" w:eastAsia="宋体" w:hAnsi="宋体" w:cs="宋体" w:hint="eastAsia"/>
                <w:sz w:val="21"/>
              </w:rPr>
              <w:t>参与单位名称</w:t>
            </w:r>
          </w:p>
        </w:tc>
        <w:tc>
          <w:tcPr>
            <w:tcW w:w="6148" w:type="dxa"/>
            <w:vAlign w:val="center"/>
          </w:tcPr>
          <w:p w14:paraId="19D93542" w14:textId="77777777" w:rsidR="00092BD3" w:rsidRDefault="00E34479">
            <w:pPr>
              <w:pStyle w:val="TableParagraph"/>
              <w:spacing w:line="360" w:lineRule="auto"/>
              <w:jc w:val="both"/>
            </w:pPr>
            <w:r>
              <w:rPr>
                <w:rFonts w:hint="eastAsia"/>
              </w:rPr>
              <w:t>中欧基金管理有限公司</w:t>
            </w:r>
          </w:p>
          <w:p w14:paraId="4A57E753" w14:textId="77777777" w:rsidR="00092BD3" w:rsidRDefault="00E34479">
            <w:pPr>
              <w:pStyle w:val="TableParagraph"/>
              <w:spacing w:line="360" w:lineRule="auto"/>
              <w:jc w:val="both"/>
            </w:pPr>
            <w:r>
              <w:rPr>
                <w:rFonts w:hint="eastAsia"/>
              </w:rPr>
              <w:t>银华基金管理股份有限公司</w:t>
            </w:r>
          </w:p>
          <w:p w14:paraId="69AE36E5" w14:textId="77777777" w:rsidR="00092BD3" w:rsidRDefault="00E34479">
            <w:pPr>
              <w:pStyle w:val="TableParagraph"/>
              <w:spacing w:line="360" w:lineRule="auto"/>
              <w:jc w:val="both"/>
            </w:pPr>
            <w:r>
              <w:rPr>
                <w:rFonts w:hint="eastAsia"/>
              </w:rPr>
              <w:t>宁波</w:t>
            </w:r>
            <w:proofErr w:type="gramStart"/>
            <w:r>
              <w:rPr>
                <w:rFonts w:hint="eastAsia"/>
              </w:rPr>
              <w:t>燕创甬明</w:t>
            </w:r>
            <w:proofErr w:type="gramEnd"/>
            <w:r>
              <w:rPr>
                <w:rFonts w:hint="eastAsia"/>
              </w:rPr>
              <w:t>私募基金管理有限公司</w:t>
            </w:r>
          </w:p>
          <w:p w14:paraId="760187AE" w14:textId="77777777" w:rsidR="00092BD3" w:rsidRDefault="00E34479">
            <w:pPr>
              <w:pStyle w:val="TableParagraph"/>
              <w:spacing w:line="360" w:lineRule="auto"/>
              <w:jc w:val="both"/>
            </w:pPr>
            <w:r>
              <w:rPr>
                <w:rFonts w:hint="eastAsia"/>
              </w:rPr>
              <w:t>上海灏象资产管理有限公司</w:t>
            </w:r>
          </w:p>
          <w:p w14:paraId="1CF4F7E1" w14:textId="77777777" w:rsidR="00092BD3" w:rsidRDefault="00E34479">
            <w:pPr>
              <w:pStyle w:val="TableParagraph"/>
              <w:spacing w:line="360" w:lineRule="auto"/>
              <w:jc w:val="both"/>
            </w:pPr>
            <w:proofErr w:type="gramStart"/>
            <w:r>
              <w:rPr>
                <w:rFonts w:hint="eastAsia"/>
              </w:rPr>
              <w:t>禾永投资</w:t>
            </w:r>
            <w:proofErr w:type="gramEnd"/>
            <w:r>
              <w:rPr>
                <w:rFonts w:hint="eastAsia"/>
              </w:rPr>
              <w:t>管理（北京）有限公司</w:t>
            </w:r>
          </w:p>
          <w:p w14:paraId="04AF1715" w14:textId="77777777" w:rsidR="00092BD3" w:rsidRPr="00644F32" w:rsidRDefault="00E34479">
            <w:pPr>
              <w:pStyle w:val="TableParagraph"/>
              <w:spacing w:line="360" w:lineRule="auto"/>
              <w:jc w:val="both"/>
              <w:rPr>
                <w:lang w:val="en-US"/>
              </w:rPr>
            </w:pPr>
            <w:r w:rsidRPr="00644F32">
              <w:rPr>
                <w:rFonts w:hint="eastAsia"/>
                <w:lang w:val="en-US"/>
              </w:rPr>
              <w:t>China Shandong Hi-Speed Capital Limited</w:t>
            </w:r>
          </w:p>
          <w:p w14:paraId="4FA51E7B" w14:textId="77777777" w:rsidR="00092BD3" w:rsidRDefault="00E34479">
            <w:pPr>
              <w:pStyle w:val="TableParagraph"/>
              <w:spacing w:line="360" w:lineRule="auto"/>
              <w:jc w:val="both"/>
            </w:pPr>
            <w:r>
              <w:rPr>
                <w:rFonts w:hint="eastAsia"/>
              </w:rPr>
              <w:t>中泰证券</w:t>
            </w:r>
          </w:p>
          <w:p w14:paraId="633EE858" w14:textId="77777777" w:rsidR="00092BD3" w:rsidRDefault="00E34479">
            <w:pPr>
              <w:pStyle w:val="TableParagraph"/>
              <w:spacing w:line="360" w:lineRule="auto"/>
              <w:jc w:val="both"/>
            </w:pPr>
            <w:proofErr w:type="gramStart"/>
            <w:r>
              <w:rPr>
                <w:rFonts w:hint="eastAsia"/>
              </w:rPr>
              <w:t>泓德基金</w:t>
            </w:r>
            <w:proofErr w:type="gramEnd"/>
            <w:r>
              <w:rPr>
                <w:rFonts w:hint="eastAsia"/>
              </w:rPr>
              <w:t>管理有限公司</w:t>
            </w:r>
          </w:p>
          <w:p w14:paraId="35370EED" w14:textId="77777777" w:rsidR="00092BD3" w:rsidRDefault="00E34479">
            <w:pPr>
              <w:pStyle w:val="TableParagraph"/>
              <w:spacing w:line="360" w:lineRule="auto"/>
              <w:jc w:val="both"/>
            </w:pPr>
            <w:r>
              <w:rPr>
                <w:rFonts w:hint="eastAsia"/>
              </w:rPr>
              <w:t>平安证券</w:t>
            </w:r>
          </w:p>
          <w:p w14:paraId="4BFC99DF" w14:textId="77777777" w:rsidR="00092BD3" w:rsidRDefault="00E34479">
            <w:pPr>
              <w:pStyle w:val="TableParagraph"/>
              <w:spacing w:line="360" w:lineRule="auto"/>
              <w:jc w:val="both"/>
            </w:pPr>
            <w:proofErr w:type="gramStart"/>
            <w:r>
              <w:rPr>
                <w:rFonts w:hint="eastAsia"/>
              </w:rPr>
              <w:t>深圳市尚诚资产</w:t>
            </w:r>
            <w:proofErr w:type="gramEnd"/>
            <w:r>
              <w:rPr>
                <w:rFonts w:hint="eastAsia"/>
              </w:rPr>
              <w:t>管理有限责任公司</w:t>
            </w:r>
          </w:p>
          <w:p w14:paraId="5ECE8309" w14:textId="77777777" w:rsidR="00092BD3" w:rsidRDefault="00E34479">
            <w:pPr>
              <w:pStyle w:val="TableParagraph"/>
              <w:spacing w:line="360" w:lineRule="auto"/>
              <w:jc w:val="both"/>
            </w:pPr>
            <w:proofErr w:type="gramStart"/>
            <w:r>
              <w:rPr>
                <w:rFonts w:hint="eastAsia"/>
              </w:rPr>
              <w:t>华能贵诚信</w:t>
            </w:r>
            <w:proofErr w:type="gramEnd"/>
            <w:r>
              <w:rPr>
                <w:rFonts w:hint="eastAsia"/>
              </w:rPr>
              <w:t>托有限公司</w:t>
            </w:r>
          </w:p>
          <w:p w14:paraId="10191FC9" w14:textId="77777777" w:rsidR="00092BD3" w:rsidRDefault="00E34479">
            <w:pPr>
              <w:pStyle w:val="TableParagraph"/>
              <w:spacing w:line="360" w:lineRule="auto"/>
              <w:jc w:val="both"/>
            </w:pPr>
            <w:r>
              <w:rPr>
                <w:rFonts w:hint="eastAsia"/>
              </w:rPr>
              <w:t>长江证券（上海）资产管理有限公司</w:t>
            </w:r>
          </w:p>
          <w:p w14:paraId="754AC448" w14:textId="77777777" w:rsidR="00092BD3" w:rsidRDefault="00E34479">
            <w:pPr>
              <w:pStyle w:val="TableParagraph"/>
              <w:spacing w:line="360" w:lineRule="auto"/>
              <w:jc w:val="both"/>
            </w:pPr>
            <w:proofErr w:type="gramStart"/>
            <w:r>
              <w:rPr>
                <w:rFonts w:hint="eastAsia"/>
              </w:rPr>
              <w:t>杭州优益增</w:t>
            </w:r>
            <w:proofErr w:type="gramEnd"/>
            <w:r>
              <w:rPr>
                <w:rFonts w:hint="eastAsia"/>
              </w:rPr>
              <w:t>私募基金管理有限公司</w:t>
            </w:r>
          </w:p>
          <w:p w14:paraId="238DD0AF" w14:textId="77777777" w:rsidR="00092BD3" w:rsidRDefault="00E34479">
            <w:pPr>
              <w:pStyle w:val="TableParagraph"/>
              <w:spacing w:line="360" w:lineRule="auto"/>
              <w:jc w:val="both"/>
            </w:pPr>
            <w:r>
              <w:rPr>
                <w:rFonts w:hint="eastAsia"/>
              </w:rPr>
              <w:t>天风证券</w:t>
            </w:r>
          </w:p>
          <w:p w14:paraId="372420F4" w14:textId="77777777" w:rsidR="00092BD3" w:rsidRDefault="00E34479">
            <w:pPr>
              <w:pStyle w:val="TableParagraph"/>
              <w:spacing w:line="360" w:lineRule="auto"/>
              <w:jc w:val="both"/>
            </w:pPr>
            <w:r>
              <w:rPr>
                <w:rFonts w:hint="eastAsia"/>
              </w:rPr>
              <w:t>上海途灵资产管理有限公司</w:t>
            </w:r>
          </w:p>
          <w:p w14:paraId="5AF53301" w14:textId="77777777" w:rsidR="00092BD3" w:rsidRDefault="00E34479">
            <w:pPr>
              <w:pStyle w:val="TableParagraph"/>
              <w:spacing w:line="360" w:lineRule="auto"/>
              <w:jc w:val="both"/>
            </w:pPr>
            <w:proofErr w:type="gramStart"/>
            <w:r>
              <w:rPr>
                <w:rFonts w:hint="eastAsia"/>
              </w:rPr>
              <w:t>国泰海通</w:t>
            </w:r>
            <w:proofErr w:type="gramEnd"/>
            <w:r>
              <w:rPr>
                <w:rFonts w:hint="eastAsia"/>
              </w:rPr>
              <w:t>证券</w:t>
            </w:r>
          </w:p>
          <w:p w14:paraId="7C9B2E88" w14:textId="77777777" w:rsidR="00092BD3" w:rsidRDefault="00E34479">
            <w:pPr>
              <w:pStyle w:val="TableParagraph"/>
              <w:spacing w:line="360" w:lineRule="auto"/>
              <w:jc w:val="both"/>
            </w:pPr>
            <w:r>
              <w:rPr>
                <w:rFonts w:hint="eastAsia"/>
              </w:rPr>
              <w:t>华西证券</w:t>
            </w:r>
          </w:p>
          <w:p w14:paraId="25D773F1" w14:textId="77777777" w:rsidR="00092BD3" w:rsidRDefault="00E34479">
            <w:pPr>
              <w:pStyle w:val="TableParagraph"/>
              <w:spacing w:line="360" w:lineRule="auto"/>
              <w:jc w:val="both"/>
            </w:pPr>
            <w:proofErr w:type="gramStart"/>
            <w:r>
              <w:rPr>
                <w:rFonts w:hint="eastAsia"/>
              </w:rPr>
              <w:t>信达澳亚基</w:t>
            </w:r>
            <w:proofErr w:type="gramEnd"/>
            <w:r>
              <w:rPr>
                <w:rFonts w:hint="eastAsia"/>
              </w:rPr>
              <w:t>金管理有限公司</w:t>
            </w:r>
          </w:p>
          <w:p w14:paraId="772457A5" w14:textId="77777777" w:rsidR="00092BD3" w:rsidRDefault="00E34479">
            <w:pPr>
              <w:pStyle w:val="TableParagraph"/>
              <w:spacing w:line="360" w:lineRule="auto"/>
              <w:jc w:val="both"/>
            </w:pPr>
            <w:r>
              <w:rPr>
                <w:rFonts w:hint="eastAsia"/>
              </w:rPr>
              <w:t>福建辰盛资产管理有限公司</w:t>
            </w:r>
          </w:p>
          <w:p w14:paraId="311F45A1" w14:textId="77777777" w:rsidR="00092BD3" w:rsidRDefault="00E34479">
            <w:pPr>
              <w:pStyle w:val="TableParagraph"/>
              <w:spacing w:line="360" w:lineRule="auto"/>
              <w:jc w:val="both"/>
            </w:pPr>
            <w:r>
              <w:rPr>
                <w:rFonts w:hint="eastAsia"/>
              </w:rPr>
              <w:t>国泰基金管理有限公司</w:t>
            </w:r>
          </w:p>
          <w:p w14:paraId="33D1BEDB" w14:textId="77777777" w:rsidR="00092BD3" w:rsidRDefault="00E34479">
            <w:pPr>
              <w:pStyle w:val="TableParagraph"/>
              <w:spacing w:line="360" w:lineRule="auto"/>
              <w:jc w:val="both"/>
            </w:pPr>
            <w:proofErr w:type="gramStart"/>
            <w:r>
              <w:rPr>
                <w:rFonts w:hint="eastAsia"/>
              </w:rPr>
              <w:t>磐</w:t>
            </w:r>
            <w:proofErr w:type="gramEnd"/>
            <w:r>
              <w:rPr>
                <w:rFonts w:hint="eastAsia"/>
              </w:rPr>
              <w:t>厚蔚然（上海）私募基金管理有限公司</w:t>
            </w:r>
          </w:p>
          <w:p w14:paraId="534D73AD" w14:textId="77777777" w:rsidR="00092BD3" w:rsidRDefault="00E34479">
            <w:pPr>
              <w:pStyle w:val="TableParagraph"/>
              <w:spacing w:line="360" w:lineRule="auto"/>
              <w:jc w:val="both"/>
            </w:pPr>
            <w:r>
              <w:rPr>
                <w:rFonts w:hint="eastAsia"/>
              </w:rPr>
              <w:t>华</w:t>
            </w:r>
            <w:proofErr w:type="gramStart"/>
            <w:r>
              <w:rPr>
                <w:rFonts w:hint="eastAsia"/>
              </w:rPr>
              <w:t>宝基金</w:t>
            </w:r>
            <w:proofErr w:type="gramEnd"/>
            <w:r>
              <w:rPr>
                <w:rFonts w:hint="eastAsia"/>
              </w:rPr>
              <w:t>管理有限公司</w:t>
            </w:r>
          </w:p>
          <w:p w14:paraId="517EF8A0" w14:textId="77777777" w:rsidR="00092BD3" w:rsidRDefault="00E34479">
            <w:pPr>
              <w:pStyle w:val="TableParagraph"/>
              <w:spacing w:line="360" w:lineRule="auto"/>
              <w:jc w:val="both"/>
            </w:pPr>
            <w:r>
              <w:rPr>
                <w:rFonts w:hint="eastAsia"/>
              </w:rPr>
              <w:lastRenderedPageBreak/>
              <w:t>国盛证券</w:t>
            </w:r>
          </w:p>
          <w:p w14:paraId="6BA7D096" w14:textId="77777777" w:rsidR="00092BD3" w:rsidRDefault="00E34479">
            <w:pPr>
              <w:pStyle w:val="TableParagraph"/>
              <w:spacing w:line="360" w:lineRule="auto"/>
              <w:jc w:val="both"/>
            </w:pPr>
            <w:r>
              <w:rPr>
                <w:rFonts w:hint="eastAsia"/>
              </w:rPr>
              <w:t>深圳市</w:t>
            </w:r>
            <w:proofErr w:type="gramStart"/>
            <w:r>
              <w:rPr>
                <w:rFonts w:hint="eastAsia"/>
              </w:rPr>
              <w:t>翼虎投资</w:t>
            </w:r>
            <w:proofErr w:type="gramEnd"/>
            <w:r>
              <w:rPr>
                <w:rFonts w:hint="eastAsia"/>
              </w:rPr>
              <w:t>管理有限公司</w:t>
            </w:r>
          </w:p>
          <w:p w14:paraId="754A4EBE" w14:textId="77777777" w:rsidR="00092BD3" w:rsidRDefault="00E34479">
            <w:pPr>
              <w:pStyle w:val="TableParagraph"/>
              <w:spacing w:line="360" w:lineRule="auto"/>
              <w:jc w:val="both"/>
            </w:pPr>
            <w:proofErr w:type="gramStart"/>
            <w:r>
              <w:rPr>
                <w:rFonts w:hint="eastAsia"/>
              </w:rPr>
              <w:t>国泰海通</w:t>
            </w:r>
            <w:proofErr w:type="gramEnd"/>
            <w:r>
              <w:rPr>
                <w:rFonts w:hint="eastAsia"/>
              </w:rPr>
              <w:t>证券股份有限公司</w:t>
            </w:r>
          </w:p>
          <w:p w14:paraId="441D963C" w14:textId="77777777" w:rsidR="00092BD3" w:rsidRDefault="00E34479">
            <w:pPr>
              <w:pStyle w:val="TableParagraph"/>
              <w:spacing w:line="360" w:lineRule="auto"/>
              <w:jc w:val="both"/>
            </w:pPr>
            <w:r>
              <w:rPr>
                <w:rFonts w:hint="eastAsia"/>
              </w:rPr>
              <w:t>中信证券投资有限公司</w:t>
            </w:r>
          </w:p>
          <w:p w14:paraId="29D7AA62" w14:textId="77777777" w:rsidR="00092BD3" w:rsidRDefault="00E34479">
            <w:pPr>
              <w:pStyle w:val="TableParagraph"/>
              <w:spacing w:line="360" w:lineRule="auto"/>
              <w:jc w:val="both"/>
            </w:pPr>
            <w:r>
              <w:rPr>
                <w:rFonts w:hint="eastAsia"/>
              </w:rPr>
              <w:t>华泰保兴基金管理有限公司</w:t>
            </w:r>
          </w:p>
          <w:p w14:paraId="30243A05" w14:textId="77777777" w:rsidR="00092BD3" w:rsidRDefault="00E34479">
            <w:pPr>
              <w:pStyle w:val="TableParagraph"/>
              <w:spacing w:line="360" w:lineRule="auto"/>
              <w:jc w:val="both"/>
            </w:pPr>
            <w:r>
              <w:rPr>
                <w:rFonts w:hint="eastAsia"/>
              </w:rPr>
              <w:t>深圳泽兴资产管理有限公司</w:t>
            </w:r>
          </w:p>
          <w:p w14:paraId="22CE13F1" w14:textId="77777777" w:rsidR="00092BD3" w:rsidRDefault="00E34479">
            <w:pPr>
              <w:pStyle w:val="TableParagraph"/>
              <w:spacing w:line="360" w:lineRule="auto"/>
              <w:jc w:val="both"/>
            </w:pPr>
            <w:r>
              <w:rPr>
                <w:rFonts w:hint="eastAsia"/>
              </w:rPr>
              <w:t>上海丰煜投资有限公司</w:t>
            </w:r>
          </w:p>
          <w:p w14:paraId="1F86D444" w14:textId="77777777" w:rsidR="00092BD3" w:rsidRDefault="00E34479">
            <w:pPr>
              <w:pStyle w:val="TableParagraph"/>
              <w:spacing w:line="360" w:lineRule="auto"/>
              <w:jc w:val="both"/>
            </w:pPr>
            <w:r>
              <w:rPr>
                <w:rFonts w:hint="eastAsia"/>
              </w:rPr>
              <w:t>红塔红土基金管理有限公司</w:t>
            </w:r>
          </w:p>
          <w:p w14:paraId="398C37E1" w14:textId="77777777" w:rsidR="00092BD3" w:rsidRDefault="00E34479">
            <w:pPr>
              <w:pStyle w:val="TableParagraph"/>
              <w:spacing w:line="360" w:lineRule="auto"/>
              <w:jc w:val="both"/>
            </w:pPr>
            <w:r>
              <w:rPr>
                <w:rFonts w:hint="eastAsia"/>
              </w:rPr>
              <w:t>中信期货</w:t>
            </w:r>
          </w:p>
          <w:p w14:paraId="184CABCE" w14:textId="77777777" w:rsidR="00092BD3" w:rsidRDefault="00E34479">
            <w:pPr>
              <w:pStyle w:val="TableParagraph"/>
              <w:spacing w:line="360" w:lineRule="auto"/>
              <w:jc w:val="both"/>
            </w:pPr>
            <w:r>
              <w:rPr>
                <w:rFonts w:hint="eastAsia"/>
              </w:rPr>
              <w:t>平安证券</w:t>
            </w:r>
          </w:p>
          <w:p w14:paraId="32DE2231" w14:textId="77777777" w:rsidR="00092BD3" w:rsidRDefault="00E34479">
            <w:pPr>
              <w:pStyle w:val="TableParagraph"/>
              <w:spacing w:line="360" w:lineRule="auto"/>
              <w:jc w:val="both"/>
            </w:pPr>
            <w:proofErr w:type="gramStart"/>
            <w:r>
              <w:rPr>
                <w:rFonts w:hint="eastAsia"/>
              </w:rPr>
              <w:t>凯</w:t>
            </w:r>
            <w:proofErr w:type="gramEnd"/>
            <w:r>
              <w:rPr>
                <w:rFonts w:hint="eastAsia"/>
              </w:rPr>
              <w:t>联资本管理集团有限公司</w:t>
            </w:r>
          </w:p>
          <w:p w14:paraId="4FAA4FE2" w14:textId="77777777" w:rsidR="00092BD3" w:rsidRDefault="00E34479">
            <w:pPr>
              <w:pStyle w:val="TableParagraph"/>
              <w:spacing w:line="360" w:lineRule="auto"/>
              <w:jc w:val="both"/>
            </w:pPr>
            <w:r>
              <w:rPr>
                <w:rFonts w:hint="eastAsia"/>
              </w:rPr>
              <w:t>广发证券股份有限公司</w:t>
            </w:r>
          </w:p>
          <w:p w14:paraId="2A963B5B" w14:textId="77777777" w:rsidR="00092BD3" w:rsidRDefault="00E34479">
            <w:pPr>
              <w:pStyle w:val="TableParagraph"/>
              <w:spacing w:line="360" w:lineRule="auto"/>
              <w:jc w:val="both"/>
            </w:pPr>
            <w:r>
              <w:rPr>
                <w:rFonts w:hint="eastAsia"/>
              </w:rPr>
              <w:t>上海玖鹏资产管理中心（有限合伙）</w:t>
            </w:r>
          </w:p>
          <w:p w14:paraId="252E636F" w14:textId="77777777" w:rsidR="00092BD3" w:rsidRDefault="00E34479">
            <w:pPr>
              <w:pStyle w:val="TableParagraph"/>
              <w:spacing w:line="360" w:lineRule="auto"/>
              <w:jc w:val="both"/>
            </w:pPr>
            <w:r>
              <w:rPr>
                <w:rFonts w:hint="eastAsia"/>
              </w:rPr>
              <w:t>中银理财有限责任公司</w:t>
            </w:r>
          </w:p>
          <w:p w14:paraId="357219BA" w14:textId="77777777" w:rsidR="00092BD3" w:rsidRDefault="00E34479">
            <w:pPr>
              <w:pStyle w:val="TableParagraph"/>
              <w:spacing w:line="360" w:lineRule="auto"/>
              <w:jc w:val="both"/>
            </w:pPr>
            <w:r>
              <w:rPr>
                <w:rFonts w:hint="eastAsia"/>
              </w:rPr>
              <w:t>泰康资产管理有限责任公司</w:t>
            </w:r>
          </w:p>
          <w:p w14:paraId="7CEAE00A" w14:textId="77777777" w:rsidR="00092BD3" w:rsidRDefault="00E34479">
            <w:pPr>
              <w:pStyle w:val="TableParagraph"/>
              <w:spacing w:line="360" w:lineRule="auto"/>
              <w:jc w:val="both"/>
            </w:pPr>
            <w:r>
              <w:rPr>
                <w:rFonts w:hint="eastAsia"/>
              </w:rPr>
              <w:t>民生证券投资有限公司</w:t>
            </w:r>
          </w:p>
          <w:p w14:paraId="221F20DC" w14:textId="77777777" w:rsidR="00092BD3" w:rsidRDefault="00E34479">
            <w:pPr>
              <w:pStyle w:val="TableParagraph"/>
              <w:spacing w:line="360" w:lineRule="auto"/>
              <w:jc w:val="both"/>
            </w:pPr>
            <w:r>
              <w:rPr>
                <w:rFonts w:hint="eastAsia"/>
              </w:rPr>
              <w:t>中银理财有限责任公司</w:t>
            </w:r>
          </w:p>
          <w:p w14:paraId="7C4E2DAD" w14:textId="77777777" w:rsidR="00092BD3" w:rsidRDefault="00E34479">
            <w:pPr>
              <w:pStyle w:val="TableParagraph"/>
              <w:spacing w:line="360" w:lineRule="auto"/>
              <w:jc w:val="both"/>
            </w:pPr>
            <w:r>
              <w:rPr>
                <w:rFonts w:hint="eastAsia"/>
              </w:rPr>
              <w:t>中国中信集团有限公司</w:t>
            </w:r>
          </w:p>
          <w:p w14:paraId="7F43ACFF" w14:textId="77777777" w:rsidR="00092BD3" w:rsidRDefault="00E34479">
            <w:pPr>
              <w:pStyle w:val="TableParagraph"/>
              <w:spacing w:line="360" w:lineRule="auto"/>
              <w:jc w:val="both"/>
            </w:pPr>
            <w:r>
              <w:rPr>
                <w:rFonts w:hint="eastAsia"/>
              </w:rPr>
              <w:t>英大保险资产管理有限公司</w:t>
            </w:r>
          </w:p>
          <w:p w14:paraId="23797F09" w14:textId="77777777" w:rsidR="00092BD3" w:rsidRDefault="00E34479">
            <w:pPr>
              <w:pStyle w:val="TableParagraph"/>
              <w:spacing w:line="360" w:lineRule="auto"/>
              <w:jc w:val="both"/>
            </w:pPr>
            <w:r>
              <w:rPr>
                <w:rFonts w:hint="eastAsia"/>
              </w:rPr>
              <w:t>上海</w:t>
            </w:r>
            <w:proofErr w:type="gramStart"/>
            <w:r>
              <w:rPr>
                <w:rFonts w:hint="eastAsia"/>
              </w:rPr>
              <w:t>金友创智</w:t>
            </w:r>
            <w:proofErr w:type="gramEnd"/>
            <w:r>
              <w:rPr>
                <w:rFonts w:hint="eastAsia"/>
              </w:rPr>
              <w:t>私募基金管理有限公司</w:t>
            </w:r>
          </w:p>
          <w:p w14:paraId="415B1A4A" w14:textId="77777777" w:rsidR="00092BD3" w:rsidRDefault="00E34479">
            <w:pPr>
              <w:pStyle w:val="TableParagraph"/>
              <w:spacing w:line="360" w:lineRule="auto"/>
              <w:jc w:val="both"/>
            </w:pPr>
            <w:r>
              <w:rPr>
                <w:rFonts w:hint="eastAsia"/>
              </w:rPr>
              <w:t>Pleiad</w:t>
            </w:r>
          </w:p>
          <w:p w14:paraId="3CA8D2AF" w14:textId="77777777" w:rsidR="00092BD3" w:rsidRDefault="00E34479">
            <w:pPr>
              <w:pStyle w:val="TableParagraph"/>
              <w:spacing w:line="360" w:lineRule="auto"/>
              <w:jc w:val="both"/>
            </w:pPr>
            <w:r>
              <w:rPr>
                <w:rFonts w:hint="eastAsia"/>
              </w:rPr>
              <w:t>国都证券股份有限公司</w:t>
            </w:r>
          </w:p>
          <w:p w14:paraId="6EDBE7B0" w14:textId="77777777" w:rsidR="00092BD3" w:rsidRDefault="00E34479">
            <w:pPr>
              <w:pStyle w:val="TableParagraph"/>
              <w:spacing w:line="360" w:lineRule="auto"/>
              <w:jc w:val="both"/>
            </w:pPr>
            <w:r>
              <w:rPr>
                <w:rFonts w:hint="eastAsia"/>
              </w:rPr>
              <w:t>新加坡新思路</w:t>
            </w:r>
          </w:p>
          <w:p w14:paraId="49A6B797" w14:textId="77777777" w:rsidR="00092BD3" w:rsidRDefault="00E34479">
            <w:pPr>
              <w:pStyle w:val="TableParagraph"/>
              <w:spacing w:line="360" w:lineRule="auto"/>
              <w:jc w:val="both"/>
            </w:pPr>
            <w:r>
              <w:rPr>
                <w:rFonts w:hint="eastAsia"/>
              </w:rPr>
              <w:t>中国人</w:t>
            </w:r>
            <w:proofErr w:type="gramStart"/>
            <w:r>
              <w:rPr>
                <w:rFonts w:hint="eastAsia"/>
              </w:rPr>
              <w:t>保资产</w:t>
            </w:r>
            <w:proofErr w:type="gramEnd"/>
            <w:r>
              <w:rPr>
                <w:rFonts w:hint="eastAsia"/>
              </w:rPr>
              <w:t>管理有限公司</w:t>
            </w:r>
          </w:p>
          <w:p w14:paraId="0A2A329F" w14:textId="77777777" w:rsidR="00092BD3" w:rsidRDefault="00E34479">
            <w:pPr>
              <w:pStyle w:val="TableParagraph"/>
              <w:spacing w:line="360" w:lineRule="auto"/>
              <w:jc w:val="both"/>
            </w:pPr>
            <w:r>
              <w:rPr>
                <w:rFonts w:hint="eastAsia"/>
              </w:rPr>
              <w:t>上海大抒科技有限公司</w:t>
            </w:r>
          </w:p>
          <w:p w14:paraId="0CEF9465" w14:textId="77777777" w:rsidR="00092BD3" w:rsidRDefault="00E34479">
            <w:pPr>
              <w:pStyle w:val="TableParagraph"/>
              <w:spacing w:line="360" w:lineRule="auto"/>
              <w:jc w:val="both"/>
            </w:pPr>
            <w:r>
              <w:rPr>
                <w:rFonts w:hint="eastAsia"/>
              </w:rPr>
              <w:t>兴业证券</w:t>
            </w:r>
          </w:p>
          <w:p w14:paraId="6A704EC0" w14:textId="77777777" w:rsidR="00092BD3" w:rsidRDefault="00E34479">
            <w:pPr>
              <w:pStyle w:val="TableParagraph"/>
              <w:spacing w:line="360" w:lineRule="auto"/>
              <w:jc w:val="both"/>
              <w:rPr>
                <w:rFonts w:ascii="宋体" w:eastAsia="宋体" w:hAnsi="宋体" w:cs="宋体"/>
                <w:sz w:val="21"/>
                <w:szCs w:val="21"/>
              </w:rPr>
            </w:pPr>
            <w:r>
              <w:rPr>
                <w:rFonts w:hint="eastAsia"/>
              </w:rPr>
              <w:t>财通证券资产管理有限公司</w:t>
            </w:r>
          </w:p>
        </w:tc>
      </w:tr>
      <w:tr w:rsidR="00092BD3" w14:paraId="4FCFBF04" w14:textId="77777777">
        <w:trPr>
          <w:trHeight w:val="558"/>
          <w:jc w:val="center"/>
        </w:trPr>
        <w:tc>
          <w:tcPr>
            <w:tcW w:w="2377" w:type="dxa"/>
            <w:vAlign w:val="center"/>
          </w:tcPr>
          <w:p w14:paraId="55D3FACB" w14:textId="77777777" w:rsidR="00092BD3" w:rsidRDefault="00E34479">
            <w:pPr>
              <w:pStyle w:val="TableParagraph"/>
              <w:spacing w:before="1"/>
              <w:ind w:left="107"/>
              <w:rPr>
                <w:rFonts w:ascii="宋体" w:eastAsia="宋体" w:hAnsi="宋体" w:cs="宋体"/>
                <w:sz w:val="21"/>
                <w:szCs w:val="21"/>
              </w:rPr>
            </w:pPr>
            <w:r>
              <w:rPr>
                <w:rFonts w:ascii="宋体" w:eastAsia="宋体" w:hAnsi="宋体" w:cs="宋体" w:hint="eastAsia"/>
                <w:sz w:val="21"/>
                <w:szCs w:val="21"/>
              </w:rPr>
              <w:lastRenderedPageBreak/>
              <w:t>时间</w:t>
            </w:r>
          </w:p>
        </w:tc>
        <w:tc>
          <w:tcPr>
            <w:tcW w:w="6148" w:type="dxa"/>
            <w:vAlign w:val="center"/>
          </w:tcPr>
          <w:p w14:paraId="40491C4E" w14:textId="77777777" w:rsidR="00092BD3" w:rsidRDefault="00E34479">
            <w:pPr>
              <w:pStyle w:val="TableParagraph"/>
              <w:rPr>
                <w:rFonts w:ascii="宋体" w:eastAsia="宋体" w:hAnsi="宋体" w:cs="宋体"/>
                <w:sz w:val="21"/>
                <w:szCs w:val="21"/>
              </w:rPr>
            </w:pPr>
            <w:r>
              <w:rPr>
                <w:rFonts w:ascii="宋体" w:eastAsia="宋体" w:hAnsi="宋体" w:cs="宋体" w:hint="eastAsia"/>
                <w:sz w:val="21"/>
                <w:szCs w:val="21"/>
              </w:rPr>
              <w:t>202</w:t>
            </w:r>
            <w:r>
              <w:rPr>
                <w:rFonts w:ascii="宋体" w:eastAsia="宋体" w:hAnsi="宋体" w:cs="宋体"/>
                <w:sz w:val="21"/>
                <w:szCs w:val="21"/>
              </w:rPr>
              <w:t>5</w:t>
            </w:r>
            <w:r>
              <w:rPr>
                <w:rFonts w:ascii="宋体" w:eastAsia="宋体" w:hAnsi="宋体" w:cs="宋体" w:hint="eastAsia"/>
                <w:sz w:val="21"/>
                <w:szCs w:val="21"/>
              </w:rPr>
              <w:t>年</w:t>
            </w:r>
            <w:r>
              <w:rPr>
                <w:rFonts w:ascii="宋体" w:eastAsia="宋体" w:hAnsi="宋体" w:cs="宋体"/>
                <w:sz w:val="21"/>
                <w:szCs w:val="21"/>
              </w:rPr>
              <w:t>8</w:t>
            </w:r>
            <w:r>
              <w:rPr>
                <w:rFonts w:ascii="宋体" w:eastAsia="宋体" w:hAnsi="宋体" w:cs="宋体" w:hint="eastAsia"/>
                <w:sz w:val="21"/>
                <w:szCs w:val="21"/>
              </w:rPr>
              <w:t>月</w:t>
            </w:r>
            <w:r>
              <w:rPr>
                <w:rFonts w:ascii="宋体" w:eastAsia="宋体" w:hAnsi="宋体" w:cs="宋体"/>
                <w:sz w:val="21"/>
                <w:szCs w:val="21"/>
              </w:rPr>
              <w:t>27</w:t>
            </w:r>
            <w:r>
              <w:rPr>
                <w:rFonts w:ascii="宋体" w:eastAsia="宋体" w:hAnsi="宋体" w:cs="宋体" w:hint="eastAsia"/>
                <w:sz w:val="21"/>
                <w:szCs w:val="21"/>
              </w:rPr>
              <w:t>日</w:t>
            </w:r>
          </w:p>
        </w:tc>
      </w:tr>
      <w:tr w:rsidR="00092BD3" w14:paraId="7D7A49EB" w14:textId="77777777">
        <w:trPr>
          <w:trHeight w:val="561"/>
          <w:jc w:val="center"/>
        </w:trPr>
        <w:tc>
          <w:tcPr>
            <w:tcW w:w="2377" w:type="dxa"/>
            <w:vAlign w:val="center"/>
          </w:tcPr>
          <w:p w14:paraId="7A719E4D" w14:textId="77777777" w:rsidR="00092BD3" w:rsidRDefault="00E34479">
            <w:pPr>
              <w:pStyle w:val="TableParagraph"/>
              <w:ind w:left="107"/>
              <w:rPr>
                <w:rFonts w:ascii="宋体" w:eastAsia="宋体" w:hAnsi="宋体" w:cs="宋体"/>
                <w:sz w:val="21"/>
                <w:szCs w:val="21"/>
              </w:rPr>
            </w:pPr>
            <w:r>
              <w:rPr>
                <w:rFonts w:ascii="宋体" w:eastAsia="宋体" w:hAnsi="宋体" w:cs="宋体" w:hint="eastAsia"/>
                <w:sz w:val="21"/>
                <w:szCs w:val="21"/>
              </w:rPr>
              <w:t>地点、形式</w:t>
            </w:r>
          </w:p>
        </w:tc>
        <w:tc>
          <w:tcPr>
            <w:tcW w:w="6148" w:type="dxa"/>
            <w:vAlign w:val="center"/>
          </w:tcPr>
          <w:p w14:paraId="73D2EA7A" w14:textId="77777777" w:rsidR="00092BD3" w:rsidRDefault="00E34479">
            <w:pPr>
              <w:pStyle w:val="TableParagraph"/>
              <w:rPr>
                <w:rFonts w:ascii="宋体" w:eastAsia="宋体" w:hAnsi="宋体" w:cs="宋体"/>
                <w:sz w:val="21"/>
                <w:szCs w:val="21"/>
              </w:rPr>
            </w:pPr>
            <w:r>
              <w:rPr>
                <w:rFonts w:ascii="宋体" w:eastAsia="宋体" w:hAnsi="宋体" w:cs="宋体"/>
                <w:sz w:val="21"/>
                <w:szCs w:val="21"/>
              </w:rPr>
              <w:t>投资者交流会</w:t>
            </w:r>
          </w:p>
        </w:tc>
      </w:tr>
      <w:tr w:rsidR="00092BD3" w14:paraId="25730F3D" w14:textId="77777777">
        <w:trPr>
          <w:trHeight w:val="824"/>
          <w:jc w:val="center"/>
        </w:trPr>
        <w:tc>
          <w:tcPr>
            <w:tcW w:w="2377" w:type="dxa"/>
            <w:vAlign w:val="center"/>
          </w:tcPr>
          <w:p w14:paraId="69A78EE7" w14:textId="77777777" w:rsidR="00092BD3" w:rsidRDefault="00E34479">
            <w:pPr>
              <w:pStyle w:val="TableParagraph"/>
              <w:spacing w:before="1"/>
              <w:ind w:left="107"/>
              <w:rPr>
                <w:rFonts w:ascii="宋体" w:eastAsia="宋体" w:hAnsi="宋体" w:cs="宋体"/>
                <w:sz w:val="21"/>
              </w:rPr>
            </w:pPr>
            <w:r>
              <w:rPr>
                <w:rFonts w:ascii="宋体" w:eastAsia="宋体" w:hAnsi="宋体" w:cs="宋体" w:hint="eastAsia"/>
                <w:sz w:val="21"/>
              </w:rPr>
              <w:t>上市公司接待人员姓名</w:t>
            </w:r>
          </w:p>
        </w:tc>
        <w:tc>
          <w:tcPr>
            <w:tcW w:w="6148" w:type="dxa"/>
            <w:vAlign w:val="center"/>
          </w:tcPr>
          <w:p w14:paraId="5C22285B" w14:textId="77777777" w:rsidR="00092BD3" w:rsidRDefault="00E34479">
            <w:pPr>
              <w:pStyle w:val="TableParagraph"/>
              <w:rPr>
                <w:rFonts w:ascii="宋体" w:eastAsia="宋体" w:hAnsi="宋体" w:cs="宋体"/>
                <w:sz w:val="21"/>
                <w:szCs w:val="21"/>
                <w:lang w:val="en-US"/>
              </w:rPr>
            </w:pPr>
            <w:r>
              <w:rPr>
                <w:rFonts w:ascii="宋体" w:eastAsia="宋体" w:hAnsi="宋体" w:cs="宋体" w:hint="eastAsia"/>
                <w:sz w:val="21"/>
                <w:szCs w:val="21"/>
                <w:lang w:val="en-US"/>
              </w:rPr>
              <w:t>董事会秘书：应高峰，国际化业务负责人：邱烽秦；投资者关系负责人：温霖炜</w:t>
            </w:r>
          </w:p>
        </w:tc>
      </w:tr>
      <w:tr w:rsidR="00092BD3" w14:paraId="74B6F805" w14:textId="77777777">
        <w:trPr>
          <w:trHeight w:val="2800"/>
          <w:jc w:val="center"/>
        </w:trPr>
        <w:tc>
          <w:tcPr>
            <w:tcW w:w="2377" w:type="dxa"/>
            <w:vAlign w:val="center"/>
          </w:tcPr>
          <w:p w14:paraId="29E3D84A" w14:textId="77777777" w:rsidR="00092BD3" w:rsidRDefault="00E34479">
            <w:pPr>
              <w:pStyle w:val="TableParagraph"/>
              <w:spacing w:before="1" w:line="499" w:lineRule="auto"/>
              <w:ind w:left="107" w:right="96"/>
              <w:rPr>
                <w:rFonts w:ascii="宋体" w:eastAsia="宋体" w:hAnsi="宋体" w:cs="宋体"/>
                <w:sz w:val="21"/>
              </w:rPr>
            </w:pPr>
            <w:r>
              <w:rPr>
                <w:rFonts w:ascii="宋体" w:eastAsia="宋体" w:hAnsi="宋体" w:cs="宋体" w:hint="eastAsia"/>
                <w:sz w:val="21"/>
              </w:rPr>
              <w:t>投资者关系活动</w:t>
            </w:r>
          </w:p>
          <w:p w14:paraId="2CA7F165" w14:textId="77777777" w:rsidR="00092BD3" w:rsidRDefault="00E34479">
            <w:pPr>
              <w:pStyle w:val="TableParagraph"/>
              <w:spacing w:before="1" w:line="499" w:lineRule="auto"/>
              <w:ind w:left="107" w:right="96"/>
              <w:rPr>
                <w:rFonts w:ascii="宋体" w:eastAsia="宋体" w:hAnsi="宋体" w:cs="宋体"/>
                <w:sz w:val="21"/>
              </w:rPr>
            </w:pPr>
            <w:r>
              <w:rPr>
                <w:rFonts w:ascii="宋体" w:eastAsia="宋体" w:hAnsi="宋体" w:cs="宋体" w:hint="eastAsia"/>
                <w:sz w:val="21"/>
              </w:rPr>
              <w:t>主要内容介绍</w:t>
            </w:r>
          </w:p>
        </w:tc>
        <w:tc>
          <w:tcPr>
            <w:tcW w:w="6148" w:type="dxa"/>
            <w:vAlign w:val="center"/>
          </w:tcPr>
          <w:p w14:paraId="25886D7D" w14:textId="77777777" w:rsidR="00092BD3" w:rsidRDefault="00E34479">
            <w:pPr>
              <w:rPr>
                <w:b/>
              </w:rPr>
            </w:pPr>
            <w:r>
              <w:rPr>
                <w:b/>
              </w:rPr>
              <w:t>2025年上半年业绩概况</w:t>
            </w:r>
          </w:p>
          <w:p w14:paraId="25838AAD" w14:textId="77777777" w:rsidR="00092BD3" w:rsidRDefault="00092BD3"/>
          <w:p w14:paraId="7DDD118C" w14:textId="48B26980" w:rsidR="00092BD3" w:rsidRDefault="00E34479">
            <w:r>
              <w:t>营收与利润：2025年上半年实现营业收入6.77亿元，同比增长11.42%；归属于上市公司股东的净利润4</w:t>
            </w:r>
            <w:r w:rsidR="00644F32">
              <w:rPr>
                <w:rFonts w:hint="eastAsia"/>
              </w:rPr>
              <w:t>,</w:t>
            </w:r>
            <w:r>
              <w:t>905万元，同比增长158%；归属于上市公司股东的扣除非经常性损益的净利润3</w:t>
            </w:r>
            <w:r w:rsidR="006E66F8">
              <w:rPr>
                <w:rFonts w:hint="eastAsia"/>
              </w:rPr>
              <w:t>,</w:t>
            </w:r>
            <w:r>
              <w:t>675万元，同比增长86.98%；整体毛利率32.45%。</w:t>
            </w:r>
          </w:p>
          <w:p w14:paraId="24F73075" w14:textId="4E4F2B3A" w:rsidR="00092BD3" w:rsidRDefault="00E34479">
            <w:r>
              <w:t>制剂业务：2025年上半年制剂收入2.62亿元，增长率111%；主要制剂生产厂家美诺华</w:t>
            </w:r>
            <w:proofErr w:type="gramStart"/>
            <w:r>
              <w:t>天康营收增长</w:t>
            </w:r>
            <w:proofErr w:type="gramEnd"/>
            <w:r>
              <w:t>109%。</w:t>
            </w:r>
          </w:p>
          <w:p w14:paraId="6C052E1B" w14:textId="77777777" w:rsidR="00092BD3" w:rsidRDefault="00E34479">
            <w:r>
              <w:rPr>
                <w:rFonts w:hint="eastAsia"/>
              </w:rPr>
              <w:t>Q&amp;</w:t>
            </w:r>
            <w:r>
              <w:t>A</w:t>
            </w:r>
          </w:p>
          <w:p w14:paraId="3A0AB113" w14:textId="77777777" w:rsidR="00092BD3" w:rsidRDefault="00E34479">
            <w:r>
              <w:rPr>
                <w:rFonts w:hint="eastAsia"/>
              </w:rPr>
              <w:t>1</w:t>
            </w:r>
            <w:r>
              <w:t>.重点项目进展：JH389进展</w:t>
            </w:r>
          </w:p>
          <w:p w14:paraId="47380510" w14:textId="77777777" w:rsidR="00092BD3" w:rsidRDefault="00E34479">
            <w:pPr>
              <w:pStyle w:val="10"/>
              <w:numPr>
                <w:ilvl w:val="0"/>
                <w:numId w:val="1"/>
              </w:numPr>
              <w:ind w:firstLineChars="0"/>
            </w:pPr>
            <w:r>
              <w:t>项目整体进展：研发、专利申报、注册等整体进展速度较快。</w:t>
            </w:r>
          </w:p>
          <w:p w14:paraId="4B270483" w14:textId="77777777" w:rsidR="00092BD3" w:rsidRDefault="00E34479">
            <w:pPr>
              <w:pStyle w:val="10"/>
              <w:numPr>
                <w:ilvl w:val="0"/>
                <w:numId w:val="1"/>
              </w:numPr>
              <w:ind w:firstLineChars="0"/>
            </w:pPr>
            <w:r>
              <w:t>商业化合作进展：</w:t>
            </w:r>
          </w:p>
          <w:p w14:paraId="32E4FD4B" w14:textId="77777777" w:rsidR="00092BD3" w:rsidRDefault="00E34479">
            <w:pPr>
              <w:pStyle w:val="10"/>
              <w:numPr>
                <w:ilvl w:val="0"/>
                <w:numId w:val="2"/>
              </w:numPr>
              <w:ind w:firstLineChars="0"/>
            </w:pPr>
            <w:r>
              <w:t>欧洲：以意大利合作方进度为主，其研究数据最全面，是根据欧洲食品安全局指导进行的研究规划；同时正在接触其他欧洲地区合作伙伴，包括非欧盟区域。</w:t>
            </w:r>
          </w:p>
          <w:p w14:paraId="15D5E8B6" w14:textId="77777777" w:rsidR="00092BD3" w:rsidRDefault="00E34479">
            <w:pPr>
              <w:pStyle w:val="10"/>
              <w:numPr>
                <w:ilvl w:val="0"/>
                <w:numId w:val="2"/>
              </w:numPr>
              <w:ind w:firstLineChars="0"/>
            </w:pPr>
            <w:r>
              <w:t>美国：已开始市场分析、并找了FA合作推动BD落地，FDA注册推进速度较快，正在和注册机构筹备文件。</w:t>
            </w:r>
          </w:p>
          <w:p w14:paraId="4A4D4603" w14:textId="374EE315" w:rsidR="00092BD3" w:rsidRDefault="00E34479" w:rsidP="00E21BF3">
            <w:pPr>
              <w:pStyle w:val="aa"/>
              <w:numPr>
                <w:ilvl w:val="0"/>
                <w:numId w:val="2"/>
              </w:numPr>
              <w:ind w:firstLineChars="0"/>
            </w:pPr>
            <w:r>
              <w:t>国内：目前和几家潜在C</w:t>
            </w:r>
            <w:proofErr w:type="gramStart"/>
            <w:r>
              <w:t>端合作</w:t>
            </w:r>
            <w:proofErr w:type="gramEnd"/>
            <w:r>
              <w:t>方接触。</w:t>
            </w:r>
          </w:p>
          <w:p w14:paraId="1183CE43" w14:textId="77777777" w:rsidR="00092BD3" w:rsidRDefault="00E34479">
            <w:pPr>
              <w:pStyle w:val="10"/>
              <w:numPr>
                <w:ilvl w:val="0"/>
                <w:numId w:val="1"/>
              </w:numPr>
              <w:ind w:firstLineChars="0"/>
            </w:pPr>
            <w:r>
              <w:t>研发进展：已披露减重动物模型数据，安全数据已在意大利开始准备，计划开展人体效果研究及海外临床，目前正在制订临床方案。</w:t>
            </w:r>
          </w:p>
          <w:p w14:paraId="088CACC5" w14:textId="77777777" w:rsidR="00092BD3" w:rsidRDefault="00E34479">
            <w:pPr>
              <w:pStyle w:val="10"/>
              <w:numPr>
                <w:ilvl w:val="0"/>
                <w:numId w:val="1"/>
              </w:numPr>
              <w:ind w:firstLineChars="0"/>
            </w:pPr>
            <w:r>
              <w:t>后续催化节点：预计下半年会看到一些动物模型的对比药物的数据及可能的合作推进。</w:t>
            </w:r>
          </w:p>
          <w:p w14:paraId="17CCBF89" w14:textId="77777777" w:rsidR="00092BD3" w:rsidRDefault="00E34479">
            <w:pPr>
              <w:pStyle w:val="10"/>
              <w:numPr>
                <w:ilvl w:val="0"/>
                <w:numId w:val="1"/>
              </w:numPr>
              <w:ind w:firstLineChars="0"/>
            </w:pPr>
            <w:r>
              <w:t>递送平台延伸：已开始选择新的品种，包括解酒、多靶点减重等，后续可期待该平台能做的更多东西，但最快的仍是JH389，会先做好旗舰产品。</w:t>
            </w:r>
          </w:p>
          <w:p w14:paraId="24DCA690" w14:textId="77777777" w:rsidR="00092BD3" w:rsidRDefault="00E34479">
            <w:pPr>
              <w:pStyle w:val="10"/>
              <w:numPr>
                <w:ilvl w:val="0"/>
                <w:numId w:val="1"/>
              </w:numPr>
              <w:ind w:firstLineChars="0"/>
            </w:pPr>
            <w:r>
              <w:t>市场定位与竞争优势：</w:t>
            </w:r>
          </w:p>
          <w:p w14:paraId="3FEEBA34" w14:textId="3628F38F" w:rsidR="00092BD3" w:rsidRDefault="00E34479">
            <w:pPr>
              <w:pStyle w:val="10"/>
              <w:numPr>
                <w:ilvl w:val="0"/>
                <w:numId w:val="2"/>
              </w:numPr>
              <w:ind w:firstLineChars="0"/>
            </w:pPr>
            <w:r>
              <w:t>目标群体：不仅</w:t>
            </w:r>
            <w:r w:rsidR="00E21BF3">
              <w:t>仅针对</w:t>
            </w:r>
            <w:r>
              <w:t>必须减肥的群体，最大目标群体是微胖人群（想减肥但不需要打针吃药的人群），该人群是全球肥胖人群中最大的群体。</w:t>
            </w:r>
          </w:p>
          <w:p w14:paraId="7876146B" w14:textId="4E4C1C22" w:rsidR="00092BD3" w:rsidRDefault="00E34479">
            <w:pPr>
              <w:pStyle w:val="10"/>
              <w:numPr>
                <w:ilvl w:val="0"/>
                <w:numId w:val="2"/>
              </w:numPr>
              <w:ind w:firstLineChars="0"/>
            </w:pPr>
            <w:r>
              <w:t>产品目标：有效</w:t>
            </w:r>
            <w:r w:rsidR="00886B58">
              <w:t>并且肠胃刺激小</w:t>
            </w:r>
            <w:r>
              <w:t>的口服产品，解决顺应性和安全性问题。目前</w:t>
            </w:r>
            <w:r w:rsidR="00E21BF3">
              <w:t>已经</w:t>
            </w:r>
            <w:r>
              <w:t>从动物实验数据和内部测试</w:t>
            </w:r>
            <w:r w:rsidR="00E21BF3">
              <w:t>中</w:t>
            </w:r>
            <w:r>
              <w:rPr>
                <w:rFonts w:hint="eastAsia"/>
              </w:rPr>
              <w:t>获得了积极的数据</w:t>
            </w:r>
            <w:r>
              <w:t>。</w:t>
            </w:r>
          </w:p>
          <w:p w14:paraId="3A215157" w14:textId="20B24F2C" w:rsidR="00092BD3" w:rsidRDefault="00E34479" w:rsidP="00886B58">
            <w:pPr>
              <w:pStyle w:val="10"/>
              <w:numPr>
                <w:ilvl w:val="0"/>
                <w:numId w:val="2"/>
              </w:numPr>
              <w:ind w:firstLineChars="0"/>
            </w:pPr>
            <w:r>
              <w:t>差异化优势：</w:t>
            </w:r>
            <w:r w:rsidR="00886B58" w:rsidRPr="00886B58">
              <w:rPr>
                <w:rFonts w:hint="eastAsia"/>
              </w:rPr>
              <w:t>与大多数的益生</w:t>
            </w:r>
            <w:proofErr w:type="gramStart"/>
            <w:r w:rsidR="00886B58" w:rsidRPr="00886B58">
              <w:rPr>
                <w:rFonts w:hint="eastAsia"/>
              </w:rPr>
              <w:t>菌产品</w:t>
            </w:r>
            <w:proofErr w:type="gramEnd"/>
            <w:r w:rsidR="00886B58" w:rsidRPr="00886B58">
              <w:rPr>
                <w:rFonts w:hint="eastAsia"/>
              </w:rPr>
              <w:t>不同，</w:t>
            </w:r>
            <w:r w:rsidR="00886B58" w:rsidRPr="00886B58">
              <w:t>JH389起</w:t>
            </w:r>
            <w:proofErr w:type="gramStart"/>
            <w:r w:rsidR="00886B58" w:rsidRPr="00886B58">
              <w:t>效</w:t>
            </w:r>
            <w:proofErr w:type="gramEnd"/>
            <w:r w:rsidR="00886B58" w:rsidRPr="00886B58">
              <w:t>成分是GLP-1类似物，突破点在于通过益生</w:t>
            </w:r>
            <w:proofErr w:type="gramStart"/>
            <w:r w:rsidR="00886B58" w:rsidRPr="00886B58">
              <w:t>菌作为</w:t>
            </w:r>
            <w:proofErr w:type="gramEnd"/>
            <w:r w:rsidR="00886B58" w:rsidRPr="00886B58">
              <w:t>细胞工厂在肠道中为人体提供足够的有效成分，使体内GLP-1类似物的浓度达到起效量。而目前市面上看到的</w:t>
            </w:r>
            <w:proofErr w:type="gramStart"/>
            <w:r w:rsidR="00886B58" w:rsidRPr="00886B58">
              <w:t>多数益生菌产品</w:t>
            </w:r>
            <w:proofErr w:type="gramEnd"/>
            <w:r w:rsidR="00886B58" w:rsidRPr="00886B58">
              <w:t>是提供微量元素、调节肠道菌群。因此，本质上产品起效逻辑是两个不同的方向：JH389本质是递送系统，益生</w:t>
            </w:r>
            <w:proofErr w:type="gramStart"/>
            <w:r w:rsidR="00886B58" w:rsidRPr="00886B58">
              <w:t>菌作为</w:t>
            </w:r>
            <w:proofErr w:type="gramEnd"/>
            <w:r w:rsidR="00886B58" w:rsidRPr="00886B58">
              <w:t>其底层基础，整体的设计有足够的创新和壁垒。</w:t>
            </w:r>
          </w:p>
          <w:p w14:paraId="0DA299F7" w14:textId="0D89F5F3" w:rsidR="00092BD3" w:rsidRDefault="00644F32">
            <w:r>
              <w:rPr>
                <w:rFonts w:hint="eastAsia"/>
              </w:rPr>
              <w:t>2</w:t>
            </w:r>
            <w:r w:rsidR="00E34479">
              <w:t>. 原料药板块情况</w:t>
            </w:r>
          </w:p>
          <w:p w14:paraId="73F9BBF1" w14:textId="63BCE61F" w:rsidR="00092BD3" w:rsidRDefault="00E34479">
            <w:pPr>
              <w:pStyle w:val="10"/>
              <w:numPr>
                <w:ilvl w:val="0"/>
                <w:numId w:val="3"/>
              </w:numPr>
              <w:ind w:firstLineChars="0"/>
            </w:pPr>
            <w:r>
              <w:t>价格与趋势：原料药价格目前处于低位稳定，已稳定四个季度，没有大的恶化；下半年整体毛利率预计稳定。</w:t>
            </w:r>
          </w:p>
          <w:p w14:paraId="4EABFD8B" w14:textId="77777777" w:rsidR="00092BD3" w:rsidRDefault="00E34479">
            <w:pPr>
              <w:pStyle w:val="10"/>
              <w:numPr>
                <w:ilvl w:val="0"/>
                <w:numId w:val="1"/>
              </w:numPr>
              <w:ind w:firstLineChars="0"/>
            </w:pPr>
            <w:r>
              <w:t>业务增长点：抛开价格变化，核心增长点来自新产品放量叠加公司整体产能释放。</w:t>
            </w:r>
          </w:p>
          <w:p w14:paraId="372A940A" w14:textId="77777777" w:rsidR="00092BD3" w:rsidRDefault="00E34479">
            <w:pPr>
              <w:pStyle w:val="10"/>
              <w:numPr>
                <w:ilvl w:val="0"/>
                <w:numId w:val="1"/>
              </w:numPr>
              <w:ind w:firstLineChars="0"/>
            </w:pPr>
            <w:r>
              <w:t>未来业绩展望：预计未来几年API业务还是稳定增长；抛开价格情况，公司整体出货量每年增长。</w:t>
            </w:r>
          </w:p>
          <w:p w14:paraId="777E159A" w14:textId="602E6679" w:rsidR="00092BD3" w:rsidRDefault="00644F32">
            <w:r>
              <w:rPr>
                <w:rFonts w:hint="eastAsia"/>
              </w:rPr>
              <w:t>3</w:t>
            </w:r>
            <w:r w:rsidR="00E34479">
              <w:t>. CDMO业务情况</w:t>
            </w:r>
          </w:p>
          <w:p w14:paraId="3B0FAA35" w14:textId="77777777" w:rsidR="00092BD3" w:rsidRDefault="00E34479">
            <w:pPr>
              <w:pStyle w:val="10"/>
              <w:numPr>
                <w:ilvl w:val="0"/>
                <w:numId w:val="4"/>
              </w:numPr>
              <w:ind w:firstLineChars="0"/>
            </w:pPr>
            <w:r>
              <w:rPr>
                <w:rFonts w:hint="eastAsia"/>
              </w:rPr>
              <w:t>大</w:t>
            </w:r>
            <w:proofErr w:type="gramStart"/>
            <w:r>
              <w:rPr>
                <w:rFonts w:hint="eastAsia"/>
              </w:rPr>
              <w:t>客户</w:t>
            </w:r>
            <w:r>
              <w:t>动保合作</w:t>
            </w:r>
            <w:proofErr w:type="gramEnd"/>
            <w:r>
              <w:t>：</w:t>
            </w:r>
          </w:p>
          <w:p w14:paraId="6301976E" w14:textId="77777777" w:rsidR="00092BD3" w:rsidRPr="00015ACA" w:rsidRDefault="00E34479">
            <w:pPr>
              <w:pStyle w:val="10"/>
              <w:numPr>
                <w:ilvl w:val="0"/>
                <w:numId w:val="2"/>
              </w:numPr>
              <w:ind w:firstLineChars="0"/>
            </w:pPr>
            <w:r>
              <w:t>项目进展：今年</w:t>
            </w:r>
            <w:r w:rsidRPr="00015ACA">
              <w:t>上半年CDMO业务发展符合预期，下半年以MSD项目转产为主，明年开始正式商业化贡献；未来每年会有新产品研发和转产落地，合作模式进入正向运转，此前以研发为主，近两年逐步进入转产阶段，明年第一个和第二个产品进入商业化供货阶段。</w:t>
            </w:r>
          </w:p>
          <w:p w14:paraId="4F1B518B" w14:textId="77777777" w:rsidR="00092BD3" w:rsidRDefault="00E34479">
            <w:pPr>
              <w:pStyle w:val="10"/>
              <w:numPr>
                <w:ilvl w:val="0"/>
                <w:numId w:val="2"/>
              </w:numPr>
              <w:ind w:firstLineChars="0"/>
            </w:pPr>
            <w:r w:rsidRPr="00015ACA">
              <w:t>商业化收入贡献：明年商业化收入主要贡献来自</w:t>
            </w:r>
            <w:r>
              <w:t>是客户的两款原</w:t>
            </w:r>
            <w:proofErr w:type="gramStart"/>
            <w:r>
              <w:t>研</w:t>
            </w:r>
            <w:proofErr w:type="gramEnd"/>
            <w:r>
              <w:t>产品。未来希望将与大客户合作</w:t>
            </w:r>
            <w:proofErr w:type="gramStart"/>
            <w:r>
              <w:t>的动保车间</w:t>
            </w:r>
            <w:proofErr w:type="gramEnd"/>
            <w:r>
              <w:t>填满，形成每年都有新项目落地，在</w:t>
            </w:r>
            <w:proofErr w:type="gramStart"/>
            <w:r>
              <w:t>研</w:t>
            </w:r>
            <w:proofErr w:type="gramEnd"/>
            <w:r>
              <w:t>产品转入生产阶段贡献稳定商业化收入的正向循环。</w:t>
            </w:r>
          </w:p>
          <w:p w14:paraId="661421A1" w14:textId="3AE69FB3" w:rsidR="00092BD3" w:rsidRDefault="00E34479">
            <w:pPr>
              <w:pStyle w:val="10"/>
              <w:numPr>
                <w:ilvl w:val="0"/>
                <w:numId w:val="4"/>
              </w:numPr>
              <w:ind w:firstLineChars="0"/>
            </w:pPr>
            <w:r>
              <w:t>与Teva等海外大型企业合作：目前以研发为主，部分已开始贡献验证性收入，后续进入商业化落地转产阶段时会有明确规划；主要合作产品以API及中间体为主，会涉及部分创新药API或者中间体合作，处于初期阶段。</w:t>
            </w:r>
          </w:p>
          <w:p w14:paraId="2D5AF90D" w14:textId="6E772D25" w:rsidR="00092BD3" w:rsidRDefault="00644F32">
            <w:r>
              <w:rPr>
                <w:rFonts w:hint="eastAsia"/>
              </w:rPr>
              <w:t>4</w:t>
            </w:r>
            <w:r w:rsidR="00E34479">
              <w:t>. 制剂业务情况</w:t>
            </w:r>
          </w:p>
          <w:p w14:paraId="16114037" w14:textId="6D0BCAB7" w:rsidR="00092BD3" w:rsidRDefault="00E34479">
            <w:pPr>
              <w:pStyle w:val="10"/>
              <w:numPr>
                <w:ilvl w:val="0"/>
                <w:numId w:val="4"/>
              </w:numPr>
              <w:ind w:firstLineChars="0"/>
            </w:pPr>
            <w:r>
              <w:t>申报进展与节奏：目前每年制剂获</w:t>
            </w:r>
            <w:proofErr w:type="gramStart"/>
            <w:r>
              <w:t>批数量</w:t>
            </w:r>
            <w:proofErr w:type="gramEnd"/>
            <w:r>
              <w:t>在5到10个之间，申报数量也差不多，具体</w:t>
            </w:r>
            <w:proofErr w:type="gramStart"/>
            <w:r>
              <w:t>看品种</w:t>
            </w:r>
            <w:proofErr w:type="gramEnd"/>
            <w:r>
              <w:t>机会及集采情况。</w:t>
            </w:r>
          </w:p>
          <w:p w14:paraId="2ED94550" w14:textId="786CCC6F" w:rsidR="00092BD3" w:rsidRDefault="00E34479">
            <w:pPr>
              <w:pStyle w:val="10"/>
              <w:numPr>
                <w:ilvl w:val="0"/>
                <w:numId w:val="4"/>
              </w:numPr>
              <w:ind w:firstLineChars="0"/>
            </w:pPr>
            <w:r>
              <w:t>第十一批集采影响：预计有两个产品在集采目录中，具体增量暂不能给预期，需看中标及中标区域情况，但公司有信心获得不错增量，制剂原料药一体化产业链，在价格质量上有大的优势和竞争力。</w:t>
            </w:r>
          </w:p>
          <w:p w14:paraId="6044E4E7" w14:textId="77777777" w:rsidR="00092BD3" w:rsidRDefault="00E34479">
            <w:pPr>
              <w:pStyle w:val="10"/>
              <w:numPr>
                <w:ilvl w:val="0"/>
                <w:numId w:val="5"/>
              </w:numPr>
              <w:ind w:firstLineChars="0"/>
            </w:pPr>
            <w:r>
              <w:t>未来展望：制剂业务是这两年核心增长驱动力，未来规划中的产品（包括与跨国大客户合作及</w:t>
            </w:r>
            <w:proofErr w:type="gramStart"/>
            <w:r>
              <w:t>自研制剂</w:t>
            </w:r>
            <w:proofErr w:type="gramEnd"/>
            <w:r>
              <w:t>放量）趋势均不错，希望在业务爆发阶段带动API放量及CDMO业务增长。</w:t>
            </w:r>
          </w:p>
          <w:p w14:paraId="4E0E5FC3" w14:textId="5B32AA7F" w:rsidR="00092BD3" w:rsidRDefault="00644F32">
            <w:r>
              <w:rPr>
                <w:rFonts w:hint="eastAsia"/>
              </w:rPr>
              <w:t>5</w:t>
            </w:r>
            <w:r w:rsidR="00E34479">
              <w:t>. 盈利能力与财务展望</w:t>
            </w:r>
          </w:p>
          <w:p w14:paraId="187CA09F" w14:textId="77777777" w:rsidR="00092BD3" w:rsidRDefault="00E34479">
            <w:pPr>
              <w:pStyle w:val="10"/>
              <w:numPr>
                <w:ilvl w:val="0"/>
                <w:numId w:val="5"/>
              </w:numPr>
              <w:ind w:firstLineChars="0"/>
            </w:pPr>
            <w:r>
              <w:t>利润增长趋势：随着营</w:t>
            </w:r>
            <w:proofErr w:type="gramStart"/>
            <w:r>
              <w:t>收增长</w:t>
            </w:r>
            <w:proofErr w:type="gramEnd"/>
            <w:r>
              <w:t>及产能爬坡，利润率改善会继续持续，预计下半年会保持增长趋势。</w:t>
            </w:r>
          </w:p>
          <w:p w14:paraId="002AB301" w14:textId="41C3B13D" w:rsidR="00092BD3" w:rsidRDefault="00644F32">
            <w:r>
              <w:rPr>
                <w:rFonts w:hint="eastAsia"/>
              </w:rPr>
              <w:t>6</w:t>
            </w:r>
            <w:r w:rsidR="00E34479">
              <w:t>. 产能与资本开支</w:t>
            </w:r>
          </w:p>
          <w:p w14:paraId="0121EC88" w14:textId="77777777" w:rsidR="00092BD3" w:rsidRDefault="00E34479">
            <w:pPr>
              <w:pStyle w:val="10"/>
              <w:numPr>
                <w:ilvl w:val="0"/>
                <w:numId w:val="5"/>
              </w:numPr>
              <w:ind w:firstLineChars="0"/>
            </w:pPr>
            <w:r>
              <w:t>产能利用率：目前原料药和制剂产能利用率高，会根据客户实际订单情况每年投入新产线。</w:t>
            </w:r>
          </w:p>
          <w:p w14:paraId="1A182EB6" w14:textId="77777777" w:rsidR="00092BD3" w:rsidRDefault="00E34479">
            <w:pPr>
              <w:pStyle w:val="10"/>
              <w:numPr>
                <w:ilvl w:val="0"/>
                <w:numId w:val="5"/>
              </w:numPr>
              <w:ind w:firstLineChars="0"/>
            </w:pPr>
            <w:r>
              <w:t>产能规划：以</w:t>
            </w:r>
            <w:proofErr w:type="gramStart"/>
            <w:r>
              <w:t>增加产线为主</w:t>
            </w:r>
            <w:proofErr w:type="gramEnd"/>
            <w:r>
              <w:t>（既定规划），同时根据大客户管线转移匹配新产线，不会盲目增加产能。</w:t>
            </w:r>
          </w:p>
          <w:p w14:paraId="44A2F58D" w14:textId="77777777" w:rsidR="00092BD3" w:rsidRDefault="00E34479">
            <w:pPr>
              <w:pStyle w:val="10"/>
              <w:numPr>
                <w:ilvl w:val="0"/>
                <w:numId w:val="5"/>
              </w:numPr>
              <w:ind w:firstLineChars="0"/>
            </w:pPr>
            <w:r>
              <w:t>资本开支：目前没有太大的资本开支规划。</w:t>
            </w:r>
          </w:p>
          <w:p w14:paraId="3D5BE01F" w14:textId="77777777" w:rsidR="00092BD3" w:rsidRDefault="00E34479">
            <w:pPr>
              <w:pStyle w:val="10"/>
              <w:numPr>
                <w:ilvl w:val="0"/>
                <w:numId w:val="5"/>
              </w:numPr>
              <w:ind w:firstLineChars="0"/>
            </w:pPr>
            <w:r>
              <w:t>折旧摊销：去年有较大的转固，折旧新增主要因转固，今年也有一些转固，但新的折旧摊销已开始逐步下降，会越来越少。</w:t>
            </w:r>
          </w:p>
          <w:p w14:paraId="08B1E21A" w14:textId="0B73489B" w:rsidR="00092BD3" w:rsidRDefault="00644F32">
            <w:r>
              <w:rPr>
                <w:rFonts w:hint="eastAsia"/>
              </w:rPr>
              <w:t>7</w:t>
            </w:r>
            <w:r w:rsidR="00E34479">
              <w:t>. 新领域开拓与创新布局</w:t>
            </w:r>
          </w:p>
          <w:p w14:paraId="2B3BB4F2" w14:textId="77777777" w:rsidR="00092BD3" w:rsidRPr="00015ACA" w:rsidRDefault="00E34479">
            <w:r w:rsidRPr="00015ACA">
              <w:rPr>
                <w:rFonts w:ascii="微软雅黑" w:eastAsia="微软雅黑" w:hAnsi="微软雅黑" w:cs="微软雅黑" w:hint="eastAsia"/>
              </w:rPr>
              <w:t>•</w:t>
            </w:r>
            <w:r w:rsidRPr="00015ACA">
              <w:t xml:space="preserve">  </w:t>
            </w:r>
            <w:proofErr w:type="gramStart"/>
            <w:r w:rsidRPr="00015ACA">
              <w:t>医</w:t>
            </w:r>
            <w:proofErr w:type="gramEnd"/>
            <w:r w:rsidRPr="00015ACA">
              <w:t>美领域：</w:t>
            </w:r>
          </w:p>
          <w:p w14:paraId="2C9975EA" w14:textId="77777777" w:rsidR="00092BD3" w:rsidRPr="00015ACA" w:rsidRDefault="00E34479">
            <w:pPr>
              <w:pStyle w:val="10"/>
              <w:numPr>
                <w:ilvl w:val="0"/>
                <w:numId w:val="2"/>
              </w:numPr>
              <w:ind w:firstLineChars="0"/>
            </w:pPr>
            <w:r w:rsidRPr="00015ACA">
              <w:t>现有基础：一直有做大健康领域</w:t>
            </w:r>
            <w:proofErr w:type="gramStart"/>
            <w:r w:rsidRPr="00015ACA">
              <w:t>医</w:t>
            </w:r>
            <w:proofErr w:type="gramEnd"/>
            <w:r w:rsidRPr="00015ACA">
              <w:t>美产品（如</w:t>
            </w:r>
            <w:proofErr w:type="gramStart"/>
            <w:r w:rsidRPr="00015ACA">
              <w:t>米诺地尔</w:t>
            </w:r>
            <w:proofErr w:type="gramEnd"/>
            <w:r w:rsidRPr="00015ACA">
              <w:t>）。</w:t>
            </w:r>
          </w:p>
          <w:p w14:paraId="164D6F39" w14:textId="77777777" w:rsidR="00092BD3" w:rsidRPr="00015ACA" w:rsidRDefault="00E34479">
            <w:pPr>
              <w:pStyle w:val="10"/>
              <w:numPr>
                <w:ilvl w:val="0"/>
                <w:numId w:val="2"/>
              </w:numPr>
              <w:ind w:firstLineChars="0"/>
            </w:pPr>
            <w:r w:rsidRPr="00015ACA">
              <w:t>新规划：今年正式布局成熟</w:t>
            </w:r>
            <w:proofErr w:type="gramStart"/>
            <w:r w:rsidRPr="00015ACA">
              <w:t>医</w:t>
            </w:r>
            <w:proofErr w:type="gramEnd"/>
            <w:r w:rsidRPr="00015ACA">
              <w:t>美品种，计划成立合作公司，目前选品、渠道建设等已开始推进。</w:t>
            </w:r>
          </w:p>
          <w:p w14:paraId="33B08FAF" w14:textId="77777777" w:rsidR="00092BD3" w:rsidRDefault="00E34479">
            <w:pPr>
              <w:pStyle w:val="10"/>
              <w:numPr>
                <w:ilvl w:val="0"/>
                <w:numId w:val="2"/>
              </w:numPr>
              <w:ind w:firstLineChars="0"/>
            </w:pPr>
            <w:r w:rsidRPr="00015ACA">
              <w:t>战略意图：新消费领域是重要方向，希望</w:t>
            </w:r>
            <w:r>
              <w:t>在该领域寻找新增长点，先用成熟产品布局渠道，后续大健康产品管线包括JH389等产品可直接应用这些渠道快速推广，为美诺华大健康品牌做铺垫。</w:t>
            </w:r>
          </w:p>
          <w:p w14:paraId="17850C56" w14:textId="77777777" w:rsidR="00092BD3" w:rsidRDefault="00E34479">
            <w:pPr>
              <w:pStyle w:val="10"/>
              <w:numPr>
                <w:ilvl w:val="0"/>
                <w:numId w:val="5"/>
              </w:numPr>
              <w:ind w:firstLineChars="0"/>
            </w:pPr>
            <w:proofErr w:type="gramStart"/>
            <w:r>
              <w:rPr>
                <w:rFonts w:hint="eastAsia"/>
              </w:rPr>
              <w:t>具身智能</w:t>
            </w:r>
            <w:proofErr w:type="gramEnd"/>
            <w:r>
              <w:t>合作：与南京贞实科技签订战略备忘录，选择其作为孵化类项目启动的合作伙伴</w:t>
            </w:r>
            <w:r>
              <w:rPr>
                <w:rFonts w:hint="eastAsia"/>
              </w:rPr>
              <w:t>，方向以医药制造为主，持续挖掘大健康产业的智能化需求，探索技术复用，将工业级机器人的精度带入原料药合成生产、益生菌发酵生产、保健品柔性生产等领域。</w:t>
            </w:r>
          </w:p>
          <w:p w14:paraId="6636F7F6" w14:textId="77777777" w:rsidR="00092BD3" w:rsidRDefault="00E34479">
            <w:pPr>
              <w:pStyle w:val="10"/>
              <w:numPr>
                <w:ilvl w:val="0"/>
                <w:numId w:val="5"/>
              </w:numPr>
              <w:ind w:firstLineChars="0"/>
            </w:pPr>
            <w:r>
              <w:t>创新药布局：</w:t>
            </w:r>
          </w:p>
          <w:p w14:paraId="65D38576" w14:textId="77777777" w:rsidR="00092BD3" w:rsidRDefault="00E34479">
            <w:pPr>
              <w:pStyle w:val="10"/>
              <w:numPr>
                <w:ilvl w:val="0"/>
                <w:numId w:val="2"/>
              </w:numPr>
              <w:ind w:firstLineChars="0"/>
            </w:pPr>
            <w:r>
              <w:t>基金投资：通过美诺华</w:t>
            </w:r>
            <w:proofErr w:type="gramStart"/>
            <w:r>
              <w:t>锐合基金</w:t>
            </w:r>
            <w:proofErr w:type="gramEnd"/>
            <w:r>
              <w:t>投资了一些创新药企业。</w:t>
            </w:r>
          </w:p>
          <w:p w14:paraId="7EB3EBAF" w14:textId="77777777" w:rsidR="00092BD3" w:rsidRDefault="00E34479">
            <w:pPr>
              <w:pStyle w:val="10"/>
              <w:numPr>
                <w:ilvl w:val="0"/>
                <w:numId w:val="2"/>
              </w:numPr>
              <w:ind w:firstLineChars="0"/>
            </w:pPr>
            <w:r>
              <w:t>API中间体合作：在传统业务上能承接创新药API或中间体合作，该块能贡献收入。</w:t>
            </w:r>
          </w:p>
          <w:p w14:paraId="5765A763" w14:textId="77777777" w:rsidR="00092BD3" w:rsidRDefault="00E34479">
            <w:pPr>
              <w:pStyle w:val="10"/>
              <w:numPr>
                <w:ilvl w:val="0"/>
                <w:numId w:val="2"/>
              </w:numPr>
              <w:ind w:firstLineChars="0"/>
            </w:pPr>
            <w:r>
              <w:t>JH389潜力：JH389的平台技术未来是否作为创新药开发管线目前也在探讨中，未来多靶点会考虑创新药方向。</w:t>
            </w:r>
          </w:p>
          <w:p w14:paraId="71D362E5" w14:textId="3778648A" w:rsidR="00092BD3" w:rsidRDefault="00644F32">
            <w:r>
              <w:rPr>
                <w:rFonts w:hint="eastAsia"/>
              </w:rPr>
              <w:t>8</w:t>
            </w:r>
            <w:r w:rsidR="00E34479">
              <w:t>. 传统业务整体业绩展望（未来两年左右）</w:t>
            </w:r>
          </w:p>
          <w:p w14:paraId="5585D48A" w14:textId="77777777" w:rsidR="00092BD3" w:rsidRDefault="00E34479">
            <w:r>
              <w:rPr>
                <w:rFonts w:ascii="微软雅黑" w:eastAsia="微软雅黑" w:hAnsi="微软雅黑" w:cs="微软雅黑" w:hint="eastAsia"/>
              </w:rPr>
              <w:t>•</w:t>
            </w:r>
            <w:r>
              <w:t xml:space="preserve"> 整体趋势：目标传统业务未来几年实现稳定增长趋势。</w:t>
            </w:r>
          </w:p>
          <w:p w14:paraId="0A379AF6" w14:textId="77777777" w:rsidR="00092BD3" w:rsidRDefault="00E34479">
            <w:pPr>
              <w:pStyle w:val="10"/>
              <w:numPr>
                <w:ilvl w:val="0"/>
                <w:numId w:val="5"/>
              </w:numPr>
              <w:ind w:firstLineChars="0"/>
            </w:pPr>
            <w:r>
              <w:t>各板块展望：</w:t>
            </w:r>
          </w:p>
          <w:p w14:paraId="12408744" w14:textId="77777777" w:rsidR="00092BD3" w:rsidRPr="00015ACA" w:rsidRDefault="00E34479">
            <w:pPr>
              <w:pStyle w:val="10"/>
              <w:numPr>
                <w:ilvl w:val="0"/>
                <w:numId w:val="2"/>
              </w:numPr>
              <w:ind w:firstLineChars="0"/>
            </w:pPr>
            <w:r>
              <w:t>API：抛开价格因素，公司出货量、销售额每年有不错增长，</w:t>
            </w:r>
            <w:r w:rsidRPr="00015ACA">
              <w:t>产能有提高。</w:t>
            </w:r>
          </w:p>
          <w:p w14:paraId="50920282" w14:textId="77777777" w:rsidR="00092BD3" w:rsidRDefault="00E34479">
            <w:pPr>
              <w:pStyle w:val="10"/>
              <w:numPr>
                <w:ilvl w:val="0"/>
                <w:numId w:val="2"/>
              </w:numPr>
              <w:ind w:firstLineChars="0"/>
            </w:pPr>
            <w:r w:rsidRPr="00015ACA">
              <w:t>CDMO：得益于MSD项目明年开始的商业化落地，未来有</w:t>
            </w:r>
            <w:r>
              <w:t>不错增长。</w:t>
            </w:r>
          </w:p>
          <w:p w14:paraId="0C772805" w14:textId="77777777" w:rsidR="00092BD3" w:rsidRDefault="00E34479">
            <w:pPr>
              <w:pStyle w:val="10"/>
              <w:numPr>
                <w:ilvl w:val="0"/>
                <w:numId w:val="2"/>
              </w:numPr>
              <w:ind w:firstLineChars="0"/>
            </w:pPr>
            <w:r>
              <w:t>制剂：是这两年核心增长驱动力，未来与大客户合作及</w:t>
            </w:r>
            <w:proofErr w:type="gramStart"/>
            <w:r>
              <w:t>自研制剂</w:t>
            </w:r>
            <w:proofErr w:type="gramEnd"/>
            <w:r>
              <w:t>放量趋势均不错，有望带动API放量及CDMO业务增长。</w:t>
            </w:r>
          </w:p>
          <w:p w14:paraId="524705C8" w14:textId="1115B262" w:rsidR="00092BD3" w:rsidRDefault="00644F32">
            <w:r>
              <w:rPr>
                <w:rFonts w:hint="eastAsia"/>
              </w:rPr>
              <w:t>9</w:t>
            </w:r>
            <w:r w:rsidR="00E34479">
              <w:t>. 大客户拓展</w:t>
            </w:r>
          </w:p>
          <w:p w14:paraId="4D1D3E80" w14:textId="2FD44F98" w:rsidR="00092BD3" w:rsidRDefault="00E34479">
            <w:pPr>
              <w:pStyle w:val="10"/>
              <w:numPr>
                <w:ilvl w:val="0"/>
                <w:numId w:val="6"/>
              </w:numPr>
              <w:ind w:firstLineChars="0"/>
            </w:pPr>
            <w:r>
              <w:t>现有合作：已与很多大客户合作多年，</w:t>
            </w:r>
            <w:r w:rsidR="00732FED">
              <w:t>今年与</w:t>
            </w:r>
            <w:r>
              <w:t>大客户合作深化。</w:t>
            </w:r>
          </w:p>
          <w:p w14:paraId="198D2275" w14:textId="42028DF7" w:rsidR="00092BD3" w:rsidRDefault="00E34479">
            <w:pPr>
              <w:pStyle w:val="10"/>
              <w:numPr>
                <w:ilvl w:val="0"/>
                <w:numId w:val="6"/>
              </w:numPr>
              <w:ind w:firstLineChars="0"/>
            </w:pPr>
            <w:r>
              <w:t>合作进展：目前多处</w:t>
            </w:r>
            <w:r w:rsidR="003512F0">
              <w:t>于验证阶段或商业化初期（部分完成验证开始转产），产品主要以</w:t>
            </w:r>
            <w:r>
              <w:t>API</w:t>
            </w:r>
            <w:r w:rsidR="00732FED">
              <w:t>及中间体为主，有</w:t>
            </w:r>
            <w:r>
              <w:t>不错的大品种。</w:t>
            </w:r>
          </w:p>
          <w:p w14:paraId="566F9874" w14:textId="154F1DC0" w:rsidR="00092BD3" w:rsidRDefault="00644F32">
            <w:r>
              <w:rPr>
                <w:rFonts w:hint="eastAsia"/>
              </w:rPr>
              <w:t>10</w:t>
            </w:r>
            <w:r w:rsidR="00E34479">
              <w:t>. 可转债规划</w:t>
            </w:r>
          </w:p>
          <w:p w14:paraId="00B1AEFB" w14:textId="75304F3A" w:rsidR="00092BD3" w:rsidRDefault="00E34479">
            <w:pPr>
              <w:pStyle w:val="10"/>
              <w:numPr>
                <w:ilvl w:val="0"/>
                <w:numId w:val="7"/>
              </w:numPr>
              <w:ind w:firstLineChars="0"/>
            </w:pPr>
            <w:r>
              <w:t>到期时间：可转债</w:t>
            </w:r>
            <w:r w:rsidR="00644F32">
              <w:rPr>
                <w:rFonts w:hint="eastAsia"/>
              </w:rPr>
              <w:t>2027</w:t>
            </w:r>
            <w:r>
              <w:t>年1月份到期，</w:t>
            </w:r>
            <w:r w:rsidR="00644F32">
              <w:t>目前</w:t>
            </w:r>
            <w:r>
              <w:t>转股价25.68元。</w:t>
            </w:r>
          </w:p>
          <w:p w14:paraId="19844458" w14:textId="77777777" w:rsidR="00092BD3" w:rsidRDefault="00E34479">
            <w:pPr>
              <w:pStyle w:val="10"/>
              <w:numPr>
                <w:ilvl w:val="0"/>
                <w:numId w:val="8"/>
              </w:numPr>
              <w:ind w:firstLineChars="0"/>
            </w:pPr>
            <w:r>
              <w:t>公司规划：</w:t>
            </w:r>
            <w:proofErr w:type="gramStart"/>
            <w:r>
              <w:t>希望促转股</w:t>
            </w:r>
            <w:proofErr w:type="gramEnd"/>
            <w:r>
              <w:t>，正不断努力提升公司业绩、推进创新项目以促进转股机会。</w:t>
            </w:r>
          </w:p>
          <w:p w14:paraId="023E9833" w14:textId="595C4E8B" w:rsidR="00092BD3" w:rsidRDefault="00644F32">
            <w:r>
              <w:rPr>
                <w:rFonts w:hint="eastAsia"/>
              </w:rPr>
              <w:t>11</w:t>
            </w:r>
            <w:r w:rsidR="00E34479">
              <w:t>. 费用率趋势</w:t>
            </w:r>
          </w:p>
          <w:p w14:paraId="01C32E81" w14:textId="77777777" w:rsidR="00092BD3" w:rsidRDefault="00E34479">
            <w:pPr>
              <w:pStyle w:val="TableParagraph"/>
              <w:numPr>
                <w:ilvl w:val="0"/>
                <w:numId w:val="8"/>
              </w:numPr>
              <w:spacing w:line="360" w:lineRule="auto"/>
            </w:pPr>
            <w:r>
              <w:t>整体情况：各项费用率近几年增长不多，基本与营收呈正比例增长，无非常大额外开支，折旧等也在规划中，逐年不会减少太多。</w:t>
            </w:r>
            <w:bookmarkStart w:id="0" w:name="_GoBack"/>
            <w:bookmarkEnd w:id="0"/>
          </w:p>
          <w:p w14:paraId="1A1FD929" w14:textId="77777777" w:rsidR="00092BD3" w:rsidRDefault="00092BD3">
            <w:pPr>
              <w:pStyle w:val="TableParagraph"/>
              <w:spacing w:line="360" w:lineRule="auto"/>
              <w:rPr>
                <w:rFonts w:asciiTheme="minorEastAsia" w:eastAsiaTheme="minorEastAsia" w:hAnsiTheme="minorEastAsia" w:cs="宋体"/>
                <w:sz w:val="21"/>
                <w:szCs w:val="21"/>
                <w:lang w:val="en-US"/>
              </w:rPr>
            </w:pPr>
          </w:p>
          <w:p w14:paraId="2D5744DF" w14:textId="77777777" w:rsidR="00092BD3" w:rsidRDefault="00092BD3">
            <w:pPr>
              <w:pStyle w:val="TableParagraph"/>
              <w:spacing w:line="360" w:lineRule="auto"/>
              <w:rPr>
                <w:rFonts w:asciiTheme="minorEastAsia" w:eastAsiaTheme="minorEastAsia" w:hAnsiTheme="minorEastAsia" w:cs="宋体"/>
                <w:sz w:val="21"/>
                <w:szCs w:val="21"/>
                <w:lang w:val="en-US"/>
              </w:rPr>
            </w:pPr>
          </w:p>
          <w:p w14:paraId="07F9FACD" w14:textId="77777777" w:rsidR="00092BD3" w:rsidRDefault="00092BD3">
            <w:pPr>
              <w:pStyle w:val="TableParagraph"/>
              <w:spacing w:line="360" w:lineRule="auto"/>
              <w:rPr>
                <w:rFonts w:asciiTheme="minorEastAsia" w:eastAsiaTheme="minorEastAsia" w:hAnsiTheme="minorEastAsia" w:cs="宋体"/>
                <w:sz w:val="21"/>
                <w:szCs w:val="21"/>
                <w:lang w:val="en-US"/>
              </w:rPr>
            </w:pPr>
          </w:p>
          <w:p w14:paraId="41E47706" w14:textId="77777777" w:rsidR="00092BD3" w:rsidRDefault="00092BD3">
            <w:pPr>
              <w:pStyle w:val="TableParagraph"/>
              <w:spacing w:line="360" w:lineRule="auto"/>
              <w:rPr>
                <w:rFonts w:asciiTheme="minorEastAsia" w:eastAsiaTheme="minorEastAsia" w:hAnsiTheme="minorEastAsia" w:cs="宋体"/>
                <w:sz w:val="21"/>
                <w:szCs w:val="21"/>
                <w:lang w:val="en-US"/>
              </w:rPr>
            </w:pPr>
          </w:p>
        </w:tc>
      </w:tr>
      <w:tr w:rsidR="00092BD3" w14:paraId="404D731D" w14:textId="77777777">
        <w:trPr>
          <w:trHeight w:val="558"/>
          <w:jc w:val="center"/>
        </w:trPr>
        <w:tc>
          <w:tcPr>
            <w:tcW w:w="2377" w:type="dxa"/>
            <w:vAlign w:val="center"/>
          </w:tcPr>
          <w:p w14:paraId="7542444A" w14:textId="77777777" w:rsidR="00092BD3" w:rsidRDefault="00E34479">
            <w:pPr>
              <w:pStyle w:val="TableParagraph"/>
              <w:spacing w:before="1"/>
              <w:ind w:left="107"/>
              <w:rPr>
                <w:rFonts w:ascii="宋体" w:eastAsia="宋体" w:hAnsi="宋体" w:cs="宋体"/>
                <w:sz w:val="21"/>
                <w:szCs w:val="21"/>
              </w:rPr>
            </w:pPr>
            <w:r>
              <w:rPr>
                <w:rFonts w:ascii="宋体" w:eastAsia="宋体" w:hAnsi="宋体" w:cs="宋体" w:hint="eastAsia"/>
                <w:sz w:val="21"/>
                <w:szCs w:val="21"/>
              </w:rPr>
              <w:t>日期</w:t>
            </w:r>
          </w:p>
        </w:tc>
        <w:tc>
          <w:tcPr>
            <w:tcW w:w="6148" w:type="dxa"/>
            <w:vAlign w:val="center"/>
          </w:tcPr>
          <w:p w14:paraId="0A42D0B5" w14:textId="77777777" w:rsidR="00092BD3" w:rsidRDefault="00E34479">
            <w:pPr>
              <w:pStyle w:val="TableParagraph"/>
              <w:rPr>
                <w:rFonts w:ascii="宋体" w:eastAsia="宋体" w:hAnsi="宋体" w:cs="宋体"/>
                <w:sz w:val="21"/>
                <w:szCs w:val="21"/>
              </w:rPr>
            </w:pPr>
            <w:r>
              <w:rPr>
                <w:rFonts w:ascii="宋体" w:eastAsia="宋体" w:hAnsi="宋体" w:cs="宋体" w:hint="eastAsia"/>
                <w:sz w:val="21"/>
                <w:szCs w:val="21"/>
              </w:rPr>
              <w:t>202</w:t>
            </w:r>
            <w:r>
              <w:rPr>
                <w:rFonts w:ascii="宋体" w:eastAsia="宋体" w:hAnsi="宋体" w:cs="宋体"/>
                <w:sz w:val="21"/>
                <w:szCs w:val="21"/>
              </w:rPr>
              <w:t>5</w:t>
            </w:r>
            <w:r>
              <w:rPr>
                <w:rFonts w:ascii="宋体" w:eastAsia="宋体" w:hAnsi="宋体" w:cs="宋体" w:hint="eastAsia"/>
                <w:sz w:val="21"/>
                <w:szCs w:val="21"/>
              </w:rPr>
              <w:t>年</w:t>
            </w:r>
            <w:r>
              <w:rPr>
                <w:rFonts w:ascii="宋体" w:eastAsia="宋体" w:hAnsi="宋体" w:cs="宋体"/>
                <w:sz w:val="21"/>
                <w:szCs w:val="21"/>
              </w:rPr>
              <w:t>8</w:t>
            </w:r>
            <w:r>
              <w:rPr>
                <w:rFonts w:ascii="宋体" w:eastAsia="宋体" w:hAnsi="宋体" w:cs="宋体" w:hint="eastAsia"/>
                <w:sz w:val="21"/>
                <w:szCs w:val="21"/>
              </w:rPr>
              <w:t>月</w:t>
            </w:r>
            <w:r>
              <w:rPr>
                <w:rFonts w:ascii="宋体" w:eastAsia="宋体" w:hAnsi="宋体" w:cs="宋体"/>
                <w:sz w:val="21"/>
                <w:szCs w:val="21"/>
              </w:rPr>
              <w:t>27</w:t>
            </w:r>
            <w:r>
              <w:rPr>
                <w:rFonts w:ascii="宋体" w:eastAsia="宋体" w:hAnsi="宋体" w:cs="宋体" w:hint="eastAsia"/>
                <w:sz w:val="21"/>
                <w:szCs w:val="21"/>
              </w:rPr>
              <w:t>日</w:t>
            </w:r>
          </w:p>
        </w:tc>
      </w:tr>
    </w:tbl>
    <w:p w14:paraId="764604AF" w14:textId="77777777" w:rsidR="00092BD3" w:rsidRDefault="00092BD3">
      <w:pPr>
        <w:rPr>
          <w:rFonts w:ascii="宋体" w:eastAsia="宋体" w:hAnsi="宋体" w:cs="宋体"/>
        </w:rPr>
      </w:pPr>
    </w:p>
    <w:sectPr w:rsidR="00092BD3">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33CCC"/>
    <w:multiLevelType w:val="multilevel"/>
    <w:tmpl w:val="15533CCC"/>
    <w:lvl w:ilvl="0">
      <w:start w:val="2"/>
      <w:numFmt w:val="bullet"/>
      <w:lvlText w:val="•"/>
      <w:lvlJc w:val="left"/>
      <w:pPr>
        <w:ind w:left="420" w:hanging="420"/>
      </w:pPr>
      <w:rPr>
        <w:rFonts w:ascii="微软雅黑" w:eastAsia="微软雅黑" w:hAnsi="微软雅黑" w:cs="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EB6736C"/>
    <w:multiLevelType w:val="multilevel"/>
    <w:tmpl w:val="1EB6736C"/>
    <w:lvl w:ilvl="0">
      <w:start w:val="2"/>
      <w:numFmt w:val="bullet"/>
      <w:lvlText w:val="•"/>
      <w:lvlJc w:val="left"/>
      <w:pPr>
        <w:ind w:left="420" w:hanging="420"/>
      </w:pPr>
      <w:rPr>
        <w:rFonts w:ascii="微软雅黑" w:eastAsia="微软雅黑" w:hAnsi="微软雅黑" w:cs="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5270D53"/>
    <w:multiLevelType w:val="multilevel"/>
    <w:tmpl w:val="25270D53"/>
    <w:lvl w:ilvl="0">
      <w:start w:val="2"/>
      <w:numFmt w:val="bullet"/>
      <w:lvlText w:val="•"/>
      <w:lvlJc w:val="left"/>
      <w:pPr>
        <w:ind w:left="420" w:hanging="420"/>
      </w:pPr>
      <w:rPr>
        <w:rFonts w:ascii="微软雅黑" w:eastAsia="微软雅黑" w:hAnsi="微软雅黑" w:cs="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9F33956"/>
    <w:multiLevelType w:val="multilevel"/>
    <w:tmpl w:val="49F33956"/>
    <w:lvl w:ilvl="0">
      <w:start w:val="2"/>
      <w:numFmt w:val="bullet"/>
      <w:lvlText w:val="•"/>
      <w:lvlJc w:val="left"/>
      <w:pPr>
        <w:ind w:left="360" w:hanging="360"/>
      </w:pPr>
      <w:rPr>
        <w:rFonts w:ascii="微软雅黑" w:eastAsia="微软雅黑" w:hAnsi="微软雅黑" w:cs="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F21711F"/>
    <w:multiLevelType w:val="multilevel"/>
    <w:tmpl w:val="4F21711F"/>
    <w:lvl w:ilvl="0">
      <w:start w:val="2"/>
      <w:numFmt w:val="bullet"/>
      <w:lvlText w:val="•"/>
      <w:lvlJc w:val="left"/>
      <w:pPr>
        <w:ind w:left="420" w:hanging="420"/>
      </w:pPr>
      <w:rPr>
        <w:rFonts w:ascii="微软雅黑" w:eastAsia="微软雅黑" w:hAnsi="微软雅黑" w:cs="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5BEA63BC"/>
    <w:multiLevelType w:val="multilevel"/>
    <w:tmpl w:val="5BEA63BC"/>
    <w:lvl w:ilvl="0">
      <w:start w:val="2"/>
      <w:numFmt w:val="bullet"/>
      <w:lvlText w:val="–"/>
      <w:lvlJc w:val="left"/>
      <w:pPr>
        <w:ind w:left="360" w:hanging="360"/>
      </w:pPr>
      <w:rPr>
        <w:rFonts w:ascii="仿宋" w:eastAsia="仿宋" w:hAnsi="仿宋" w:cs="仿宋"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F591B2F"/>
    <w:multiLevelType w:val="multilevel"/>
    <w:tmpl w:val="5F591B2F"/>
    <w:lvl w:ilvl="0">
      <w:start w:val="2"/>
      <w:numFmt w:val="bullet"/>
      <w:lvlText w:val="•"/>
      <w:lvlJc w:val="left"/>
      <w:pPr>
        <w:ind w:left="420" w:hanging="420"/>
      </w:pPr>
      <w:rPr>
        <w:rFonts w:ascii="微软雅黑" w:eastAsia="微软雅黑" w:hAnsi="微软雅黑" w:cs="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629D7E3C"/>
    <w:multiLevelType w:val="multilevel"/>
    <w:tmpl w:val="629D7E3C"/>
    <w:lvl w:ilvl="0">
      <w:start w:val="2"/>
      <w:numFmt w:val="bullet"/>
      <w:lvlText w:val="•"/>
      <w:lvlJc w:val="left"/>
      <w:pPr>
        <w:ind w:left="420" w:hanging="420"/>
      </w:pPr>
      <w:rPr>
        <w:rFonts w:ascii="微软雅黑" w:eastAsia="微软雅黑" w:hAnsi="微软雅黑" w:cs="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1"/>
  </w:num>
  <w:num w:numId="4">
    <w:abstractNumId w:val="7"/>
  </w:num>
  <w:num w:numId="5">
    <w:abstractNumId w:val="2"/>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BD3"/>
    <w:rsid w:val="00015ACA"/>
    <w:rsid w:val="00092BD3"/>
    <w:rsid w:val="003512F0"/>
    <w:rsid w:val="003644D5"/>
    <w:rsid w:val="00644F32"/>
    <w:rsid w:val="006E66F8"/>
    <w:rsid w:val="00732FED"/>
    <w:rsid w:val="00886B58"/>
    <w:rsid w:val="00A669D1"/>
    <w:rsid w:val="00E21BF3"/>
    <w:rsid w:val="00E34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iPriority="1"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20"/>
    </w:pPr>
    <w:rPr>
      <w:sz w:val="32"/>
      <w:szCs w:val="32"/>
    </w:rPr>
  </w:style>
  <w:style w:type="paragraph" w:styleId="a4">
    <w:name w:val="footer"/>
    <w:basedOn w:val="a"/>
    <w:link w:val="Char"/>
    <w:pPr>
      <w:tabs>
        <w:tab w:val="center" w:pos="4153"/>
        <w:tab w:val="right" w:pos="8306"/>
      </w:tabs>
      <w:snapToGrid w:val="0"/>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TableParagraph">
    <w:name w:val="Table Paragraph"/>
    <w:basedOn w:val="a"/>
    <w:uiPriority w:val="1"/>
    <w:qFormat/>
  </w:style>
  <w:style w:type="character" w:customStyle="1" w:styleId="Char0">
    <w:name w:val="页眉 Char"/>
    <w:basedOn w:val="a0"/>
    <w:link w:val="a5"/>
    <w:rPr>
      <w:rFonts w:ascii="仿宋" w:eastAsia="仿宋" w:hAnsi="仿宋" w:cs="仿宋"/>
      <w:sz w:val="18"/>
      <w:szCs w:val="18"/>
      <w:lang w:val="zh-CN" w:bidi="zh-CN"/>
    </w:rPr>
  </w:style>
  <w:style w:type="character" w:customStyle="1" w:styleId="Char">
    <w:name w:val="页脚 Char"/>
    <w:basedOn w:val="a0"/>
    <w:link w:val="a4"/>
    <w:rPr>
      <w:rFonts w:ascii="仿宋" w:eastAsia="仿宋" w:hAnsi="仿宋" w:cs="仿宋"/>
      <w:sz w:val="18"/>
      <w:szCs w:val="18"/>
      <w:lang w:val="zh-CN" w:bidi="zh-CN"/>
    </w:rPr>
  </w:style>
  <w:style w:type="paragraph" w:customStyle="1" w:styleId="10">
    <w:name w:val="列出段落1"/>
    <w:basedOn w:val="a"/>
    <w:uiPriority w:val="99"/>
    <w:pPr>
      <w:ind w:firstLineChars="200" w:firstLine="420"/>
    </w:pPr>
  </w:style>
  <w:style w:type="character" w:styleId="a6">
    <w:name w:val="annotation reference"/>
    <w:basedOn w:val="a0"/>
    <w:semiHidden/>
    <w:unhideWhenUsed/>
    <w:rsid w:val="00644F32"/>
    <w:rPr>
      <w:sz w:val="21"/>
      <w:szCs w:val="21"/>
    </w:rPr>
  </w:style>
  <w:style w:type="paragraph" w:styleId="a7">
    <w:name w:val="annotation text"/>
    <w:basedOn w:val="a"/>
    <w:link w:val="Char1"/>
    <w:semiHidden/>
    <w:unhideWhenUsed/>
    <w:rsid w:val="00644F32"/>
  </w:style>
  <w:style w:type="character" w:customStyle="1" w:styleId="Char1">
    <w:name w:val="批注文字 Char"/>
    <w:basedOn w:val="a0"/>
    <w:link w:val="a7"/>
    <w:semiHidden/>
    <w:rsid w:val="00644F32"/>
    <w:rPr>
      <w:rFonts w:ascii="仿宋" w:eastAsia="仿宋" w:hAnsi="仿宋" w:cs="仿宋"/>
      <w:sz w:val="22"/>
      <w:szCs w:val="22"/>
      <w:lang w:val="zh-CN" w:bidi="zh-CN"/>
    </w:rPr>
  </w:style>
  <w:style w:type="paragraph" w:styleId="a8">
    <w:name w:val="annotation subject"/>
    <w:basedOn w:val="a7"/>
    <w:next w:val="a7"/>
    <w:link w:val="Char2"/>
    <w:semiHidden/>
    <w:unhideWhenUsed/>
    <w:rsid w:val="00644F32"/>
    <w:rPr>
      <w:b/>
      <w:bCs/>
    </w:rPr>
  </w:style>
  <w:style w:type="character" w:customStyle="1" w:styleId="Char2">
    <w:name w:val="批注主题 Char"/>
    <w:basedOn w:val="Char1"/>
    <w:link w:val="a8"/>
    <w:semiHidden/>
    <w:rsid w:val="00644F32"/>
    <w:rPr>
      <w:rFonts w:ascii="仿宋" w:eastAsia="仿宋" w:hAnsi="仿宋" w:cs="仿宋"/>
      <w:b/>
      <w:bCs/>
      <w:sz w:val="22"/>
      <w:szCs w:val="22"/>
      <w:lang w:val="zh-CN" w:bidi="zh-CN"/>
    </w:rPr>
  </w:style>
  <w:style w:type="paragraph" w:styleId="a9">
    <w:name w:val="Balloon Text"/>
    <w:basedOn w:val="a"/>
    <w:link w:val="Char3"/>
    <w:semiHidden/>
    <w:unhideWhenUsed/>
    <w:rsid w:val="00644F32"/>
    <w:rPr>
      <w:sz w:val="18"/>
      <w:szCs w:val="18"/>
    </w:rPr>
  </w:style>
  <w:style w:type="character" w:customStyle="1" w:styleId="Char3">
    <w:name w:val="批注框文本 Char"/>
    <w:basedOn w:val="a0"/>
    <w:link w:val="a9"/>
    <w:semiHidden/>
    <w:rsid w:val="00644F32"/>
    <w:rPr>
      <w:rFonts w:ascii="仿宋" w:eastAsia="仿宋" w:hAnsi="仿宋" w:cs="仿宋"/>
      <w:sz w:val="18"/>
      <w:szCs w:val="18"/>
      <w:lang w:val="zh-CN" w:bidi="zh-CN"/>
    </w:rPr>
  </w:style>
  <w:style w:type="paragraph" w:styleId="aa">
    <w:name w:val="List Paragraph"/>
    <w:basedOn w:val="a"/>
    <w:uiPriority w:val="99"/>
    <w:unhideWhenUsed/>
    <w:rsid w:val="00E21BF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iPriority="1"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20"/>
    </w:pPr>
    <w:rPr>
      <w:sz w:val="32"/>
      <w:szCs w:val="32"/>
    </w:rPr>
  </w:style>
  <w:style w:type="paragraph" w:styleId="a4">
    <w:name w:val="footer"/>
    <w:basedOn w:val="a"/>
    <w:link w:val="Char"/>
    <w:pPr>
      <w:tabs>
        <w:tab w:val="center" w:pos="4153"/>
        <w:tab w:val="right" w:pos="8306"/>
      </w:tabs>
      <w:snapToGrid w:val="0"/>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TableParagraph">
    <w:name w:val="Table Paragraph"/>
    <w:basedOn w:val="a"/>
    <w:uiPriority w:val="1"/>
    <w:qFormat/>
  </w:style>
  <w:style w:type="character" w:customStyle="1" w:styleId="Char0">
    <w:name w:val="页眉 Char"/>
    <w:basedOn w:val="a0"/>
    <w:link w:val="a5"/>
    <w:rPr>
      <w:rFonts w:ascii="仿宋" w:eastAsia="仿宋" w:hAnsi="仿宋" w:cs="仿宋"/>
      <w:sz w:val="18"/>
      <w:szCs w:val="18"/>
      <w:lang w:val="zh-CN" w:bidi="zh-CN"/>
    </w:rPr>
  </w:style>
  <w:style w:type="character" w:customStyle="1" w:styleId="Char">
    <w:name w:val="页脚 Char"/>
    <w:basedOn w:val="a0"/>
    <w:link w:val="a4"/>
    <w:rPr>
      <w:rFonts w:ascii="仿宋" w:eastAsia="仿宋" w:hAnsi="仿宋" w:cs="仿宋"/>
      <w:sz w:val="18"/>
      <w:szCs w:val="18"/>
      <w:lang w:val="zh-CN" w:bidi="zh-CN"/>
    </w:rPr>
  </w:style>
  <w:style w:type="paragraph" w:customStyle="1" w:styleId="10">
    <w:name w:val="列出段落1"/>
    <w:basedOn w:val="a"/>
    <w:uiPriority w:val="99"/>
    <w:pPr>
      <w:ind w:firstLineChars="200" w:firstLine="420"/>
    </w:pPr>
  </w:style>
  <w:style w:type="character" w:styleId="a6">
    <w:name w:val="annotation reference"/>
    <w:basedOn w:val="a0"/>
    <w:semiHidden/>
    <w:unhideWhenUsed/>
    <w:rsid w:val="00644F32"/>
    <w:rPr>
      <w:sz w:val="21"/>
      <w:szCs w:val="21"/>
    </w:rPr>
  </w:style>
  <w:style w:type="paragraph" w:styleId="a7">
    <w:name w:val="annotation text"/>
    <w:basedOn w:val="a"/>
    <w:link w:val="Char1"/>
    <w:semiHidden/>
    <w:unhideWhenUsed/>
    <w:rsid w:val="00644F32"/>
  </w:style>
  <w:style w:type="character" w:customStyle="1" w:styleId="Char1">
    <w:name w:val="批注文字 Char"/>
    <w:basedOn w:val="a0"/>
    <w:link w:val="a7"/>
    <w:semiHidden/>
    <w:rsid w:val="00644F32"/>
    <w:rPr>
      <w:rFonts w:ascii="仿宋" w:eastAsia="仿宋" w:hAnsi="仿宋" w:cs="仿宋"/>
      <w:sz w:val="22"/>
      <w:szCs w:val="22"/>
      <w:lang w:val="zh-CN" w:bidi="zh-CN"/>
    </w:rPr>
  </w:style>
  <w:style w:type="paragraph" w:styleId="a8">
    <w:name w:val="annotation subject"/>
    <w:basedOn w:val="a7"/>
    <w:next w:val="a7"/>
    <w:link w:val="Char2"/>
    <w:semiHidden/>
    <w:unhideWhenUsed/>
    <w:rsid w:val="00644F32"/>
    <w:rPr>
      <w:b/>
      <w:bCs/>
    </w:rPr>
  </w:style>
  <w:style w:type="character" w:customStyle="1" w:styleId="Char2">
    <w:name w:val="批注主题 Char"/>
    <w:basedOn w:val="Char1"/>
    <w:link w:val="a8"/>
    <w:semiHidden/>
    <w:rsid w:val="00644F32"/>
    <w:rPr>
      <w:rFonts w:ascii="仿宋" w:eastAsia="仿宋" w:hAnsi="仿宋" w:cs="仿宋"/>
      <w:b/>
      <w:bCs/>
      <w:sz w:val="22"/>
      <w:szCs w:val="22"/>
      <w:lang w:val="zh-CN" w:bidi="zh-CN"/>
    </w:rPr>
  </w:style>
  <w:style w:type="paragraph" w:styleId="a9">
    <w:name w:val="Balloon Text"/>
    <w:basedOn w:val="a"/>
    <w:link w:val="Char3"/>
    <w:semiHidden/>
    <w:unhideWhenUsed/>
    <w:rsid w:val="00644F32"/>
    <w:rPr>
      <w:sz w:val="18"/>
      <w:szCs w:val="18"/>
    </w:rPr>
  </w:style>
  <w:style w:type="character" w:customStyle="1" w:styleId="Char3">
    <w:name w:val="批注框文本 Char"/>
    <w:basedOn w:val="a0"/>
    <w:link w:val="a9"/>
    <w:semiHidden/>
    <w:rsid w:val="00644F32"/>
    <w:rPr>
      <w:rFonts w:ascii="仿宋" w:eastAsia="仿宋" w:hAnsi="仿宋" w:cs="仿宋"/>
      <w:sz w:val="18"/>
      <w:szCs w:val="18"/>
      <w:lang w:val="zh-CN" w:bidi="zh-CN"/>
    </w:rPr>
  </w:style>
  <w:style w:type="paragraph" w:styleId="aa">
    <w:name w:val="List Paragraph"/>
    <w:basedOn w:val="a"/>
    <w:uiPriority w:val="99"/>
    <w:unhideWhenUsed/>
    <w:rsid w:val="00E21BF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menovo</dc:creator>
  <cp:lastModifiedBy>menovo</cp:lastModifiedBy>
  <cp:revision>10</cp:revision>
  <cp:lastPrinted>2023-04-07T02:45:00Z</cp:lastPrinted>
  <dcterms:created xsi:type="dcterms:W3CDTF">2025-08-28T04:43:00Z</dcterms:created>
  <dcterms:modified xsi:type="dcterms:W3CDTF">2025-08-28T05:32:00Z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2052-12.31.0</vt:lpwstr>
  </property>
  <property fmtid="{D5CDD505-2E9C-101B-9397-08002B2CF9AE}" pid="3" name="ICV">
    <vt:lpwstr>CEC471187BAB4C672240AF68BCFFBFF7_31</vt:lpwstr>
  </property>
</Properties>
</file>