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8230" w14:textId="77777777" w:rsidR="00AF1270" w:rsidRDefault="003409BB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证券代码：</w:t>
      </w:r>
      <w:r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603909                              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证券简称：建发合诚</w:t>
      </w:r>
    </w:p>
    <w:p w14:paraId="03958231" w14:textId="77777777" w:rsidR="00AF1270" w:rsidRDefault="00AF1270">
      <w:pPr>
        <w:spacing w:line="60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3958232" w14:textId="77777777" w:rsidR="00AF1270" w:rsidRDefault="003409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建发合诚工程咨询股份有限公司</w:t>
      </w:r>
    </w:p>
    <w:p w14:paraId="03958233" w14:textId="77777777" w:rsidR="00AF1270" w:rsidRDefault="003409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投资者关系活动记录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624"/>
      </w:tblGrid>
      <w:tr w:rsidR="00AF1270" w14:paraId="0395823A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4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624" w:type="dxa"/>
          </w:tcPr>
          <w:p w14:paraId="03958235" w14:textId="77777777" w:rsidR="00AF1270" w:rsidRDefault="005672CA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03958236" w14:textId="77777777" w:rsidR="00AF1270" w:rsidRDefault="005672CA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Wingdings 2" w:eastAsia="MS Gothic" w:hAnsi="Wingdings 2" w:cs="宋体" w:hint="eastAsia"/>
                    <w:sz w:val="24"/>
                    <w:szCs w:val="24"/>
                  </w:rPr>
                  <w:t>R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03958237" w14:textId="77777777" w:rsidR="00AF1270" w:rsidRDefault="005672CA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03958238" w14:textId="77777777" w:rsidR="00AF1270" w:rsidRDefault="005672CA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03958239" w14:textId="4D7BDA6A" w:rsidR="00AF1270" w:rsidRDefault="005672CA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73E3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其他（</w:t>
            </w:r>
            <w:r w:rsidR="00DC73E3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线上交流会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）</w:t>
            </w:r>
          </w:p>
        </w:tc>
      </w:tr>
      <w:tr w:rsidR="00AF1270" w14:paraId="0395823D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B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624" w:type="dxa"/>
            <w:vAlign w:val="center"/>
          </w:tcPr>
          <w:p w14:paraId="15A5751B" w14:textId="42B7C3DE" w:rsidR="00CD31EA" w:rsidRDefault="00B96F27">
            <w:pPr>
              <w:pStyle w:val="TableParagraph"/>
              <w:spacing w:beforeLines="30" w:before="72" w:afterLines="30" w:after="72"/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长江证券、中信建投证券</w:t>
            </w:r>
            <w:r w:rsidR="00205CD6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、国联证券、开源证券</w:t>
            </w:r>
          </w:p>
          <w:p w14:paraId="0395823C" w14:textId="10F8035B" w:rsidR="00AF1270" w:rsidRDefault="003409BB">
            <w:pPr>
              <w:pStyle w:val="TableParagraph"/>
              <w:spacing w:beforeLines="30" w:before="72" w:afterLines="30" w:after="72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线上参与公司</w:t>
            </w:r>
            <w:r>
              <w:rPr>
                <w:rFonts w:ascii="Times New Roman" w:eastAsiaTheme="minorEastAsia" w:hAnsi="Times New Roman" w:cs="宋体" w:hint="eastAsia"/>
                <w:sz w:val="24"/>
                <w:szCs w:val="24"/>
                <w:lang w:val="en-US"/>
              </w:rPr>
              <w:t>2025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年半年度业绩说明会的投资者</w:t>
            </w:r>
          </w:p>
        </w:tc>
      </w:tr>
      <w:tr w:rsidR="00AF1270" w14:paraId="03958240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E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624" w:type="dxa"/>
            <w:vAlign w:val="center"/>
          </w:tcPr>
          <w:p w14:paraId="5BA9742B" w14:textId="4F62C023" w:rsidR="00205CD6" w:rsidRDefault="00B15C3F">
            <w:pPr>
              <w:spacing w:beforeLines="30" w:before="72" w:afterLines="30" w:after="72"/>
              <w:rPr>
                <w:rFonts w:ascii="Times New Roman" w:eastAsiaTheme="minorEastAsia" w:hAnsi="Times New Roman" w:cstheme="minor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08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日</w:t>
            </w:r>
          </w:p>
          <w:p w14:paraId="0395823F" w14:textId="1EE1E8B7" w:rsidR="00AF1270" w:rsidRDefault="003409BB">
            <w:pPr>
              <w:spacing w:beforeLines="30" w:before="72" w:afterLines="30" w:after="72"/>
              <w:rPr>
                <w:rFonts w:hint="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28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00</w:t>
            </w:r>
          </w:p>
        </w:tc>
      </w:tr>
      <w:tr w:rsidR="00AF1270" w14:paraId="03958243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1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624" w:type="dxa"/>
            <w:vAlign w:val="center"/>
          </w:tcPr>
          <w:p w14:paraId="5BCE5E58" w14:textId="5B1DAAB5" w:rsidR="00EF0890" w:rsidRDefault="00EF0890">
            <w:pPr>
              <w:pStyle w:val="TableParagraph"/>
              <w:spacing w:beforeLines="30" w:before="72" w:afterLines="30" w:after="72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线上会议</w:t>
            </w:r>
          </w:p>
          <w:p w14:paraId="03958242" w14:textId="2A8C1A01" w:rsidR="00AF1270" w:rsidRDefault="003409BB">
            <w:pPr>
              <w:pStyle w:val="TableParagraph"/>
              <w:spacing w:beforeLines="30" w:before="72" w:afterLines="30" w:after="72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价值在线（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https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://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www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ir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online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cn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/）网络互动</w:t>
            </w:r>
          </w:p>
        </w:tc>
      </w:tr>
      <w:tr w:rsidR="00AF1270" w14:paraId="03958249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4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624" w:type="dxa"/>
            <w:vAlign w:val="center"/>
          </w:tcPr>
          <w:p w14:paraId="03958245" w14:textId="486C3E8D" w:rsidR="00AF1270" w:rsidRDefault="005672CA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董事兼</w:t>
            </w:r>
            <w:r w:rsidR="003409BB">
              <w:rPr>
                <w:rFonts w:ascii="宋体" w:eastAsia="宋体" w:hAnsi="宋体" w:cs="宋体"/>
                <w:sz w:val="24"/>
                <w:szCs w:val="24"/>
              </w:rPr>
              <w:t>总经理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3409BB">
              <w:rPr>
                <w:rFonts w:ascii="宋体" w:eastAsia="宋体" w:hAnsi="宋体" w:cs="宋体"/>
                <w:sz w:val="24"/>
                <w:szCs w:val="24"/>
              </w:rPr>
              <w:t>黄和宾</w:t>
            </w:r>
          </w:p>
          <w:p w14:paraId="03958246" w14:textId="17AA8923" w:rsidR="00AF127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独立董事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林朝南</w:t>
            </w:r>
          </w:p>
          <w:p w14:paraId="03958247" w14:textId="0CD338D0" w:rsidR="00AF127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董事会秘</w:t>
            </w:r>
            <w:r w:rsidR="00B87B02">
              <w:rPr>
                <w:rFonts w:ascii="宋体" w:eastAsia="宋体" w:hAnsi="宋体" w:cs="宋体" w:hint="eastAsia"/>
                <w:sz w:val="24"/>
                <w:szCs w:val="24"/>
              </w:rPr>
              <w:t>书</w:t>
            </w:r>
            <w:r w:rsidR="005672C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高玮琳</w:t>
            </w:r>
          </w:p>
          <w:p w14:paraId="6724FEAD" w14:textId="088EE09A" w:rsidR="00AF127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财务总监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刘晓玲</w:t>
            </w:r>
          </w:p>
          <w:p w14:paraId="03958248" w14:textId="519CD471" w:rsidR="00EF0890" w:rsidRDefault="00EF0890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证券事务代表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 xml:space="preserve"> 何璇</w:t>
            </w:r>
          </w:p>
        </w:tc>
      </w:tr>
      <w:tr w:rsidR="00AF1270" w14:paraId="0395825E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A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</w:t>
            </w:r>
          </w:p>
          <w:p w14:paraId="0395824B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主要内容介绍</w:t>
            </w:r>
          </w:p>
        </w:tc>
        <w:tc>
          <w:tcPr>
            <w:tcW w:w="6624" w:type="dxa"/>
          </w:tcPr>
          <w:p w14:paraId="0395824C" w14:textId="77777777" w:rsidR="00AF1270" w:rsidRDefault="003409BB" w:rsidP="003409BB">
            <w:pPr>
              <w:pStyle w:val="TableParagraph"/>
              <w:spacing w:beforeLines="30" w:before="72"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.请问今年订单情况如何</w:t>
            </w:r>
          </w:p>
          <w:p w14:paraId="0395824D" w14:textId="69E824E2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年上半年，公司新签合同额达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50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亿元，同比增长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48</w:t>
            </w:r>
            <w:r>
              <w:rPr>
                <w:rFonts w:ascii="宋体" w:eastAsia="宋体" w:hAnsi="宋体" w:cs="宋体"/>
                <w:sz w:val="24"/>
                <w:szCs w:val="24"/>
              </w:rPr>
              <w:t>%。其中，工程咨询业务（勘察设计/工程管理/试验检测）在行业增速整体放缓的背景下，展现较强韧性，新签合同额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57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亿元，与上年同期基本持平；工程施工业务（建筑施工/综合管养/工程材料）表现亮眼，新签合同额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45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93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亿元，同比大幅增长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56</w:t>
            </w:r>
            <w:r>
              <w:rPr>
                <w:rFonts w:ascii="宋体" w:eastAsia="宋体" w:hAnsi="宋体" w:cs="宋体"/>
                <w:sz w:val="24"/>
                <w:szCs w:val="24"/>
              </w:rPr>
              <w:t>%。该业务主要得益于控股股东上半年土地储备的积极扩张，有效带动了相关业务需求。</w:t>
            </w:r>
          </w:p>
          <w:p w14:paraId="0395824E" w14:textId="77777777" w:rsidR="00AF1270" w:rsidRDefault="003409BB" w:rsidP="003409BB">
            <w:pPr>
              <w:pStyle w:val="TableParagraph"/>
              <w:spacing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.海外市场怎么看？目前销售区域？</w:t>
            </w:r>
          </w:p>
          <w:p w14:paraId="0395824F" w14:textId="540E417A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近年来，公司积极拓展海外业务，今年重点关注兼具潜力与挑战的东南亚市场。该区域经济发展空间广阔，但基础设施仍相对薄弱，为公司带来了业务切入的机会。公司在以往设计业务出海的基础上，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年上半年增加了检测及施工等海外业务。</w:t>
            </w: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报告期内，公司在泰国完成本地团队组建，积极对接建发集团、多家央国企以及当地商会等资源，并成功依托建发集团协同优势，签约首个千万级项目——建发泰国光伏产业园道路工程，目前项目进展过半。下一步，公司将持续拓展央国企在东南亚的业务机会，积极探索可持续的海外业务发展模式。</w:t>
            </w:r>
          </w:p>
          <w:p w14:paraId="03958250" w14:textId="77777777" w:rsidR="00AF1270" w:rsidRDefault="003409BB" w:rsidP="003409BB">
            <w:pPr>
              <w:pStyle w:val="TableParagraph"/>
              <w:spacing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.国家把城市更新作为国家战略之一，请问公司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年上半年在城市更新方面取得了哪些成效？</w:t>
            </w:r>
          </w:p>
          <w:p w14:paraId="03958251" w14:textId="1793E578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公司紧密响应国家关于城市更新与韧性城市建设的政策导向，依托“建发合诚工程医院”平台，公司深耕在役工程领域，重点打造“焕新城”、“焕新家”等系统性解决方案，助力城市更新改造。公司自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24</w:t>
            </w:r>
            <w:r>
              <w:rPr>
                <w:rFonts w:ascii="宋体" w:eastAsia="宋体" w:hAnsi="宋体" w:cs="宋体"/>
                <w:sz w:val="24"/>
                <w:szCs w:val="24"/>
              </w:rPr>
              <w:t>年起打造的“工程医院”平台在今年上半年表现亮眼，报告期内累计新签合同额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79</w:t>
            </w:r>
            <w:r>
              <w:rPr>
                <w:rFonts w:ascii="宋体" w:eastAsia="宋体" w:hAnsi="宋体" w:cs="宋体"/>
                <w:sz w:val="24"/>
                <w:szCs w:val="24"/>
              </w:rPr>
              <w:t>亿，已经超过去年全年。其中，涉及老旧小区改造、地下管网改造等城市更新业务新签合同超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亿元。</w:t>
            </w:r>
          </w:p>
          <w:p w14:paraId="03958252" w14:textId="77777777" w:rsidR="00AF1270" w:rsidRDefault="003409BB" w:rsidP="003409BB">
            <w:pPr>
              <w:pStyle w:val="TableParagraph"/>
              <w:spacing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.请问公司在城市更新领域的技术优势有哪些？</w:t>
            </w:r>
          </w:p>
          <w:p w14:paraId="03958253" w14:textId="10A12CC0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在城市更新领域，公司凭借深厚的技术积淀与综合专业实力，构建了独具特色的全方位服务能力，致力于为城市更新提供高品质、系统化的解决方案。建发合诚持有市政设计行业甲级、工程监理甲级、建筑工程施工总承包壹级等多项资质，能够为城市更新项目提供全生命周期的一站式服务，业务涵盖勘察设计、工程管理、试验检测、综合管养及建筑施工等生产环节。从前期规划与设计，到施工阶段的质量与进度控制，再到后期运营维护，公司以扎实的资质基础和丰富的项目经验为支撑，助力城市项目高效落地，满足城市发展的多元需求。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年上半年，公司在勘察设计、试验检测、综合管养等专业领域承接了包括老旧小区改造、地下管网、市政基础设施升级在内的城市更新业务，新签合同额超过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。同时，“合诚数智云”作为公司数字化的核心平台，为城市运营管理服务提供数据支持。展望未来，公司将持续提升服务品质与综合能力，不断契合城市发展的新需求，为城市更新与可持续发展注入新动力。</w:t>
            </w:r>
          </w:p>
          <w:p w14:paraId="03958254" w14:textId="77777777" w:rsidR="00AF1270" w:rsidRDefault="003409BB" w:rsidP="003409BB">
            <w:pPr>
              <w:pStyle w:val="TableParagraph"/>
              <w:spacing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.请问公司在城市更新业务规划是什么？</w:t>
            </w:r>
          </w:p>
          <w:p w14:paraId="03958255" w14:textId="0196FE93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伴随着国家在城市更新领域政策的持续深化，公司将进一步强化与地方城投、交投的战略合作，重点构建杭州、成都、武汉等核心城市的属地化服务能力。通过系统性资源整合与产业链服务导入，深耕城市更新业务，逐步形成以核心城市为中心辐射周边区域的业务布局。同时，公司将着力打造专注于城市更新的专家团队，充分发挥建发集团内部协同优势，与建发城投、建发更新建设公司等兄弟单位紧密协作，共同推进城市更新项目的拓展与实施。</w:t>
            </w:r>
          </w:p>
          <w:p w14:paraId="03958256" w14:textId="77777777" w:rsidR="00AF1270" w:rsidRDefault="003409BB" w:rsidP="003409BB">
            <w:pPr>
              <w:pStyle w:val="TableParagraph"/>
              <w:spacing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.海外业务在东南亚取得突破性进展，首个泰国项目合同额超千万，未来在东南亚及其他海外市场的拓展计划可否透露一下，谢谢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。</w:t>
            </w:r>
          </w:p>
          <w:p w14:paraId="03958257" w14:textId="57B55DD8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目前，公司已在泰国完成本地团队组建，并对接建发集团、多家央国企以及当地商会等资源，已落地首个千万级项目——建发泰国光伏产业园道路工程。未来，公司将基于当前在东南亚的拓展情况，持续拓展央国企在东南亚的业务机会，将聚焦检测、施工等现有优势领域，并积极探索材料销售等新增长点，打造可持续的海外业务发展模式。</w:t>
            </w:r>
          </w:p>
          <w:p w14:paraId="03958258" w14:textId="77777777" w:rsidR="00AF1270" w:rsidRDefault="003409BB" w:rsidP="003409BB">
            <w:pPr>
              <w:pStyle w:val="TableParagraph"/>
              <w:spacing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.请问公司在数字化方面有什么进展？</w:t>
            </w:r>
          </w:p>
          <w:p w14:paraId="03958259" w14:textId="5864C424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在业务端方面，①合诚数智云：建发合诚工程医院基于“感、传、知、用”技术架构，构建“五层两翼”通用模型，并着手开发城市运行管理服务平台——“合诚数智云”，为在役工程全生命周期管理提供检测、设计、维养一体化数智服务。②智慧养护：厦门同安项目推进智能化升级，无人机巡检有效弥补人工盲区，灾后评估效率提升超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70</w:t>
            </w:r>
            <w:r>
              <w:rPr>
                <w:rFonts w:ascii="宋体" w:eastAsia="宋体" w:hAnsi="宋体" w:cs="宋体"/>
                <w:sz w:val="24"/>
                <w:szCs w:val="24"/>
              </w:rPr>
              <w:t>%；无人清扫车实现厘米级路径跟踪与动态避障，人行道试点效率提高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40</w:t>
            </w:r>
            <w:r>
              <w:rPr>
                <w:rFonts w:ascii="宋体" w:eastAsia="宋体" w:hAnsi="宋体" w:cs="宋体"/>
                <w:sz w:val="24"/>
                <w:szCs w:val="24"/>
              </w:rPr>
              <w:t>%。③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BIM</w:t>
            </w:r>
            <w:r>
              <w:rPr>
                <w:rFonts w:ascii="宋体" w:eastAsia="宋体" w:hAnsi="宋体" w:cs="宋体"/>
                <w:sz w:val="24"/>
                <w:szCs w:val="24"/>
              </w:rPr>
              <w:t>+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GIS</w:t>
            </w:r>
            <w:r>
              <w:rPr>
                <w:rFonts w:ascii="宋体" w:eastAsia="宋体" w:hAnsi="宋体" w:cs="宋体"/>
                <w:sz w:val="24"/>
                <w:szCs w:val="24"/>
              </w:rPr>
              <w:t>：在大型复杂项目中运用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GIS</w:t>
            </w:r>
            <w:r>
              <w:rPr>
                <w:rFonts w:ascii="宋体" w:eastAsia="宋体" w:hAnsi="宋体" w:cs="宋体"/>
                <w:sz w:val="24"/>
                <w:szCs w:val="24"/>
              </w:rPr>
              <w:t>技术整合空间数据，实现高效资源调度、精准环境分析及风险预警。④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AI</w:t>
            </w:r>
            <w:r>
              <w:rPr>
                <w:rFonts w:ascii="宋体" w:eastAsia="宋体" w:hAnsi="宋体" w:cs="宋体"/>
                <w:sz w:val="24"/>
                <w:szCs w:val="24"/>
              </w:rPr>
              <w:t>+辅助设计：应用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AIGC</w:t>
            </w:r>
            <w:r>
              <w:rPr>
                <w:rFonts w:ascii="宋体" w:eastAsia="宋体" w:hAnsi="宋体" w:cs="宋体"/>
                <w:sz w:val="24"/>
                <w:szCs w:val="24"/>
              </w:rPr>
              <w:t>辅助设计，初期定案阶段效率显著提升。在管理端方面，公司全面推行通用管理系统，集成人力资源、印章管控、档案管理等核心模块，实现业务流程线上化、风险拦截提效、审批效率提升。</w:t>
            </w:r>
          </w:p>
          <w:p w14:paraId="0395825A" w14:textId="77777777" w:rsidR="00AF1270" w:rsidRDefault="003409BB" w:rsidP="003409BB">
            <w:pPr>
              <w:pStyle w:val="TableParagraph"/>
              <w:spacing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8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.请问公司投资并购规划是什么？</w:t>
            </w:r>
          </w:p>
          <w:p w14:paraId="0395825B" w14:textId="6B00A10E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B87B02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>公司坚持内生增长与外延扩张并重的发展战略，持续关注工程产业链上下游机遇，并以审慎态度积极寻求投资并购机会。当前公司的主要并购方向包括：一、区域深耕：围绕深度运营的在役工程战略，于杭州、成都、武汉、大连等核心区域寻求优质标的，助力工程产业链资源整合与业务导入；二、业务延展：积极切入新材料、新工艺及新制造领域，重点关注兼具工程主业应用落地能力与跨行业延展潜力的标的，寻求协同效应显著、具备高成长性和扩展空间的投资机会。感谢您的关心与支持！</w:t>
            </w:r>
          </w:p>
          <w:p w14:paraId="0395825C" w14:textId="77777777" w:rsidR="00AF1270" w:rsidRDefault="003409BB" w:rsidP="003409BB">
            <w:pPr>
              <w:pStyle w:val="TableParagraph"/>
              <w:spacing w:line="300" w:lineRule="auto"/>
              <w:ind w:firstLineChars="200" w:firstLine="482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.请问公司调增年度日常关联交易额度的原因是什么？</w:t>
            </w:r>
          </w:p>
          <w:p w14:paraId="0395825D" w14:textId="225157A9" w:rsidR="00AF1270" w:rsidRDefault="003409BB" w:rsidP="003409BB">
            <w:pPr>
              <w:pStyle w:val="TableParagraph"/>
              <w:spacing w:line="30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年初，基于公司年度预算谨慎性原则以及异地业务协同中存在的不确定性，公司原定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年度向关联方提供劳务及服务的关联交易上限为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83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亿元。现因上半年向关联方销售商品、提供劳务的关联交易实际发生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45</w:t>
            </w:r>
            <w:r>
              <w:rPr>
                <w:rFonts w:ascii="宋体" w:eastAsia="宋体" w:hAnsi="宋体" w:cs="宋体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87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亿元，结合公司最新的经营情况,加之建筑施工与设计业务异地协同效果显著提升，公司拟将向关联方提供劳务及服务的年度上限调增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40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亿元。此次调整后，公司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年度日常关联交易预计总额度为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131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亿元。</w:t>
            </w:r>
          </w:p>
        </w:tc>
      </w:tr>
      <w:tr w:rsidR="00AF1270" w14:paraId="03958262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5F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关于本次活动是否涉及</w:t>
            </w:r>
          </w:p>
          <w:p w14:paraId="03958260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应披露重大信息的说明</w:t>
            </w:r>
          </w:p>
        </w:tc>
        <w:tc>
          <w:tcPr>
            <w:tcW w:w="6624" w:type="dxa"/>
            <w:vAlign w:val="center"/>
          </w:tcPr>
          <w:p w14:paraId="03958261" w14:textId="77777777" w:rsidR="00AF1270" w:rsidRDefault="003409BB">
            <w:pPr>
              <w:pStyle w:val="TableParagrap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本次活动不涉及未公开披露的重大信息。</w:t>
            </w:r>
          </w:p>
        </w:tc>
      </w:tr>
      <w:tr w:rsidR="00AF1270" w14:paraId="03958264" w14:textId="77777777" w:rsidTr="003409BB">
        <w:trPr>
          <w:trHeight w:val="397"/>
          <w:jc w:val="center"/>
        </w:trPr>
        <w:tc>
          <w:tcPr>
            <w:tcW w:w="9351" w:type="dxa"/>
            <w:gridSpan w:val="2"/>
            <w:vAlign w:val="center"/>
          </w:tcPr>
          <w:p w14:paraId="03958263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风险提示</w:t>
            </w:r>
          </w:p>
        </w:tc>
      </w:tr>
      <w:tr w:rsidR="00AF1270" w14:paraId="03958266" w14:textId="77777777" w:rsidTr="003409BB">
        <w:trPr>
          <w:trHeight w:val="397"/>
          <w:jc w:val="center"/>
        </w:trPr>
        <w:tc>
          <w:tcPr>
            <w:tcW w:w="9351" w:type="dxa"/>
            <w:gridSpan w:val="2"/>
            <w:vAlign w:val="center"/>
          </w:tcPr>
          <w:p w14:paraId="03958265" w14:textId="77777777" w:rsidR="00AF1270" w:rsidRDefault="003409BB" w:rsidP="003409BB">
            <w:pPr>
              <w:pStyle w:val="TableParagraph"/>
              <w:spacing w:beforeLines="30" w:before="72" w:line="30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以上如涉及对行业的预测、公司发展战略规划等相关内容，不能视作公司或管理层对行业、公司发展或业绩的承诺和保证，敬请广大投资者注意投资风险。</w:t>
            </w:r>
          </w:p>
        </w:tc>
      </w:tr>
    </w:tbl>
    <w:p w14:paraId="0395826A" w14:textId="77777777" w:rsidR="00AF1270" w:rsidRDefault="00AF1270">
      <w:pPr>
        <w:rPr>
          <w:rFonts w:ascii="宋体" w:eastAsia="宋体" w:hAnsi="宋体" w:cs="宋体" w:hint="eastAsia"/>
          <w:sz w:val="28"/>
          <w:szCs w:val="36"/>
        </w:rPr>
      </w:pPr>
    </w:p>
    <w:sectPr w:rsidR="00AF1270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8E47" w14:textId="77777777" w:rsidR="00B87B02" w:rsidRDefault="00B87B02" w:rsidP="00B87B02">
      <w:pPr>
        <w:rPr>
          <w:rFonts w:hint="eastAsia"/>
        </w:rPr>
      </w:pPr>
      <w:r>
        <w:separator/>
      </w:r>
    </w:p>
  </w:endnote>
  <w:endnote w:type="continuationSeparator" w:id="0">
    <w:p w14:paraId="6AF5368C" w14:textId="77777777" w:rsidR="00B87B02" w:rsidRDefault="00B87B02" w:rsidP="00B87B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A362" w14:textId="77777777" w:rsidR="00B87B02" w:rsidRDefault="00B87B02" w:rsidP="00B87B02">
      <w:pPr>
        <w:rPr>
          <w:rFonts w:hint="eastAsia"/>
        </w:rPr>
      </w:pPr>
      <w:r>
        <w:separator/>
      </w:r>
    </w:p>
  </w:footnote>
  <w:footnote w:type="continuationSeparator" w:id="0">
    <w:p w14:paraId="4D83BA61" w14:textId="77777777" w:rsidR="00B87B02" w:rsidRDefault="00B87B02" w:rsidP="00B87B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MDdmNDdlZDNjN2QxZDI1MmM0M2M2ZDBhZjU4NDk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05CD6"/>
    <w:rsid w:val="0021064B"/>
    <w:rsid w:val="002146AD"/>
    <w:rsid w:val="00263B1C"/>
    <w:rsid w:val="00275CB6"/>
    <w:rsid w:val="002800B5"/>
    <w:rsid w:val="00295B29"/>
    <w:rsid w:val="002D4073"/>
    <w:rsid w:val="002E7098"/>
    <w:rsid w:val="00301D32"/>
    <w:rsid w:val="003409BB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672CA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2DC4"/>
    <w:rsid w:val="00733224"/>
    <w:rsid w:val="00764128"/>
    <w:rsid w:val="007824B8"/>
    <w:rsid w:val="007910DD"/>
    <w:rsid w:val="007A3EC1"/>
    <w:rsid w:val="007B3368"/>
    <w:rsid w:val="007C71E9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9F120D"/>
    <w:rsid w:val="00A527AA"/>
    <w:rsid w:val="00A5684D"/>
    <w:rsid w:val="00A75C61"/>
    <w:rsid w:val="00A9601B"/>
    <w:rsid w:val="00AD100E"/>
    <w:rsid w:val="00AE1E36"/>
    <w:rsid w:val="00AF1270"/>
    <w:rsid w:val="00AF74AA"/>
    <w:rsid w:val="00B03C2F"/>
    <w:rsid w:val="00B124D6"/>
    <w:rsid w:val="00B15064"/>
    <w:rsid w:val="00B15C3F"/>
    <w:rsid w:val="00B340A3"/>
    <w:rsid w:val="00B410F5"/>
    <w:rsid w:val="00B6280C"/>
    <w:rsid w:val="00B671A4"/>
    <w:rsid w:val="00B72CD4"/>
    <w:rsid w:val="00B85B00"/>
    <w:rsid w:val="00B87B02"/>
    <w:rsid w:val="00B96F27"/>
    <w:rsid w:val="00BF132F"/>
    <w:rsid w:val="00C13878"/>
    <w:rsid w:val="00C2608D"/>
    <w:rsid w:val="00CA1705"/>
    <w:rsid w:val="00CD31EA"/>
    <w:rsid w:val="00CE1A54"/>
    <w:rsid w:val="00CF5FB6"/>
    <w:rsid w:val="00D02518"/>
    <w:rsid w:val="00D17454"/>
    <w:rsid w:val="00D33FBC"/>
    <w:rsid w:val="00D7535C"/>
    <w:rsid w:val="00D76302"/>
    <w:rsid w:val="00DA5CE2"/>
    <w:rsid w:val="00DC73E3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D46CA"/>
    <w:rsid w:val="00EE3187"/>
    <w:rsid w:val="00EF0890"/>
    <w:rsid w:val="00EF499B"/>
    <w:rsid w:val="00F14977"/>
    <w:rsid w:val="00FB4A08"/>
    <w:rsid w:val="00FC0C2A"/>
    <w:rsid w:val="00FD7F8E"/>
    <w:rsid w:val="00FF11E4"/>
    <w:rsid w:val="04B072D4"/>
    <w:rsid w:val="04B14FFF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79C4B28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522F77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BB96AA0"/>
    <w:rsid w:val="6CC24AB5"/>
    <w:rsid w:val="6D9271B2"/>
    <w:rsid w:val="6E0307C8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A150893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958230"/>
  <w15:docId w15:val="{AD52BCC3-D706-4594-AA6D-D309D32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2636</Words>
  <Characters>251</Characters>
  <Application>Microsoft Office Word</Application>
  <DocSecurity>0</DocSecurity>
  <Lines>2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董事会办公室</cp:lastModifiedBy>
  <cp:revision>19</cp:revision>
  <dcterms:created xsi:type="dcterms:W3CDTF">2022-04-12T06:10:00Z</dcterms:created>
  <dcterms:modified xsi:type="dcterms:W3CDTF">2025-08-28T06:58:00Z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eyJoZGlkIjoiZmNjMDg1ZWJlMjY2ZmI2OGMxMWI5NDhlY2Y0MWJjZTAiLCJ1c2VySWQiOiIzNTQzNzU4NTIifQ==</vt:lpwstr>
  </property>
</Properties>
</file>