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20" w:lineRule="exact"/>
        <w:jc w:val="left"/>
        <w:rPr>
          <w:rFonts w:ascii="楷体" w:hAnsi="楷体" w:eastAsia="楷体"/>
          <w:sz w:val="24"/>
        </w:rPr>
      </w:pPr>
      <w:r>
        <w:rPr>
          <w:rFonts w:hint="eastAsia" w:ascii="楷体" w:hAnsi="楷体" w:eastAsia="楷体"/>
          <w:sz w:val="24"/>
        </w:rPr>
        <w:t>证券代码：6</w:t>
      </w:r>
      <w:r>
        <w:rPr>
          <w:rFonts w:ascii="楷体" w:hAnsi="楷体" w:eastAsia="楷体"/>
          <w:sz w:val="24"/>
        </w:rPr>
        <w:t xml:space="preserve">00968   </w:t>
      </w:r>
      <w:r>
        <w:rPr>
          <w:rFonts w:hint="eastAsia" w:ascii="楷体" w:hAnsi="楷体" w:eastAsia="楷体"/>
          <w:sz w:val="24"/>
        </w:rPr>
        <w:t xml:space="preserve">                              证券简称：海油发展 </w:t>
      </w:r>
      <w:r>
        <w:rPr>
          <w:rFonts w:ascii="楷体" w:hAnsi="楷体" w:eastAsia="楷体"/>
          <w:sz w:val="24"/>
        </w:rPr>
        <w:t xml:space="preserve"> </w:t>
      </w:r>
    </w:p>
    <w:p>
      <w:pPr>
        <w:spacing w:line="480" w:lineRule="exact"/>
        <w:jc w:val="center"/>
        <w:rPr>
          <w:rFonts w:ascii="宋体" w:hAnsi="宋体"/>
          <w:b/>
          <w:bCs/>
          <w:sz w:val="28"/>
          <w:szCs w:val="30"/>
        </w:rPr>
      </w:pPr>
      <w:r>
        <w:rPr>
          <w:rFonts w:hint="eastAsia" w:ascii="宋体" w:hAnsi="宋体"/>
          <w:b/>
          <w:bCs/>
          <w:sz w:val="28"/>
          <w:szCs w:val="30"/>
        </w:rPr>
        <w:t>中海油能源发展股份有限公司</w:t>
      </w:r>
    </w:p>
    <w:p>
      <w:pPr>
        <w:spacing w:line="480" w:lineRule="exact"/>
        <w:jc w:val="center"/>
        <w:outlineLvl w:val="0"/>
        <w:rPr>
          <w:rFonts w:ascii="宋体" w:hAnsi="宋体"/>
          <w:b/>
          <w:bCs/>
          <w:sz w:val="28"/>
          <w:szCs w:val="30"/>
        </w:rPr>
      </w:pPr>
      <w:r>
        <w:rPr>
          <w:rFonts w:hint="eastAsia" w:ascii="宋体" w:hAnsi="宋体"/>
          <w:b/>
          <w:bCs/>
          <w:sz w:val="28"/>
          <w:szCs w:val="30"/>
        </w:rPr>
        <w:t>投资者关系活动记录表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7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bCs/>
                <w:sz w:val="24"/>
              </w:rPr>
            </w:pPr>
            <w:r>
              <w:rPr>
                <w:rFonts w:hint="eastAsia" w:ascii="Arial" w:hAnsi="Arial"/>
                <w:bCs/>
                <w:sz w:val="24"/>
              </w:rPr>
              <w:t>投资者关系活动类别</w:t>
            </w:r>
          </w:p>
        </w:tc>
        <w:tc>
          <w:tcPr>
            <w:tcW w:w="4353"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Arial" w:hAnsi="Arial"/>
                <w:bCs/>
                <w:sz w:val="24"/>
              </w:rPr>
            </w:pPr>
            <w:r>
              <w:rPr>
                <w:rFonts w:hint="eastAsia" w:ascii="Arial" w:hAnsi="Arial"/>
                <w:bCs/>
                <w:sz w:val="24"/>
              </w:rPr>
              <w:t xml:space="preserve">□特定对象调研 </w:t>
            </w:r>
            <w:r>
              <w:rPr>
                <w:rFonts w:hint="eastAsia" w:ascii="Arial" w:hAnsi="Arial"/>
                <w:bCs/>
                <w:sz w:val="24"/>
              </w:rPr>
              <w:sym w:font="Wingdings 2" w:char="00A3"/>
            </w:r>
            <w:r>
              <w:rPr>
                <w:rFonts w:hint="eastAsia" w:ascii="Arial" w:hAnsi="Arial"/>
                <w:bCs/>
                <w:sz w:val="24"/>
              </w:rPr>
              <w:t>分析师会议</w:t>
            </w:r>
          </w:p>
          <w:p>
            <w:pPr>
              <w:spacing w:line="400" w:lineRule="exact"/>
              <w:rPr>
                <w:rFonts w:ascii="Arial" w:hAnsi="Arial"/>
                <w:bCs/>
                <w:sz w:val="24"/>
              </w:rPr>
            </w:pPr>
            <w:r>
              <w:rPr>
                <w:rFonts w:hint="eastAsia" w:ascii="Arial" w:hAnsi="Arial"/>
                <w:bCs/>
                <w:sz w:val="24"/>
              </w:rPr>
              <w:t xml:space="preserve">□媒体采访 </w:t>
            </w:r>
            <w:r>
              <w:rPr>
                <w:rFonts w:ascii="Arial" w:hAnsi="Arial"/>
                <w:bCs/>
                <w:sz w:val="24"/>
              </w:rPr>
              <w:t xml:space="preserve">   </w:t>
            </w:r>
            <w:r>
              <w:rPr>
                <w:rFonts w:hint="eastAsia" w:ascii="Arial" w:hAnsi="Arial"/>
                <w:bCs/>
                <w:sz w:val="24"/>
              </w:rPr>
              <w:t xml:space="preserve"> </w:t>
            </w:r>
            <w:r>
              <w:rPr>
                <w:rFonts w:hint="eastAsia" w:ascii="Arial" w:hAnsi="Arial"/>
                <w:bCs/>
                <w:sz w:val="24"/>
              </w:rPr>
              <w:sym w:font="Wingdings 2" w:char="0052"/>
            </w:r>
            <w:r>
              <w:rPr>
                <w:rFonts w:hint="eastAsia" w:ascii="Arial" w:hAnsi="Arial"/>
                <w:bCs/>
                <w:sz w:val="24"/>
              </w:rPr>
              <w:t>业绩说明会</w:t>
            </w:r>
          </w:p>
          <w:p>
            <w:pPr>
              <w:spacing w:line="400" w:lineRule="exact"/>
              <w:rPr>
                <w:rFonts w:ascii="Arial" w:hAnsi="Arial"/>
                <w:bCs/>
                <w:sz w:val="24"/>
              </w:rPr>
            </w:pPr>
            <w:r>
              <w:rPr>
                <w:rFonts w:hint="eastAsia" w:ascii="Arial" w:hAnsi="Arial"/>
                <w:bCs/>
                <w:sz w:val="24"/>
              </w:rPr>
              <w:t xml:space="preserve">□新闻发布会 </w:t>
            </w:r>
            <w:r>
              <w:rPr>
                <w:rFonts w:ascii="Arial" w:hAnsi="Arial"/>
                <w:bCs/>
                <w:sz w:val="24"/>
              </w:rPr>
              <w:t xml:space="preserve">  </w:t>
            </w:r>
            <w:r>
              <w:rPr>
                <w:rFonts w:hint="eastAsia" w:ascii="Arial" w:hAnsi="Arial"/>
                <w:bCs/>
                <w:sz w:val="24"/>
              </w:rPr>
              <w:t>□路演活动</w:t>
            </w:r>
          </w:p>
          <w:p>
            <w:pPr>
              <w:spacing w:line="400" w:lineRule="exact"/>
              <w:rPr>
                <w:rFonts w:ascii="Arial" w:hAnsi="Arial"/>
                <w:bCs/>
                <w:sz w:val="24"/>
              </w:rPr>
            </w:pPr>
            <w:r>
              <w:rPr>
                <w:rFonts w:hint="eastAsia" w:ascii="Arial" w:hAnsi="Arial"/>
                <w:bCs/>
                <w:sz w:val="24"/>
              </w:rPr>
              <w:t>□现场参观</w:t>
            </w:r>
          </w:p>
          <w:p>
            <w:pPr>
              <w:spacing w:line="400" w:lineRule="exact"/>
              <w:rPr>
                <w:rFonts w:ascii="Arial" w:hAnsi="Arial"/>
                <w:bCs/>
                <w:sz w:val="24"/>
              </w:rPr>
            </w:pPr>
            <w:r>
              <w:rPr>
                <w:rFonts w:hint="eastAsia" w:ascii="Arial" w:hAnsi="Arial"/>
                <w:bCs/>
                <w:sz w:val="24"/>
              </w:rPr>
              <w:t>□其他（请文字说明其他活动内容）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时间</w:t>
            </w:r>
          </w:p>
        </w:tc>
        <w:tc>
          <w:tcPr>
            <w:tcW w:w="4353" w:type="pct"/>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Arial" w:hAnsi="Arial" w:eastAsia="宋体" w:cs="Arial"/>
                <w:sz w:val="24"/>
                <w:lang w:val="en-US" w:eastAsia="zh-CN"/>
              </w:rPr>
            </w:pPr>
            <w:r>
              <w:rPr>
                <w:rFonts w:ascii="Times New Roman" w:hAnsi="Times New Roman"/>
                <w:sz w:val="24"/>
              </w:rPr>
              <w:t>202</w:t>
            </w:r>
            <w:r>
              <w:rPr>
                <w:rFonts w:hint="eastAsia" w:ascii="Times New Roman" w:hAnsi="Times New Roman"/>
                <w:sz w:val="24"/>
                <w:lang w:val="en-US" w:eastAsia="zh-CN"/>
              </w:rPr>
              <w:t>5</w:t>
            </w:r>
            <w:r>
              <w:rPr>
                <w:rFonts w:ascii="Times New Roman" w:hAnsi="Times New Roman"/>
                <w:sz w:val="24"/>
              </w:rPr>
              <w:t>年</w:t>
            </w:r>
            <w:r>
              <w:rPr>
                <w:rFonts w:hint="eastAsia" w:ascii="Times New Roman" w:hAnsi="Times New Roman"/>
                <w:sz w:val="24"/>
                <w:lang w:val="en-US" w:eastAsia="zh-CN"/>
              </w:rPr>
              <w:t>8</w:t>
            </w:r>
            <w:r>
              <w:rPr>
                <w:rFonts w:hint="eastAsia" w:ascii="Times New Roman" w:hAnsi="Times New Roman"/>
                <w:sz w:val="24"/>
              </w:rPr>
              <w:t>月</w:t>
            </w:r>
            <w:r>
              <w:rPr>
                <w:rFonts w:hint="eastAsia" w:ascii="Times New Roman" w:hAnsi="Times New Roman"/>
                <w:sz w:val="24"/>
                <w:lang w:val="en-US" w:eastAsia="zh-CN"/>
              </w:rPr>
              <w:t>28</w:t>
            </w:r>
            <w:r>
              <w:rPr>
                <w:rFonts w:ascii="Times New Roman" w:hAnsi="Times New Roman"/>
                <w:sz w:val="24"/>
              </w:rPr>
              <w:t>日</w:t>
            </w:r>
            <w:r>
              <w:rPr>
                <w:rFonts w:hint="eastAsia" w:ascii="Times New Roman" w:hAnsi="Times New Roman"/>
                <w:sz w:val="24"/>
                <w:lang w:val="en-US" w:eastAsia="zh-CN"/>
              </w:rPr>
              <w:t>15:30-16:30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地点</w:t>
            </w:r>
          </w:p>
        </w:tc>
        <w:tc>
          <w:tcPr>
            <w:tcW w:w="4353" w:type="pct"/>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Arial" w:hAnsi="Arial" w:eastAsia="宋体" w:cs="Arial"/>
                <w:sz w:val="24"/>
                <w:lang w:val="en-US" w:eastAsia="zh-CN"/>
              </w:rPr>
            </w:pPr>
            <w:r>
              <w:rPr>
                <w:rFonts w:hint="eastAsia" w:ascii="Arial" w:hAnsi="Arial" w:cs="Arial"/>
                <w:sz w:val="24"/>
                <w:lang w:val="en-US" w:eastAsia="zh-CN"/>
              </w:rPr>
              <w:t>全景网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Arial" w:hAnsi="Arial"/>
                <w:bCs/>
                <w:sz w:val="24"/>
              </w:rPr>
            </w:pPr>
            <w:r>
              <w:rPr>
                <w:rFonts w:hint="eastAsia" w:ascii="Arial" w:hAnsi="Arial"/>
                <w:bCs/>
                <w:sz w:val="24"/>
              </w:rPr>
              <w:t>上市公司接待人员姓名</w:t>
            </w:r>
          </w:p>
        </w:tc>
        <w:tc>
          <w:tcPr>
            <w:tcW w:w="4353" w:type="pct"/>
            <w:tcBorders>
              <w:top w:val="single" w:color="auto" w:sz="4" w:space="0"/>
              <w:left w:val="single" w:color="auto" w:sz="4" w:space="0"/>
              <w:bottom w:val="single" w:color="auto" w:sz="4" w:space="0"/>
              <w:right w:val="single" w:color="auto" w:sz="4" w:space="0"/>
            </w:tcBorders>
            <w:vAlign w:val="center"/>
          </w:tcPr>
          <w:tbl>
            <w:tblPr>
              <w:tblStyle w:val="9"/>
              <w:tblW w:w="5000" w:type="pct"/>
              <w:tblInd w:w="0" w:type="dxa"/>
              <w:tblLayout w:type="autofit"/>
              <w:tblCellMar>
                <w:top w:w="0" w:type="dxa"/>
                <w:left w:w="108" w:type="dxa"/>
                <w:bottom w:w="0" w:type="dxa"/>
                <w:right w:w="108" w:type="dxa"/>
              </w:tblCellMar>
            </w:tblPr>
            <w:tblGrid>
              <w:gridCol w:w="1495"/>
              <w:gridCol w:w="5882"/>
            </w:tblGrid>
            <w:tr>
              <w:tblPrEx>
                <w:tblCellMar>
                  <w:top w:w="0" w:type="dxa"/>
                  <w:left w:w="108" w:type="dxa"/>
                  <w:bottom w:w="0" w:type="dxa"/>
                  <w:right w:w="108" w:type="dxa"/>
                </w:tblCellMar>
              </w:tblPrEx>
              <w:trPr>
                <w:trHeight w:val="285" w:hRule="atLeast"/>
              </w:trPr>
              <w:tc>
                <w:tcPr>
                  <w:tcW w:w="1013" w:type="pct"/>
                  <w:shd w:val="clear" w:color="auto" w:fill="auto"/>
                  <w:noWrap/>
                  <w:vAlign w:val="bottom"/>
                </w:tcPr>
                <w:p>
                  <w:pPr>
                    <w:spacing w:line="276" w:lineRule="auto"/>
                    <w:rPr>
                      <w:rFonts w:hint="eastAsia" w:ascii="Arial" w:hAnsi="Arial" w:eastAsia="宋体" w:cs="Arial"/>
                      <w:sz w:val="24"/>
                      <w:lang w:val="en-US" w:eastAsia="zh-CN"/>
                    </w:rPr>
                  </w:pPr>
                  <w:r>
                    <w:rPr>
                      <w:rFonts w:hint="eastAsia" w:ascii="Arial" w:hAnsi="Arial" w:cs="Arial"/>
                      <w:sz w:val="24"/>
                      <w:lang w:val="en-US" w:eastAsia="zh-CN"/>
                    </w:rPr>
                    <w:t>周天育</w:t>
                  </w:r>
                </w:p>
              </w:tc>
              <w:tc>
                <w:tcPr>
                  <w:tcW w:w="3986" w:type="pct"/>
                  <w:shd w:val="clear" w:color="auto" w:fill="auto"/>
                  <w:noWrap/>
                  <w:vAlign w:val="center"/>
                </w:tcPr>
                <w:p>
                  <w:pPr>
                    <w:spacing w:line="276" w:lineRule="auto"/>
                    <w:rPr>
                      <w:rFonts w:hint="eastAsia" w:ascii="Arial" w:hAnsi="Arial" w:eastAsia="宋体" w:cs="Arial"/>
                      <w:sz w:val="24"/>
                      <w:lang w:val="en-US" w:eastAsia="zh-CN"/>
                    </w:rPr>
                  </w:pPr>
                  <w:r>
                    <w:rPr>
                      <w:rFonts w:hint="eastAsia" w:ascii="Arial" w:hAnsi="Arial" w:cs="Arial"/>
                      <w:sz w:val="24"/>
                      <w:lang w:val="en-US" w:eastAsia="zh-CN"/>
                    </w:rPr>
                    <w:t>总经理</w:t>
                  </w:r>
                </w:p>
              </w:tc>
            </w:tr>
            <w:tr>
              <w:tblPrEx>
                <w:tblCellMar>
                  <w:top w:w="0" w:type="dxa"/>
                  <w:left w:w="108" w:type="dxa"/>
                  <w:bottom w:w="0" w:type="dxa"/>
                  <w:right w:w="108" w:type="dxa"/>
                </w:tblCellMar>
              </w:tblPrEx>
              <w:trPr>
                <w:trHeight w:val="285" w:hRule="atLeast"/>
              </w:trPr>
              <w:tc>
                <w:tcPr>
                  <w:tcW w:w="1013" w:type="pct"/>
                  <w:shd w:val="clear" w:color="auto" w:fill="auto"/>
                  <w:noWrap/>
                  <w:vAlign w:val="bottom"/>
                </w:tcPr>
                <w:p>
                  <w:pPr>
                    <w:spacing w:line="276" w:lineRule="auto"/>
                    <w:rPr>
                      <w:rFonts w:hint="default" w:ascii="Arial" w:hAnsi="Arial" w:eastAsia="宋体" w:cs="Arial"/>
                      <w:sz w:val="24"/>
                      <w:lang w:val="en-US" w:eastAsia="zh-CN"/>
                    </w:rPr>
                  </w:pPr>
                  <w:r>
                    <w:rPr>
                      <w:rFonts w:hint="eastAsia" w:ascii="Arial" w:hAnsi="Arial" w:cs="Arial"/>
                      <w:sz w:val="24"/>
                      <w:lang w:val="en-US" w:eastAsia="zh-CN"/>
                    </w:rPr>
                    <w:t>王月永</w:t>
                  </w:r>
                </w:p>
              </w:tc>
              <w:tc>
                <w:tcPr>
                  <w:tcW w:w="3986" w:type="pct"/>
                  <w:shd w:val="clear" w:color="auto" w:fill="auto"/>
                  <w:noWrap/>
                  <w:vAlign w:val="center"/>
                </w:tcPr>
                <w:p>
                  <w:pPr>
                    <w:spacing w:line="276" w:lineRule="auto"/>
                    <w:rPr>
                      <w:rFonts w:hint="eastAsia" w:ascii="Arial" w:hAnsi="Arial" w:eastAsia="宋体" w:cs="Arial"/>
                      <w:sz w:val="24"/>
                      <w:lang w:val="en-US" w:eastAsia="zh-CN"/>
                    </w:rPr>
                  </w:pPr>
                  <w:r>
                    <w:rPr>
                      <w:rFonts w:hint="eastAsia" w:ascii="Arial" w:hAnsi="Arial" w:cs="Arial"/>
                      <w:sz w:val="24"/>
                      <w:lang w:val="en-US" w:eastAsia="zh-CN"/>
                    </w:rPr>
                    <w:t>独立董事</w:t>
                  </w:r>
                </w:p>
              </w:tc>
            </w:tr>
            <w:tr>
              <w:tblPrEx>
                <w:tblCellMar>
                  <w:top w:w="0" w:type="dxa"/>
                  <w:left w:w="108" w:type="dxa"/>
                  <w:bottom w:w="0" w:type="dxa"/>
                  <w:right w:w="108" w:type="dxa"/>
                </w:tblCellMar>
              </w:tblPrEx>
              <w:trPr>
                <w:trHeight w:val="285" w:hRule="atLeast"/>
              </w:trPr>
              <w:tc>
                <w:tcPr>
                  <w:tcW w:w="1013" w:type="pct"/>
                  <w:shd w:val="clear" w:color="auto" w:fill="auto"/>
                  <w:noWrap/>
                  <w:vAlign w:val="bottom"/>
                </w:tcPr>
                <w:p>
                  <w:pPr>
                    <w:spacing w:line="276" w:lineRule="auto"/>
                    <w:rPr>
                      <w:rFonts w:hint="default" w:ascii="Arial" w:hAnsi="Arial" w:eastAsia="宋体" w:cs="Arial"/>
                      <w:sz w:val="24"/>
                      <w:lang w:val="en-US" w:eastAsia="zh-CN"/>
                    </w:rPr>
                  </w:pPr>
                  <w:r>
                    <w:rPr>
                      <w:rFonts w:hint="eastAsia" w:ascii="Arial" w:hAnsi="Arial" w:cs="Arial"/>
                      <w:sz w:val="24"/>
                      <w:lang w:val="en-US" w:eastAsia="zh-CN"/>
                    </w:rPr>
                    <w:t>种晓洁</w:t>
                  </w:r>
                </w:p>
              </w:tc>
              <w:tc>
                <w:tcPr>
                  <w:tcW w:w="3986" w:type="pct"/>
                  <w:shd w:val="clear" w:color="auto" w:fill="auto"/>
                  <w:noWrap/>
                  <w:vAlign w:val="center"/>
                </w:tcPr>
                <w:p>
                  <w:pPr>
                    <w:spacing w:line="276" w:lineRule="auto"/>
                    <w:rPr>
                      <w:rFonts w:ascii="Arial" w:hAnsi="Arial" w:cs="Arial"/>
                      <w:sz w:val="24"/>
                    </w:rPr>
                  </w:pPr>
                  <w:r>
                    <w:rPr>
                      <w:rFonts w:hint="eastAsia" w:ascii="Arial" w:hAnsi="Arial" w:cs="Arial"/>
                      <w:sz w:val="24"/>
                    </w:rPr>
                    <w:t>财务总监</w:t>
                  </w:r>
                </w:p>
              </w:tc>
            </w:tr>
            <w:tr>
              <w:tblPrEx>
                <w:tblCellMar>
                  <w:top w:w="0" w:type="dxa"/>
                  <w:left w:w="108" w:type="dxa"/>
                  <w:bottom w:w="0" w:type="dxa"/>
                  <w:right w:w="108" w:type="dxa"/>
                </w:tblCellMar>
              </w:tblPrEx>
              <w:trPr>
                <w:trHeight w:val="285" w:hRule="atLeast"/>
              </w:trPr>
              <w:tc>
                <w:tcPr>
                  <w:tcW w:w="1013" w:type="pct"/>
                  <w:shd w:val="clear" w:color="auto" w:fill="auto"/>
                  <w:noWrap/>
                  <w:vAlign w:val="bottom"/>
                </w:tcPr>
                <w:p>
                  <w:pPr>
                    <w:spacing w:line="276" w:lineRule="auto"/>
                    <w:rPr>
                      <w:rFonts w:ascii="Arial" w:hAnsi="Arial" w:cs="Arial"/>
                      <w:sz w:val="24"/>
                    </w:rPr>
                  </w:pPr>
                  <w:r>
                    <w:rPr>
                      <w:rFonts w:hint="eastAsia" w:ascii="Arial" w:hAnsi="Arial" w:cs="Arial"/>
                      <w:sz w:val="24"/>
                    </w:rPr>
                    <w:t>肖德斌</w:t>
                  </w:r>
                </w:p>
              </w:tc>
              <w:tc>
                <w:tcPr>
                  <w:tcW w:w="3986" w:type="pct"/>
                  <w:shd w:val="clear" w:color="auto" w:fill="auto"/>
                  <w:noWrap/>
                  <w:vAlign w:val="center"/>
                </w:tcPr>
                <w:p>
                  <w:pPr>
                    <w:spacing w:line="276" w:lineRule="auto"/>
                    <w:rPr>
                      <w:rFonts w:ascii="Arial" w:hAnsi="Arial" w:cs="Arial"/>
                      <w:sz w:val="24"/>
                    </w:rPr>
                  </w:pPr>
                  <w:r>
                    <w:rPr>
                      <w:rFonts w:hint="eastAsia" w:ascii="Arial" w:hAnsi="Arial" w:cs="Arial"/>
                      <w:sz w:val="24"/>
                    </w:rPr>
                    <w:t>董事会秘书、总法律顾问</w:t>
                  </w:r>
                </w:p>
              </w:tc>
            </w:tr>
          </w:tbl>
          <w:p>
            <w:pPr>
              <w:spacing w:line="276" w:lineRule="auto"/>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投资者关系活动主要内容介绍</w:t>
            </w:r>
          </w:p>
        </w:tc>
        <w:tc>
          <w:tcPr>
            <w:tcW w:w="4353" w:type="pct"/>
            <w:tcBorders>
              <w:top w:val="single" w:color="auto" w:sz="4" w:space="0"/>
              <w:left w:val="single" w:color="auto" w:sz="4" w:space="0"/>
              <w:bottom w:val="single" w:color="auto" w:sz="4" w:space="0"/>
              <w:right w:val="single" w:color="auto" w:sz="4" w:space="0"/>
            </w:tcBorders>
            <w:vAlign w:val="center"/>
          </w:tcPr>
          <w:p>
            <w:pPr>
              <w:rPr>
                <w:rFonts w:hint="eastAsia"/>
                <w:sz w:val="24"/>
              </w:rPr>
            </w:pPr>
            <w:r>
              <w:rPr>
                <w:rFonts w:hint="eastAsia"/>
                <w:sz w:val="24"/>
              </w:rPr>
              <w:t>Q1：面对当前能源转型</w:t>
            </w:r>
            <w:r>
              <w:rPr>
                <w:rFonts w:hint="eastAsia"/>
                <w:sz w:val="24"/>
                <w:lang w:val="en-US" w:eastAsia="zh-CN"/>
              </w:rPr>
              <w:t>的</w:t>
            </w:r>
            <w:r>
              <w:rPr>
                <w:rFonts w:hint="eastAsia"/>
                <w:sz w:val="24"/>
              </w:rPr>
              <w:t>持续</w:t>
            </w:r>
            <w:r>
              <w:rPr>
                <w:rFonts w:hint="eastAsia"/>
                <w:sz w:val="24"/>
                <w:lang w:val="en-US" w:eastAsia="zh-CN"/>
              </w:rPr>
              <w:t>推进</w:t>
            </w:r>
            <w:r>
              <w:rPr>
                <w:rFonts w:hint="eastAsia"/>
                <w:sz w:val="24"/>
              </w:rPr>
              <w:t>，请问公司</w:t>
            </w:r>
            <w:r>
              <w:rPr>
                <w:rFonts w:hint="eastAsia"/>
                <w:sz w:val="24"/>
                <w:lang w:val="en-US" w:eastAsia="zh-CN"/>
              </w:rPr>
              <w:t>对</w:t>
            </w:r>
            <w:r>
              <w:rPr>
                <w:rFonts w:hint="eastAsia"/>
                <w:sz w:val="24"/>
              </w:rPr>
              <w:t>行业</w:t>
            </w:r>
            <w:r>
              <w:rPr>
                <w:rFonts w:hint="eastAsia"/>
                <w:sz w:val="24"/>
                <w:lang w:val="en-US" w:eastAsia="zh-CN"/>
              </w:rPr>
              <w:t>未来</w:t>
            </w:r>
            <w:r>
              <w:rPr>
                <w:rFonts w:hint="eastAsia"/>
                <w:sz w:val="24"/>
              </w:rPr>
              <w:t>发展</w:t>
            </w:r>
            <w:r>
              <w:rPr>
                <w:rFonts w:hint="eastAsia"/>
                <w:sz w:val="24"/>
                <w:lang w:val="en-US" w:eastAsia="zh-CN"/>
              </w:rPr>
              <w:t>有何预期</w:t>
            </w:r>
            <w:r>
              <w:rPr>
                <w:rFonts w:hint="eastAsia"/>
                <w:sz w:val="24"/>
              </w:rPr>
              <w:t>？</w:t>
            </w:r>
          </w:p>
          <w:p>
            <w:pPr>
              <w:rPr>
                <w:rFonts w:hint="eastAsia"/>
                <w:sz w:val="24"/>
              </w:rPr>
            </w:pPr>
            <w:r>
              <w:rPr>
                <w:rFonts w:hint="eastAsia"/>
                <w:sz w:val="24"/>
              </w:rPr>
              <w:t>A1：《世界能源统计年鉴2025》</w:t>
            </w:r>
            <w:r>
              <w:rPr>
                <w:rFonts w:hint="eastAsia"/>
                <w:sz w:val="24"/>
                <w:lang w:val="en-US" w:eastAsia="zh-CN"/>
              </w:rPr>
              <w:t>中显示，</w:t>
            </w:r>
            <w:r>
              <w:rPr>
                <w:rFonts w:hint="eastAsia"/>
                <w:sz w:val="24"/>
              </w:rPr>
              <w:t>2024年全球能源需求同比增长2%，石油满足</w:t>
            </w:r>
            <w:r>
              <w:rPr>
                <w:rFonts w:hint="eastAsia"/>
                <w:sz w:val="24"/>
                <w:lang w:val="en-US" w:eastAsia="zh-CN"/>
              </w:rPr>
              <w:t>了</w:t>
            </w:r>
            <w:r>
              <w:rPr>
                <w:rFonts w:hint="eastAsia"/>
                <w:sz w:val="24"/>
              </w:rPr>
              <w:t>全球34%的能源需求，天然气</w:t>
            </w:r>
            <w:r>
              <w:rPr>
                <w:rFonts w:hint="eastAsia"/>
                <w:sz w:val="24"/>
                <w:lang w:val="en-US" w:eastAsia="zh-CN"/>
              </w:rPr>
              <w:t>约为</w:t>
            </w:r>
            <w:r>
              <w:rPr>
                <w:rFonts w:hint="eastAsia"/>
                <w:sz w:val="24"/>
              </w:rPr>
              <w:t>23%</w:t>
            </w:r>
            <w:r>
              <w:rPr>
                <w:rFonts w:hint="eastAsia"/>
                <w:sz w:val="24"/>
                <w:lang w:eastAsia="zh-CN"/>
              </w:rPr>
              <w:t>，</w:t>
            </w:r>
            <w:r>
              <w:rPr>
                <w:rFonts w:hint="eastAsia"/>
                <w:sz w:val="24"/>
              </w:rPr>
              <w:t>石油、天然气、煤炭等传统能源仍占主导地位。</w:t>
            </w:r>
            <w:r>
              <w:rPr>
                <w:rFonts w:hint="eastAsia"/>
                <w:sz w:val="24"/>
                <w:lang w:val="en-US" w:eastAsia="zh-CN"/>
              </w:rPr>
              <w:t>在我国，</w:t>
            </w:r>
            <w:r>
              <w:rPr>
                <w:rFonts w:hint="eastAsia"/>
                <w:sz w:val="24"/>
              </w:rPr>
              <w:t>保障国家能源安全仍是新时代能源发展的重要根本遵循，国家能源局发布的《2025年能源工作指导意见》中强调，要持续提升油气储备能力，强化油气勘探开发，在老油田提高采收率、深地深水规模建产、非常规油气增产方面取得新突破。</w:t>
            </w:r>
          </w:p>
          <w:p>
            <w:pPr>
              <w:ind w:firstLine="480" w:firstLineChars="200"/>
              <w:rPr>
                <w:rFonts w:hint="eastAsia"/>
                <w:sz w:val="24"/>
                <w:lang w:val="en-US" w:eastAsia="zh-CN"/>
              </w:rPr>
            </w:pPr>
            <w:r>
              <w:rPr>
                <w:rFonts w:hint="eastAsia"/>
                <w:sz w:val="24"/>
              </w:rPr>
              <w:t>与此同时，</w:t>
            </w:r>
            <w:r>
              <w:rPr>
                <w:rFonts w:hint="eastAsia"/>
                <w:sz w:val="24"/>
                <w:lang w:val="en-US" w:eastAsia="zh-CN"/>
              </w:rPr>
              <w:t>能源绿色低碳转型也是不可回避的课题，</w:t>
            </w:r>
            <w:r>
              <w:rPr>
                <w:rFonts w:hint="eastAsia"/>
                <w:sz w:val="24"/>
              </w:rPr>
              <w:t>国际能源署《2025年世界能源投资报告》</w:t>
            </w:r>
            <w:r>
              <w:rPr>
                <w:rFonts w:hint="eastAsia"/>
                <w:sz w:val="24"/>
                <w:lang w:val="en-US" w:eastAsia="zh-CN"/>
              </w:rPr>
              <w:t>中</w:t>
            </w:r>
            <w:r>
              <w:rPr>
                <w:rFonts w:hint="eastAsia"/>
                <w:sz w:val="24"/>
              </w:rPr>
              <w:t>显示，25年全球能源投资将达3.3万亿美元，同比增长2%。其中，清洁能源投资2.2万亿美元，是化石燃料的两倍</w:t>
            </w:r>
            <w:r>
              <w:rPr>
                <w:rFonts w:hint="eastAsia"/>
                <w:sz w:val="24"/>
                <w:lang w:eastAsia="zh-CN"/>
              </w:rPr>
              <w:t>，显示出能源转型的强劲势头</w:t>
            </w:r>
            <w:r>
              <w:rPr>
                <w:rFonts w:hint="eastAsia"/>
                <w:sz w:val="24"/>
              </w:rPr>
              <w:t>。</w:t>
            </w:r>
          </w:p>
          <w:p>
            <w:pPr>
              <w:ind w:firstLine="480" w:firstLineChars="200"/>
              <w:rPr>
                <w:rFonts w:hint="eastAsia"/>
                <w:sz w:val="24"/>
              </w:rPr>
            </w:pPr>
            <w:r>
              <w:rPr>
                <w:rFonts w:hint="eastAsia"/>
                <w:sz w:val="24"/>
              </w:rPr>
              <w:t>在此背景下，作为油气产业链重要组成部分的油服行业，正在深刻构建传统能源与新能源协同发展的格局。智能化、绿色环保、技术创新和多样化是行业主要发展方向，在追求传统产业低碳化发展的同时，在新能源上谋求转型升级，寻找“第二增长曲线”，具有较好发展前景和市场潜力。</w:t>
            </w:r>
          </w:p>
          <w:p>
            <w:pPr>
              <w:rPr>
                <w:rFonts w:hint="eastAsia"/>
                <w:sz w:val="24"/>
                <w:lang w:val="en-US" w:eastAsia="zh-CN"/>
              </w:rPr>
            </w:pPr>
            <w:r>
              <w:rPr>
                <w:rFonts w:hint="eastAsia"/>
                <w:sz w:val="24"/>
                <w:lang w:val="en-US" w:eastAsia="zh-CN"/>
              </w:rPr>
              <w:t xml:space="preserve">   谢谢。</w:t>
            </w:r>
          </w:p>
          <w:p>
            <w:pPr>
              <w:rPr>
                <w:sz w:val="24"/>
              </w:rPr>
            </w:pPr>
          </w:p>
          <w:p>
            <w:pPr>
              <w:rPr>
                <w:rFonts w:hint="default"/>
                <w:sz w:val="24"/>
              </w:rPr>
            </w:pPr>
            <w:r>
              <w:rPr>
                <w:sz w:val="24"/>
              </w:rPr>
              <w:t>Q2:</w:t>
            </w:r>
            <w:r>
              <w:rPr>
                <w:rFonts w:hint="default"/>
                <w:sz w:val="24"/>
              </w:rPr>
              <w:t>关注到海油发展2025年上半年实现收入225.97亿元，同比小幅增长，</w:t>
            </w:r>
            <w:r>
              <w:rPr>
                <w:rFonts w:hint="default"/>
                <w:sz w:val="24"/>
                <w:lang w:val="en-US" w:eastAsia="zh-CN"/>
              </w:rPr>
              <w:t>但</w:t>
            </w:r>
            <w:r>
              <w:rPr>
                <w:rFonts w:hint="default"/>
                <w:sz w:val="24"/>
              </w:rPr>
              <w:t>能源技术服务板块增速</w:t>
            </w:r>
            <w:r>
              <w:rPr>
                <w:rFonts w:hint="default"/>
                <w:sz w:val="24"/>
                <w:lang w:val="en-US" w:eastAsia="zh-CN"/>
              </w:rPr>
              <w:t>较过往有所放缓，请</w:t>
            </w:r>
            <w:r>
              <w:rPr>
                <w:rFonts w:hint="default"/>
                <w:sz w:val="24"/>
              </w:rPr>
              <w:t>公司介绍一下</w:t>
            </w:r>
            <w:r>
              <w:rPr>
                <w:rFonts w:hint="default"/>
                <w:sz w:val="24"/>
                <w:lang w:val="en-US" w:eastAsia="zh-CN"/>
              </w:rPr>
              <w:t>具体原因</w:t>
            </w:r>
            <w:r>
              <w:rPr>
                <w:rFonts w:hint="default"/>
                <w:sz w:val="24"/>
              </w:rPr>
              <w:t>？</w:t>
            </w:r>
          </w:p>
          <w:p>
            <w:pPr>
              <w:rPr>
                <w:rFonts w:hint="eastAsia"/>
                <w:sz w:val="24"/>
                <w:lang w:eastAsia="zh-Hans"/>
              </w:rPr>
            </w:pPr>
            <w:r>
              <w:rPr>
                <w:rFonts w:hint="eastAsia"/>
                <w:sz w:val="24"/>
              </w:rPr>
              <w:t>A2：</w:t>
            </w:r>
            <w:r>
              <w:rPr>
                <w:rFonts w:hint="eastAsia"/>
                <w:sz w:val="24"/>
                <w:lang w:eastAsia="zh-Hans"/>
              </w:rPr>
              <w:t>上半年，</w:t>
            </w:r>
            <w:r>
              <w:rPr>
                <w:rFonts w:hint="eastAsia"/>
                <w:sz w:val="24"/>
                <w:lang w:val="en-US" w:eastAsia="zh-CN"/>
              </w:rPr>
              <w:t>公司</w:t>
            </w:r>
            <w:r>
              <w:rPr>
                <w:rFonts w:hint="eastAsia"/>
                <w:sz w:val="24"/>
                <w:lang w:eastAsia="zh-Hans"/>
              </w:rPr>
              <w:t>实现营业收入225.97亿元，归属于上市公司股东的净利润18.29亿元，分别同比增长4.46%和13.15%。生产经营呈现稳中有进、进中向好的积极态势，符合年度预算安排。</w:t>
            </w:r>
          </w:p>
          <w:p>
            <w:pPr>
              <w:ind w:firstLine="480" w:firstLineChars="200"/>
              <w:rPr>
                <w:rFonts w:hint="eastAsia"/>
                <w:sz w:val="24"/>
                <w:lang w:val="en-US" w:eastAsia="zh-CN"/>
              </w:rPr>
            </w:pPr>
            <w:r>
              <w:rPr>
                <w:rFonts w:hint="eastAsia"/>
                <w:sz w:val="24"/>
                <w:lang w:val="en-US" w:eastAsia="zh-CN"/>
              </w:rPr>
              <w:t>公司能源技术服务产业，聚焦油气田生产阶段，为上游油气公司提供包括提高采收率技术、钻完修技术、装备智能制造与运维、FPSO生产运营在内的全方位服务和支持保障，产业工作量与客户的生产作业计划关系密切。上半年，该产业收入完成情况与客户作业计划基本匹配，为完成全年指标打下坚实基础。同时，公司近年来持续加强核心能力建设，打造自主“拳头”产品，如永磁电泵、智能注采工具等，通过产品的落地应用，实现了产业的拓市增收。</w:t>
            </w:r>
          </w:p>
          <w:p>
            <w:pPr>
              <w:ind w:firstLine="480" w:firstLineChars="200"/>
              <w:rPr>
                <w:rFonts w:hint="eastAsia"/>
                <w:sz w:val="24"/>
                <w:lang w:eastAsia="zh-Hans"/>
              </w:rPr>
            </w:pPr>
            <w:r>
              <w:rPr>
                <w:rFonts w:hint="eastAsia"/>
                <w:sz w:val="24"/>
                <w:lang w:val="en-US" w:eastAsia="zh-CN"/>
              </w:rPr>
              <w:t>此外，公司</w:t>
            </w:r>
            <w:r>
              <w:rPr>
                <w:rFonts w:hint="eastAsia"/>
                <w:sz w:val="24"/>
              </w:rPr>
              <w:t>聚力提升产业发展质量</w:t>
            </w:r>
            <w:r>
              <w:rPr>
                <w:rFonts w:hint="eastAsia"/>
                <w:sz w:val="24"/>
                <w:lang w:eastAsia="zh-Hans"/>
              </w:rPr>
              <w:t>，</w:t>
            </w:r>
            <w:r>
              <w:rPr>
                <w:rFonts w:hint="eastAsia"/>
                <w:sz w:val="24"/>
                <w:lang w:val="en-US" w:eastAsia="zh-CN"/>
              </w:rPr>
              <w:t>提高产业韧性，</w:t>
            </w:r>
            <w:r>
              <w:rPr>
                <w:rFonts w:hint="eastAsia"/>
                <w:sz w:val="24"/>
                <w:lang w:eastAsia="zh-Hans"/>
              </w:rPr>
              <w:t>坚决有序退出部分</w:t>
            </w:r>
            <w:r>
              <w:rPr>
                <w:rFonts w:hint="eastAsia"/>
                <w:sz w:val="24"/>
                <w:lang w:val="en-US" w:eastAsia="zh-CN"/>
              </w:rPr>
              <w:t>低效微利的</w:t>
            </w:r>
            <w:r>
              <w:rPr>
                <w:rFonts w:hint="eastAsia"/>
                <w:sz w:val="24"/>
                <w:lang w:eastAsia="zh-Hans"/>
              </w:rPr>
              <w:t>非核心业务，推动公司资源更加聚焦投入到优势主业，提高成本投入产出效率，推动</w:t>
            </w:r>
            <w:r>
              <w:rPr>
                <w:rFonts w:hint="eastAsia"/>
                <w:sz w:val="24"/>
                <w:lang w:val="en-US" w:eastAsia="zh-CN"/>
              </w:rPr>
              <w:t>产业</w:t>
            </w:r>
            <w:r>
              <w:rPr>
                <w:rFonts w:hint="eastAsia"/>
                <w:sz w:val="24"/>
                <w:lang w:eastAsia="zh-Hans"/>
              </w:rPr>
              <w:t>高质量发展再上新台阶。</w:t>
            </w:r>
          </w:p>
          <w:p>
            <w:pPr>
              <w:ind w:firstLine="480" w:firstLineChars="200"/>
              <w:rPr>
                <w:rFonts w:hint="eastAsia"/>
                <w:sz w:val="24"/>
                <w:lang w:val="en-US" w:eastAsia="zh-CN"/>
              </w:rPr>
            </w:pPr>
            <w:r>
              <w:rPr>
                <w:rFonts w:hint="eastAsia"/>
                <w:sz w:val="24"/>
                <w:lang w:val="en-US" w:eastAsia="zh-CN"/>
              </w:rPr>
              <w:t>谢谢。</w:t>
            </w:r>
          </w:p>
          <w:p>
            <w:pPr>
              <w:rPr>
                <w:sz w:val="24"/>
              </w:rPr>
            </w:pPr>
          </w:p>
          <w:p>
            <w:pPr>
              <w:rPr>
                <w:rFonts w:hint="eastAsia"/>
                <w:sz w:val="24"/>
              </w:rPr>
            </w:pPr>
            <w:r>
              <w:rPr>
                <w:rFonts w:hint="eastAsia"/>
                <w:sz w:val="24"/>
              </w:rPr>
              <w:t>Q</w:t>
            </w:r>
            <w:r>
              <w:rPr>
                <w:sz w:val="24"/>
              </w:rPr>
              <w:t>3</w:t>
            </w:r>
            <w:r>
              <w:rPr>
                <w:rFonts w:hint="eastAsia"/>
                <w:sz w:val="24"/>
              </w:rPr>
              <w:t>：</w:t>
            </w:r>
            <w:bookmarkStart w:id="0" w:name="OLE_LINK4"/>
            <w:r>
              <w:rPr>
                <w:rFonts w:hint="eastAsia"/>
                <w:sz w:val="24"/>
              </w:rPr>
              <w:t>近年来，公司不断</w:t>
            </w:r>
            <w:r>
              <w:rPr>
                <w:rFonts w:hint="eastAsia"/>
                <w:sz w:val="24"/>
                <w:lang w:val="en-US" w:eastAsia="zh-CN"/>
              </w:rPr>
              <w:t>推进品牌建设</w:t>
            </w:r>
            <w:r>
              <w:rPr>
                <w:rFonts w:hint="eastAsia"/>
                <w:sz w:val="24"/>
              </w:rPr>
              <w:t>，</w:t>
            </w:r>
            <w:r>
              <w:rPr>
                <w:rFonts w:hint="eastAsia"/>
                <w:sz w:val="24"/>
                <w:lang w:val="en-US" w:eastAsia="zh-CN"/>
              </w:rPr>
              <w:t>能否说明一下在此</w:t>
            </w:r>
            <w:r>
              <w:rPr>
                <w:rFonts w:hint="eastAsia"/>
                <w:sz w:val="24"/>
              </w:rPr>
              <w:t>方面取得了哪些进展</w:t>
            </w:r>
            <w:r>
              <w:rPr>
                <w:rFonts w:hint="eastAsia"/>
                <w:sz w:val="24"/>
                <w:lang w:val="en-US" w:eastAsia="zh-CN"/>
              </w:rPr>
              <w:t>和</w:t>
            </w:r>
            <w:r>
              <w:rPr>
                <w:rFonts w:hint="eastAsia"/>
                <w:sz w:val="24"/>
              </w:rPr>
              <w:t>成果？</w:t>
            </w:r>
            <w:bookmarkEnd w:id="0"/>
          </w:p>
          <w:p>
            <w:pPr>
              <w:rPr>
                <w:rFonts w:hint="eastAsia"/>
                <w:sz w:val="24"/>
              </w:rPr>
            </w:pPr>
            <w:r>
              <w:rPr>
                <w:rFonts w:hint="eastAsia"/>
                <w:sz w:val="24"/>
              </w:rPr>
              <w:t>A</w:t>
            </w:r>
            <w:r>
              <w:rPr>
                <w:sz w:val="24"/>
              </w:rPr>
              <w:t>3</w:t>
            </w:r>
            <w:r>
              <w:rPr>
                <w:rFonts w:hint="eastAsia"/>
                <w:sz w:val="24"/>
              </w:rPr>
              <w:t>：</w:t>
            </w:r>
            <w:r>
              <w:rPr>
                <w:rFonts w:hint="eastAsia"/>
                <w:sz w:val="24"/>
                <w:lang w:val="en-US" w:eastAsia="zh-CN"/>
              </w:rPr>
              <w:t>公司高度重视品牌建设工作，出台《产品品牌建设指导意见》，将产品作为品牌的重要载体。</w:t>
            </w:r>
            <w:r>
              <w:rPr>
                <w:rFonts w:hint="eastAsia"/>
                <w:sz w:val="24"/>
              </w:rPr>
              <w:t>通过梳理重点产品及外向型产品清单，初步形成以永磁电泵、化学药剂、智能注采工具为代表的96类产品，构建“核心主品牌+特色子品牌”产品品牌架构。选取水下采油树、PDC钻头等10类产品试点推广“产品经理”模式，建立健全市场营销体系，统筹产品全生命周期管理。开展全面提升产品质量行动，永磁电泵</w:t>
            </w:r>
            <w:r>
              <w:rPr>
                <w:rFonts w:hint="eastAsia"/>
                <w:sz w:val="24"/>
                <w:lang w:val="en-US" w:eastAsia="zh-CN"/>
              </w:rPr>
              <w:t>上半年</w:t>
            </w:r>
            <w:r>
              <w:rPr>
                <w:rFonts w:hint="eastAsia"/>
                <w:sz w:val="24"/>
              </w:rPr>
              <w:t>累计入井172井次，平均节电24.6%；集输化学药剂自主化率提升至89%。“海龙”品牌以219.38亿元评估价值斩获“中国品牌价值评价（产品品牌）”第四名，入选“中国品牌优秀典型案例”，品牌影响力持续提升。</w:t>
            </w:r>
          </w:p>
          <w:p>
            <w:pPr>
              <w:ind w:firstLine="480" w:firstLineChars="200"/>
              <w:rPr>
                <w:sz w:val="24"/>
              </w:rPr>
            </w:pPr>
            <w:r>
              <w:rPr>
                <w:rFonts w:hint="default"/>
                <w:sz w:val="24"/>
                <w:lang w:eastAsia="zh-Hans"/>
              </w:rPr>
              <w:t>谢谢。</w:t>
            </w:r>
          </w:p>
          <w:p>
            <w:pPr>
              <w:rPr>
                <w:sz w:val="24"/>
              </w:rPr>
            </w:pPr>
            <w:r>
              <w:rPr>
                <w:sz w:val="24"/>
              </w:rPr>
              <w:t xml:space="preserve">     </w:t>
            </w:r>
          </w:p>
          <w:p>
            <w:pPr>
              <w:rPr>
                <w:rFonts w:hint="eastAsia"/>
                <w:sz w:val="24"/>
              </w:rPr>
            </w:pPr>
            <w:r>
              <w:rPr>
                <w:rFonts w:hint="eastAsia"/>
                <w:sz w:val="24"/>
              </w:rPr>
              <w:t>Q</w:t>
            </w:r>
            <w:r>
              <w:rPr>
                <w:sz w:val="24"/>
              </w:rPr>
              <w:t>4</w:t>
            </w:r>
            <w:r>
              <w:rPr>
                <w:rFonts w:hint="eastAsia"/>
                <w:sz w:val="24"/>
              </w:rPr>
              <w:t>：</w:t>
            </w:r>
            <w:r>
              <w:rPr>
                <w:rFonts w:hint="eastAsia"/>
                <w:sz w:val="24"/>
                <w:lang w:val="en-US" w:eastAsia="zh-CN"/>
              </w:rPr>
              <w:t>公司</w:t>
            </w:r>
            <w:r>
              <w:rPr>
                <w:rFonts w:hint="eastAsia"/>
                <w:sz w:val="24"/>
              </w:rPr>
              <w:t>上半年经营活动现金流量净额</w:t>
            </w:r>
            <w:r>
              <w:rPr>
                <w:rFonts w:hint="eastAsia"/>
                <w:sz w:val="24"/>
                <w:lang w:val="en-US" w:eastAsia="zh-CN"/>
              </w:rPr>
              <w:t>为</w:t>
            </w:r>
            <w:r>
              <w:rPr>
                <w:rFonts w:hint="eastAsia"/>
                <w:sz w:val="24"/>
              </w:rPr>
              <w:t>负</w:t>
            </w:r>
            <w:r>
              <w:rPr>
                <w:rFonts w:hint="eastAsia"/>
                <w:sz w:val="24"/>
                <w:lang w:val="en-US" w:eastAsia="zh-CN"/>
              </w:rPr>
              <w:t>数</w:t>
            </w:r>
            <w:r>
              <w:rPr>
                <w:rFonts w:hint="eastAsia"/>
                <w:sz w:val="24"/>
              </w:rPr>
              <w:t>，</w:t>
            </w:r>
            <w:r>
              <w:rPr>
                <w:rFonts w:hint="eastAsia"/>
                <w:sz w:val="24"/>
                <w:lang w:val="en-US" w:eastAsia="zh-CN"/>
              </w:rPr>
              <w:t>同比有较大下降，</w:t>
            </w:r>
            <w:r>
              <w:rPr>
                <w:rFonts w:hint="eastAsia"/>
                <w:sz w:val="24"/>
              </w:rPr>
              <w:t>请介绍一下具体原因，预计全年该指标</w:t>
            </w:r>
            <w:r>
              <w:rPr>
                <w:rFonts w:hint="eastAsia"/>
                <w:sz w:val="24"/>
                <w:lang w:val="en-US" w:eastAsia="zh-CN"/>
              </w:rPr>
              <w:t>可以</w:t>
            </w:r>
            <w:r>
              <w:rPr>
                <w:rFonts w:hint="eastAsia"/>
                <w:sz w:val="24"/>
              </w:rPr>
              <w:t>得到改善吗？</w:t>
            </w:r>
          </w:p>
          <w:p>
            <w:pPr>
              <w:rPr>
                <w:rFonts w:hint="eastAsia"/>
                <w:sz w:val="24"/>
              </w:rPr>
            </w:pPr>
            <w:r>
              <w:rPr>
                <w:rFonts w:hint="eastAsia"/>
                <w:sz w:val="24"/>
              </w:rPr>
              <w:t>A</w:t>
            </w:r>
            <w:r>
              <w:rPr>
                <w:sz w:val="24"/>
              </w:rPr>
              <w:t>4</w:t>
            </w:r>
            <w:r>
              <w:rPr>
                <w:rFonts w:hint="eastAsia"/>
                <w:sz w:val="24"/>
              </w:rPr>
              <w:t>：2025年上半年，公司经营活动产生的现金流量净额-4.78亿元，同比去年12.62亿元减少17.40亿元，下降137.86%。公司经营活动现金净流量大幅减少，主要是经营回款</w:t>
            </w:r>
            <w:r>
              <w:rPr>
                <w:rFonts w:hint="eastAsia"/>
                <w:sz w:val="24"/>
                <w:lang w:val="en-US" w:eastAsia="zh-CN"/>
              </w:rPr>
              <w:t>存在</w:t>
            </w:r>
            <w:r>
              <w:rPr>
                <w:rFonts w:hint="eastAsia"/>
                <w:sz w:val="24"/>
              </w:rPr>
              <w:t>季节性波动，</w:t>
            </w:r>
            <w:r>
              <w:rPr>
                <w:rFonts w:hint="eastAsia"/>
                <w:sz w:val="24"/>
                <w:lang w:val="en-US" w:eastAsia="zh-CN"/>
              </w:rPr>
              <w:t>但</w:t>
            </w:r>
            <w:r>
              <w:rPr>
                <w:rFonts w:hint="eastAsia"/>
                <w:sz w:val="24"/>
              </w:rPr>
              <w:t>付款端月度间支出相对均衡，导致收支存在时间性差异。本期销售商品、提供劳务收到的现金同比增加12.40亿元，购买商品、接受劳务支付现金同比增加24.56亿元，支付各项税费和职工相关支出同比增加3.93亿元。公司上半年营业收现率111.64%，同比提高0.09个百分点，</w:t>
            </w:r>
            <w:r>
              <w:rPr>
                <w:rFonts w:hint="eastAsia"/>
                <w:sz w:val="24"/>
                <w:lang w:val="en-US" w:eastAsia="zh-CN"/>
              </w:rPr>
              <w:t>整体</w:t>
            </w:r>
            <w:r>
              <w:rPr>
                <w:rFonts w:hint="eastAsia"/>
                <w:sz w:val="24"/>
              </w:rPr>
              <w:t>回款效率稳中向好。</w:t>
            </w:r>
          </w:p>
          <w:p>
            <w:pPr>
              <w:ind w:firstLine="480" w:firstLineChars="200"/>
              <w:rPr>
                <w:rFonts w:hint="default"/>
                <w:sz w:val="24"/>
                <w:lang w:val="en-US"/>
              </w:rPr>
            </w:pPr>
            <w:r>
              <w:rPr>
                <w:rFonts w:hint="eastAsia"/>
                <w:sz w:val="24"/>
              </w:rPr>
              <w:t>公司</w:t>
            </w:r>
            <w:r>
              <w:rPr>
                <w:rFonts w:hint="eastAsia"/>
                <w:sz w:val="24"/>
                <w:lang w:val="en-US" w:eastAsia="zh-CN"/>
              </w:rPr>
              <w:t>管理层</w:t>
            </w:r>
            <w:r>
              <w:rPr>
                <w:rFonts w:hint="eastAsia"/>
                <w:sz w:val="24"/>
              </w:rPr>
              <w:t>高度关注现金流管理，</w:t>
            </w:r>
            <w:r>
              <w:rPr>
                <w:rFonts w:hint="eastAsia"/>
                <w:sz w:val="24"/>
                <w:lang w:val="en-US" w:eastAsia="zh-CN"/>
              </w:rPr>
              <w:t>制定并严格执行</w:t>
            </w:r>
            <w:r>
              <w:rPr>
                <w:rFonts w:hint="eastAsia"/>
                <w:sz w:val="24"/>
              </w:rPr>
              <w:t>应收账款清收责任制，将“以支促收”理念传递至业务一线，进一步提高回款效率、降低经营资金占用，全力推动经营现金流转正向好。公司可动用资金余额接近百亿，总体资金充裕、流动性高，可以有效保障生产经营、</w:t>
            </w:r>
            <w:r>
              <w:rPr>
                <w:rFonts w:hint="eastAsia"/>
                <w:sz w:val="24"/>
                <w:lang w:val="en-US" w:eastAsia="zh-CN"/>
              </w:rPr>
              <w:t>重点</w:t>
            </w:r>
            <w:r>
              <w:rPr>
                <w:rFonts w:hint="eastAsia"/>
                <w:sz w:val="24"/>
              </w:rPr>
              <w:t>投资和股东分红的支出需求。</w:t>
            </w:r>
            <w:r>
              <w:rPr>
                <w:rFonts w:hint="eastAsia"/>
                <w:sz w:val="24"/>
                <w:lang w:val="en-US" w:eastAsia="zh-CN"/>
              </w:rPr>
              <w:t>谢谢。</w:t>
            </w:r>
          </w:p>
          <w:p>
            <w:pPr>
              <w:rPr>
                <w:sz w:val="24"/>
              </w:rPr>
            </w:pPr>
            <w:r>
              <w:rPr>
                <w:sz w:val="24"/>
              </w:rPr>
              <w:t xml:space="preserve">    </w:t>
            </w:r>
          </w:p>
          <w:p>
            <w:pPr>
              <w:rPr>
                <w:rFonts w:hint="eastAsia"/>
                <w:sz w:val="24"/>
              </w:rPr>
            </w:pPr>
            <w:r>
              <w:rPr>
                <w:rFonts w:hint="eastAsia"/>
                <w:sz w:val="24"/>
              </w:rPr>
              <w:t>Q</w:t>
            </w:r>
            <w:r>
              <w:rPr>
                <w:sz w:val="24"/>
              </w:rPr>
              <w:t>5</w:t>
            </w:r>
            <w:r>
              <w:rPr>
                <w:rFonts w:hint="eastAsia"/>
                <w:sz w:val="24"/>
              </w:rPr>
              <w:t>：作为能源技术服务公司科技创新无疑是核心竞争力的重要体现，请问公司上半年在科技研发与技术创新方面取得了怎样的成果？</w:t>
            </w:r>
          </w:p>
          <w:p>
            <w:pPr>
              <w:rPr>
                <w:rFonts w:hint="eastAsia"/>
                <w:sz w:val="24"/>
              </w:rPr>
            </w:pPr>
            <w:r>
              <w:rPr>
                <w:rFonts w:hint="eastAsia"/>
                <w:sz w:val="24"/>
              </w:rPr>
              <w:t>A</w:t>
            </w:r>
            <w:r>
              <w:rPr>
                <w:sz w:val="24"/>
              </w:rPr>
              <w:t>5</w:t>
            </w:r>
            <w:r>
              <w:rPr>
                <w:rFonts w:hint="eastAsia"/>
                <w:sz w:val="24"/>
              </w:rPr>
              <w:t>：公司始终秉持创新驱动战略，基于市场需求并结合公司产业结构，构建了七大专业技术体系，坚定践行产品战略，致力于打造公司新质生产力，形成了众多关键核心技术，破解多项“卡脖子”难题，打造出系列化“标志性技术、标志性产品”，全力推动公司质量变革、效率变革、动力变革。</w:t>
            </w:r>
          </w:p>
          <w:p>
            <w:pPr>
              <w:ind w:firstLine="480"/>
              <w:rPr>
                <w:rFonts w:hint="eastAsia"/>
                <w:sz w:val="24"/>
              </w:rPr>
            </w:pPr>
            <w:r>
              <w:rPr>
                <w:rFonts w:hint="eastAsia"/>
                <w:sz w:val="24"/>
                <w:lang w:val="en-US" w:eastAsia="zh-CN"/>
              </w:rPr>
              <w:t>上半年，</w:t>
            </w:r>
            <w:r>
              <w:rPr>
                <w:rFonts w:hint="eastAsia"/>
                <w:sz w:val="24"/>
              </w:rPr>
              <w:t>公司自主研发的国内首套深水液控智能流量控制阀成功应用，实现深水油气田开发核心工具国产化替代。自主成撬的国内首台1.8MW级国产透平机组首次应用。主导制定的涂料中防腐剂含量测定3项国际标准正式发布。自主研发的全球首台套兆瓦级电解海水制氢装置成功连续示范运行超1,000小时，产氢规模达200立方米每小时，氢气纯度高达99.999%。</w:t>
            </w:r>
          </w:p>
          <w:p>
            <w:pPr>
              <w:ind w:firstLine="480"/>
              <w:rPr>
                <w:sz w:val="24"/>
              </w:rPr>
            </w:pPr>
            <w:r>
              <w:rPr>
                <w:rFonts w:hint="eastAsia"/>
                <w:sz w:val="24"/>
              </w:rPr>
              <w:t>目前，公司拥有国家级研发平台7家、国家级技能大师工作室1个、中国海油重点实验室5个、海油发展重点实验室9个、博士后工作站7个。累计荣获省部级及以上科技奖励156项，建立企业级以上标准1,586项，其中国际标准15项、国家标准657项、行业标准699项、团体标准105项、中国海油标准110项。</w:t>
            </w:r>
            <w:r>
              <w:rPr>
                <w:rFonts w:hint="eastAsia"/>
                <w:sz w:val="24"/>
                <w:lang w:val="en-US" w:eastAsia="zh-CN"/>
              </w:rPr>
              <w:t>谢谢。</w:t>
            </w:r>
            <w:r>
              <w:rPr>
                <w:sz w:val="24"/>
              </w:rPr>
              <w:t xml:space="preserve">    </w:t>
            </w:r>
            <w:r>
              <w:rPr>
                <w:rFonts w:hint="eastAsia"/>
                <w:sz w:val="24"/>
              </w:rPr>
              <w:t xml:space="preserve"> </w:t>
            </w:r>
          </w:p>
          <w:p>
            <w:pPr>
              <w:rPr>
                <w:sz w:val="24"/>
              </w:rPr>
            </w:pPr>
            <w:r>
              <w:rPr>
                <w:sz w:val="24"/>
              </w:rPr>
              <w:t xml:space="preserve">    </w:t>
            </w:r>
          </w:p>
          <w:p>
            <w:pPr>
              <w:rPr>
                <w:sz w:val="24"/>
              </w:rPr>
            </w:pPr>
            <w:r>
              <w:rPr>
                <w:rFonts w:hint="eastAsia"/>
                <w:sz w:val="24"/>
              </w:rPr>
              <w:t>Q</w:t>
            </w:r>
            <w:r>
              <w:rPr>
                <w:sz w:val="24"/>
              </w:rPr>
              <w:t>6</w:t>
            </w:r>
            <w:r>
              <w:rPr>
                <w:rFonts w:hint="eastAsia"/>
                <w:sz w:val="24"/>
              </w:rPr>
              <w:t>：近年来，积极拓展海外业务</w:t>
            </w:r>
            <w:r>
              <w:rPr>
                <w:rFonts w:hint="eastAsia"/>
                <w:sz w:val="24"/>
                <w:lang w:eastAsia="zh-CN"/>
              </w:rPr>
              <w:t>，</w:t>
            </w:r>
            <w:r>
              <w:rPr>
                <w:rFonts w:hint="eastAsia"/>
                <w:sz w:val="24"/>
              </w:rPr>
              <w:t>上半年，公司的海外业务有没有新的突破？公司在海外市场的布局是怎样的？</w:t>
            </w:r>
          </w:p>
          <w:p>
            <w:pPr>
              <w:rPr>
                <w:rFonts w:hint="eastAsia"/>
                <w:sz w:val="24"/>
              </w:rPr>
            </w:pPr>
            <w:bookmarkStart w:id="2" w:name="_GoBack"/>
            <w:bookmarkEnd w:id="2"/>
            <w:r>
              <w:rPr>
                <w:rFonts w:hint="eastAsia"/>
                <w:sz w:val="24"/>
              </w:rPr>
              <w:t>A</w:t>
            </w:r>
            <w:r>
              <w:rPr>
                <w:sz w:val="24"/>
              </w:rPr>
              <w:t>6</w:t>
            </w:r>
            <w:r>
              <w:rPr>
                <w:rFonts w:hint="eastAsia"/>
                <w:sz w:val="24"/>
              </w:rPr>
              <w:t>：公司坚持“聚焦主业、强内拓外”发展思路，明确海外业务中长期布局实现路径，2025年上半年，公司的油套管、化学药剂、管道涂敷、自有钻机一体化服务等核心产品和服务在加拿大、文莱、卡塔尔等国家实现突破。</w:t>
            </w:r>
          </w:p>
          <w:p>
            <w:pPr>
              <w:ind w:firstLine="480" w:firstLineChars="200"/>
              <w:rPr>
                <w:rFonts w:hint="eastAsia"/>
                <w:sz w:val="24"/>
              </w:rPr>
            </w:pPr>
            <w:r>
              <w:rPr>
                <w:rFonts w:hint="eastAsia"/>
                <w:sz w:val="24"/>
                <w:lang w:val="en-US" w:eastAsia="zh-CN"/>
              </w:rPr>
              <w:t>公司坚信“走出去”不是选择题，而是必答题，是公司发展成为具有国际竞争力专业化创新型能源技术服务企业的必由之路。</w:t>
            </w:r>
            <w:r>
              <w:rPr>
                <w:rFonts w:hint="eastAsia"/>
                <w:sz w:val="24"/>
              </w:rPr>
              <w:t>未来，公司将坚定不移地走国际化道路，扎实做好区域布局，提升国际化经营能力。加大资源</w:t>
            </w:r>
            <w:r>
              <w:rPr>
                <w:rFonts w:hint="eastAsia"/>
                <w:sz w:val="24"/>
                <w:lang w:val="en-US" w:eastAsia="zh-CN"/>
              </w:rPr>
              <w:t>精准投入力度</w:t>
            </w:r>
            <w:r>
              <w:rPr>
                <w:rFonts w:hint="eastAsia"/>
                <w:sz w:val="24"/>
              </w:rPr>
              <w:t>，</w:t>
            </w:r>
            <w:r>
              <w:rPr>
                <w:rFonts w:hint="eastAsia"/>
                <w:sz w:val="24"/>
                <w:lang w:val="en-US" w:eastAsia="zh-CN"/>
              </w:rPr>
              <w:t>着力提升专业化技术服务能力和产品制造能力。</w:t>
            </w:r>
            <w:r>
              <w:rPr>
                <w:rFonts w:hint="eastAsia"/>
                <w:sz w:val="24"/>
              </w:rPr>
              <w:t>全面提升项目管理能力、区域统筹能力、市场开发能力与合同执行能力，</w:t>
            </w:r>
            <w:r>
              <w:rPr>
                <w:rFonts w:hint="eastAsia"/>
                <w:sz w:val="24"/>
                <w:lang w:val="en-US" w:eastAsia="zh-CN"/>
              </w:rPr>
              <w:t>全面</w:t>
            </w:r>
            <w:r>
              <w:rPr>
                <w:rFonts w:hint="eastAsia"/>
                <w:sz w:val="24"/>
              </w:rPr>
              <w:t>加强海外人才队伍建设</w:t>
            </w:r>
            <w:r>
              <w:rPr>
                <w:rFonts w:hint="eastAsia"/>
                <w:sz w:val="24"/>
                <w:lang w:eastAsia="zh-CN"/>
              </w:rPr>
              <w:t>。</w:t>
            </w:r>
            <w:r>
              <w:rPr>
                <w:rFonts w:hint="eastAsia"/>
                <w:sz w:val="24"/>
              </w:rPr>
              <w:t>同时，公司将加强商务模式创新和研究，制定风险管理策略，新项目和新市场进入组织开展全面风险评估，规避风险敞口。谢谢。</w:t>
            </w:r>
          </w:p>
          <w:p>
            <w:pPr>
              <w:rPr>
                <w:sz w:val="24"/>
              </w:rPr>
            </w:pPr>
            <w:r>
              <w:rPr>
                <w:sz w:val="24"/>
              </w:rPr>
              <w:t xml:space="preserve">    </w:t>
            </w:r>
          </w:p>
          <w:p>
            <w:pPr>
              <w:rPr>
                <w:rFonts w:hint="eastAsia"/>
                <w:sz w:val="24"/>
              </w:rPr>
            </w:pPr>
            <w:r>
              <w:rPr>
                <w:rFonts w:hint="eastAsia"/>
                <w:sz w:val="24"/>
              </w:rPr>
              <w:t>Q</w:t>
            </w:r>
            <w:r>
              <w:rPr>
                <w:sz w:val="24"/>
              </w:rPr>
              <w:t>7</w:t>
            </w:r>
            <w:r>
              <w:rPr>
                <w:rFonts w:hint="eastAsia"/>
                <w:sz w:val="24"/>
              </w:rPr>
              <w:t>：</w:t>
            </w:r>
            <w:r>
              <w:rPr>
                <w:rFonts w:hint="eastAsia"/>
                <w:sz w:val="24"/>
                <w:lang w:val="en-US" w:eastAsia="zh-CN"/>
              </w:rPr>
              <w:t>公司有没有多次分红的计划？</w:t>
            </w:r>
            <w:r>
              <w:rPr>
                <w:rFonts w:hint="eastAsia"/>
                <w:sz w:val="24"/>
              </w:rPr>
              <w:t>在股东回报方面，公司未来有怎样的</w:t>
            </w:r>
            <w:r>
              <w:rPr>
                <w:rFonts w:hint="eastAsia"/>
                <w:sz w:val="24"/>
                <w:lang w:val="en-US" w:eastAsia="zh-CN"/>
              </w:rPr>
              <w:t>考虑</w:t>
            </w:r>
            <w:r>
              <w:rPr>
                <w:rFonts w:hint="eastAsia"/>
                <w:sz w:val="24"/>
              </w:rPr>
              <w:t>？</w:t>
            </w:r>
          </w:p>
          <w:p>
            <w:pPr>
              <w:rPr>
                <w:rFonts w:hint="eastAsia" w:eastAsia="宋体" w:cs="Times New Roman"/>
                <w:sz w:val="24"/>
                <w:lang w:val="en-US" w:eastAsia="zh-CN"/>
              </w:rPr>
            </w:pPr>
            <w:r>
              <w:rPr>
                <w:rFonts w:hint="eastAsia" w:eastAsia="宋体" w:cs="Times New Roman"/>
                <w:sz w:val="24"/>
              </w:rPr>
              <w:t>A7：</w:t>
            </w:r>
            <w:r>
              <w:rPr>
                <w:rFonts w:hint="eastAsia" w:eastAsia="宋体" w:cs="Times New Roman"/>
                <w:sz w:val="24"/>
                <w:lang w:val="en-US" w:eastAsia="zh-CN"/>
              </w:rPr>
              <w:t>上市以来，公司坚持每年进行一次分红，一次性向股东分红到位</w:t>
            </w:r>
            <w:r>
              <w:rPr>
                <w:rFonts w:hint="eastAsia" w:eastAsia="宋体" w:cs="Times New Roman"/>
                <w:sz w:val="24"/>
              </w:rPr>
              <w:t>。</w:t>
            </w:r>
            <w:r>
              <w:rPr>
                <w:rFonts w:hint="eastAsia" w:eastAsia="宋体" w:cs="Times New Roman"/>
                <w:sz w:val="24"/>
                <w:lang w:val="en-US" w:eastAsia="zh-CN"/>
              </w:rPr>
              <w:t>近三年，保持分红比例和每股股利的持续增长。</w:t>
            </w:r>
          </w:p>
          <w:p>
            <w:pPr>
              <w:rPr>
                <w:rFonts w:hint="eastAsia" w:eastAsia="宋体" w:cs="Times New Roman"/>
                <w:sz w:val="24"/>
                <w:lang w:val="en-US" w:eastAsia="zh-CN"/>
              </w:rPr>
            </w:pPr>
            <w:r>
              <w:rPr>
                <w:rFonts w:hint="eastAsia" w:eastAsia="宋体" w:cs="Times New Roman"/>
                <w:sz w:val="24"/>
              </w:rPr>
              <w:t>公司高度重视股东回报，</w:t>
            </w:r>
            <w:r>
              <w:rPr>
                <w:rFonts w:hint="eastAsia" w:eastAsia="宋体" w:cs="Times New Roman"/>
                <w:sz w:val="24"/>
                <w:lang w:val="en-US" w:eastAsia="zh-CN"/>
              </w:rPr>
              <w:t>坚持</w:t>
            </w:r>
            <w:r>
              <w:rPr>
                <w:rFonts w:hint="eastAsia" w:eastAsia="宋体" w:cs="Times New Roman"/>
                <w:sz w:val="24"/>
              </w:rPr>
              <w:t>稳定和可持续的现金分红政策。未来</w:t>
            </w:r>
            <w:r>
              <w:rPr>
                <w:rFonts w:hint="eastAsia" w:eastAsia="宋体" w:cs="Times New Roman"/>
                <w:sz w:val="24"/>
                <w:lang w:eastAsia="zh-CN"/>
              </w:rPr>
              <w:t>，</w:t>
            </w:r>
            <w:r>
              <w:rPr>
                <w:rFonts w:hint="eastAsia" w:eastAsia="宋体" w:cs="Times New Roman"/>
                <w:sz w:val="24"/>
              </w:rPr>
              <w:t>公司将</w:t>
            </w:r>
            <w:r>
              <w:rPr>
                <w:rFonts w:hint="eastAsia" w:eastAsia="宋体" w:cs="Times New Roman"/>
                <w:sz w:val="24"/>
                <w:lang w:val="en-US" w:eastAsia="zh-CN"/>
              </w:rPr>
              <w:t>持续保持稳健</w:t>
            </w:r>
            <w:r>
              <w:rPr>
                <w:rFonts w:hint="eastAsia" w:eastAsia="宋体" w:cs="Times New Roman"/>
                <w:sz w:val="24"/>
              </w:rPr>
              <w:t>的股息政策</w:t>
            </w:r>
            <w:r>
              <w:rPr>
                <w:rFonts w:hint="eastAsia" w:eastAsia="宋体" w:cs="Times New Roman"/>
                <w:sz w:val="24"/>
                <w:lang w:eastAsia="zh-CN"/>
              </w:rPr>
              <w:t>，</w:t>
            </w:r>
            <w:r>
              <w:rPr>
                <w:rFonts w:hint="eastAsia" w:eastAsia="宋体" w:cs="Times New Roman"/>
                <w:sz w:val="24"/>
                <w:lang w:val="en-US" w:eastAsia="zh-CN"/>
              </w:rPr>
              <w:t>积极</w:t>
            </w:r>
            <w:r>
              <w:rPr>
                <w:rFonts w:hint="eastAsia" w:eastAsia="宋体" w:cs="Times New Roman"/>
                <w:sz w:val="24"/>
              </w:rPr>
              <w:t>传递市场信心，</w:t>
            </w:r>
            <w:r>
              <w:rPr>
                <w:rFonts w:hint="eastAsia" w:eastAsia="宋体" w:cs="Times New Roman"/>
                <w:sz w:val="24"/>
                <w:lang w:val="en-US" w:eastAsia="zh-CN"/>
              </w:rPr>
              <w:t>力争在</w:t>
            </w:r>
            <w:r>
              <w:rPr>
                <w:rFonts w:hint="eastAsia" w:eastAsia="宋体" w:cs="Times New Roman"/>
                <w:sz w:val="24"/>
              </w:rPr>
              <w:t>分红比例、每股股利</w:t>
            </w:r>
            <w:r>
              <w:rPr>
                <w:rFonts w:hint="eastAsia" w:eastAsia="宋体" w:cs="Times New Roman"/>
                <w:sz w:val="24"/>
                <w:lang w:val="en-US" w:eastAsia="zh-CN"/>
              </w:rPr>
              <w:t>等方面实现</w:t>
            </w:r>
            <w:r>
              <w:rPr>
                <w:rFonts w:hint="eastAsia" w:eastAsia="宋体" w:cs="Times New Roman"/>
                <w:sz w:val="24"/>
              </w:rPr>
              <w:t>稳定增长</w:t>
            </w:r>
            <w:r>
              <w:rPr>
                <w:rFonts w:hint="eastAsia" w:eastAsia="宋体" w:cs="Times New Roman"/>
                <w:sz w:val="24"/>
                <w:lang w:eastAsia="zh-CN"/>
              </w:rPr>
              <w:t>。</w:t>
            </w:r>
            <w:r>
              <w:rPr>
                <w:rFonts w:hint="eastAsia" w:eastAsia="宋体" w:cs="Times New Roman"/>
                <w:sz w:val="24"/>
              </w:rPr>
              <w:t>公司</w:t>
            </w:r>
            <w:r>
              <w:rPr>
                <w:rFonts w:hint="eastAsia" w:eastAsia="宋体" w:cs="Times New Roman"/>
                <w:sz w:val="24"/>
                <w:lang w:val="en-US" w:eastAsia="zh-CN"/>
              </w:rPr>
              <w:t>也将</w:t>
            </w:r>
            <w:r>
              <w:rPr>
                <w:rFonts w:hint="eastAsia" w:eastAsia="宋体" w:cs="Times New Roman"/>
                <w:sz w:val="24"/>
              </w:rPr>
              <w:t>努力提升经营业绩和经营质量，</w:t>
            </w:r>
            <w:r>
              <w:rPr>
                <w:rFonts w:hint="eastAsia" w:eastAsia="宋体" w:cs="Times New Roman"/>
                <w:sz w:val="24"/>
                <w:lang w:val="en-US" w:eastAsia="zh-CN"/>
              </w:rPr>
              <w:t>与</w:t>
            </w:r>
            <w:r>
              <w:rPr>
                <w:rFonts w:hint="eastAsia" w:eastAsia="宋体" w:cs="Times New Roman"/>
                <w:sz w:val="24"/>
              </w:rPr>
              <w:t>股东</w:t>
            </w:r>
            <w:r>
              <w:rPr>
                <w:rFonts w:hint="eastAsia" w:eastAsia="宋体" w:cs="Times New Roman"/>
                <w:sz w:val="24"/>
                <w:lang w:val="en-US" w:eastAsia="zh-CN"/>
              </w:rPr>
              <w:t>同享公司发展红利</w:t>
            </w:r>
            <w:r>
              <w:rPr>
                <w:rFonts w:hint="eastAsia" w:eastAsia="宋体" w:cs="Times New Roman"/>
                <w:sz w:val="24"/>
              </w:rPr>
              <w:t>。</w:t>
            </w:r>
            <w:r>
              <w:rPr>
                <w:rFonts w:hint="eastAsia" w:eastAsia="宋体" w:cs="Times New Roman"/>
                <w:sz w:val="24"/>
                <w:lang w:val="en-US" w:eastAsia="zh-CN"/>
              </w:rPr>
              <w:t>谢谢。</w:t>
            </w:r>
          </w:p>
          <w:p>
            <w:pPr>
              <w:spacing w:line="360" w:lineRule="auto"/>
              <w:rPr>
                <w:rFonts w:ascii="宋体" w:hAnsi="宋体" w:cs="宋体"/>
                <w:sz w:val="24"/>
              </w:rPr>
            </w:pPr>
          </w:p>
          <w:p>
            <w:pPr>
              <w:rPr>
                <w:rFonts w:hint="eastAsia"/>
                <w:sz w:val="24"/>
              </w:rPr>
            </w:pPr>
            <w:r>
              <w:rPr>
                <w:rFonts w:hint="eastAsia"/>
                <w:sz w:val="24"/>
              </w:rPr>
              <w:t>Q</w:t>
            </w:r>
            <w:r>
              <w:rPr>
                <w:rFonts w:hint="eastAsia"/>
                <w:sz w:val="24"/>
                <w:lang w:val="en-US" w:eastAsia="zh-CN"/>
              </w:rPr>
              <w:t>8</w:t>
            </w:r>
            <w:r>
              <w:rPr>
                <w:rFonts w:hint="eastAsia"/>
                <w:sz w:val="24"/>
              </w:rPr>
              <w:t>：</w:t>
            </w:r>
            <w:bookmarkStart w:id="1" w:name="OLE_LINK2"/>
            <w:r>
              <w:rPr>
                <w:rFonts w:hint="eastAsia"/>
                <w:sz w:val="24"/>
              </w:rPr>
              <w:t>近年来，国资委多次强调国有企业要加快培育和发展新质生产力</w:t>
            </w:r>
            <w:bookmarkEnd w:id="1"/>
            <w:r>
              <w:rPr>
                <w:rFonts w:hint="eastAsia"/>
                <w:sz w:val="24"/>
              </w:rPr>
              <w:t>，请问公司在发展新质生产力上如何布局，目前的成果如何？</w:t>
            </w:r>
          </w:p>
          <w:p>
            <w:pPr>
              <w:rPr>
                <w:rFonts w:hint="eastAsia" w:eastAsia="宋体" w:cs="Times New Roman"/>
                <w:sz w:val="24"/>
                <w:lang w:val="en-US" w:eastAsia="zh-CN"/>
              </w:rPr>
            </w:pPr>
            <w:r>
              <w:rPr>
                <w:rFonts w:hint="eastAsia"/>
                <w:sz w:val="24"/>
                <w:lang w:val="en-US" w:eastAsia="zh-CN"/>
              </w:rPr>
              <w:t>A8：</w:t>
            </w:r>
            <w:r>
              <w:rPr>
                <w:rFonts w:hint="eastAsia" w:eastAsia="宋体" w:cs="Times New Roman"/>
                <w:sz w:val="24"/>
                <w:lang w:val="en-US" w:eastAsia="zh-CN"/>
              </w:rPr>
              <w:t>公司充分认识和把握培育发展海洋能源新质生产力的重大意义，致力于加速传统产业优化升级，大力布局发展战略性新兴产业和未来产业，扎实推进公司现代化产业体系建设。</w:t>
            </w:r>
          </w:p>
          <w:p>
            <w:pPr>
              <w:ind w:firstLine="480" w:firstLineChars="200"/>
              <w:rPr>
                <w:rFonts w:hint="eastAsia" w:eastAsia="宋体" w:cs="Times New Roman"/>
                <w:sz w:val="24"/>
                <w:lang w:val="en-US" w:eastAsia="zh-CN"/>
              </w:rPr>
            </w:pPr>
            <w:r>
              <w:rPr>
                <w:rFonts w:hint="eastAsia" w:eastAsia="宋体" w:cs="Times New Roman"/>
                <w:sz w:val="24"/>
                <w:lang w:val="en-US" w:eastAsia="zh-CN"/>
              </w:rPr>
              <w:t>上半年，公司持续加快培育发展战新产业与未来产业，实施海油发展战略性新兴产业行动方案，进一步优化公司战新产业和未来产业目录，深化布局新一代信息技术、海洋装备、新材料、新能源、节能环保和相关服务业等六大领域。开展计量业务、海上风电安装业务、VOCs等业务专题调研，研究开展“钻头+”业务新方向。中长期FOB资源配套LNG运输船项目整体进入“十船同造”阶段。积极推进海洋大数据生态系统建设，现已完成陆地调试。</w:t>
            </w:r>
          </w:p>
          <w:p>
            <w:pPr>
              <w:ind w:firstLine="480" w:firstLineChars="200"/>
              <w:rPr>
                <w:rFonts w:hint="eastAsia" w:eastAsia="宋体" w:cs="Times New Roman"/>
                <w:sz w:val="24"/>
                <w:lang w:val="en-US" w:eastAsia="zh-CN"/>
              </w:rPr>
            </w:pPr>
            <w:r>
              <w:rPr>
                <w:rFonts w:hint="eastAsia" w:eastAsia="宋体" w:cs="Times New Roman"/>
                <w:sz w:val="24"/>
                <w:lang w:val="en-US" w:eastAsia="zh-CN"/>
              </w:rPr>
              <w:t xml:space="preserve">下一步，公司将以科学编制“十五五”发展规划为抓手，进一步深化战新产业、未来产业发展趋势与路径的研究，健全战新产业和未来产业发展保障机制，因地制宜培育发展海洋能源新质生产力。加快布局化工新材料产品，逐步扩大DPC催化剂、功能膜材料产能。有序培育新能源业务，积极布局人工智能+、绿色低碳等领域重大项目。大力推动数智化转型发展，聚焦“业务驱动+IT赋能”，提升数智化转型场景运行效能。    </w:t>
            </w:r>
          </w:p>
          <w:p>
            <w:pPr>
              <w:ind w:firstLine="480" w:firstLineChars="200"/>
              <w:rPr>
                <w:rFonts w:hint="eastAsia" w:eastAsia="宋体" w:cs="Times New Roman"/>
                <w:sz w:val="24"/>
                <w:lang w:val="en-US" w:eastAsia="zh-CN"/>
              </w:rPr>
            </w:pPr>
            <w:r>
              <w:rPr>
                <w:rFonts w:hint="eastAsia" w:eastAsia="宋体" w:cs="Times New Roman"/>
                <w:sz w:val="24"/>
                <w:lang w:val="en-US" w:eastAsia="zh-CN"/>
              </w:rPr>
              <w:t>谢谢。</w:t>
            </w:r>
          </w:p>
          <w:p>
            <w:pPr>
              <w:spacing w:line="360" w:lineRule="auto"/>
              <w:rPr>
                <w:rFonts w:hint="default"/>
                <w:sz w:val="24"/>
                <w:lang w:val="en-US" w:eastAsia="zh-CN"/>
              </w:rPr>
            </w:pPr>
          </w:p>
          <w:p>
            <w:pPr>
              <w:rPr>
                <w:rFonts w:hint="eastAsia" w:eastAsia="宋体" w:cs="Times New Roman"/>
                <w:sz w:val="24"/>
                <w:lang w:val="en-US" w:eastAsia="zh-CN"/>
              </w:rPr>
            </w:pPr>
            <w:r>
              <w:rPr>
                <w:rFonts w:hint="eastAsia" w:eastAsia="宋体" w:cs="Times New Roman"/>
                <w:sz w:val="24"/>
                <w:lang w:val="en-US" w:eastAsia="zh-CN"/>
              </w:rPr>
              <w:t>Q9：贵公司于2025年4月发布了“提质增效重回报”行动方案，近半年来的实施情况如何？</w:t>
            </w:r>
          </w:p>
          <w:p>
            <w:pPr>
              <w:rPr>
                <w:rFonts w:hint="eastAsia" w:eastAsia="宋体" w:cs="Times New Roman"/>
                <w:sz w:val="24"/>
                <w:lang w:val="en-US" w:eastAsia="zh-CN"/>
              </w:rPr>
            </w:pPr>
            <w:r>
              <w:rPr>
                <w:rFonts w:hint="eastAsia"/>
                <w:sz w:val="24"/>
                <w:lang w:val="en-US" w:eastAsia="zh-CN"/>
              </w:rPr>
              <w:t>A9</w:t>
            </w:r>
            <w:r>
              <w:rPr>
                <w:rFonts w:hint="eastAsia" w:eastAsia="宋体" w:cs="Times New Roman"/>
                <w:sz w:val="24"/>
                <w:lang w:val="en-US" w:eastAsia="zh-CN"/>
              </w:rPr>
              <w:t>：公司积极响应上交所倡议，于2025年4月8日召开第五届董事会第十七次会议，审议通过《2025年度“提质增效重回报”行动方案》。上半年，公司以行动方案为纲领，从聚焦主责主业、持续现金分红、加快发展新质生产力、加强投资者沟通交流、强化公司治理等方面，积极推动并落实各项举措，各项工作取得积极成效。</w:t>
            </w:r>
          </w:p>
          <w:p>
            <w:pPr>
              <w:ind w:firstLine="480" w:firstLineChars="200"/>
              <w:rPr>
                <w:rFonts w:hint="eastAsia" w:eastAsia="宋体" w:cs="Times New Roman"/>
                <w:sz w:val="24"/>
                <w:lang w:val="en-US" w:eastAsia="zh-CN"/>
              </w:rPr>
            </w:pPr>
            <w:r>
              <w:rPr>
                <w:rFonts w:hint="eastAsia" w:eastAsia="宋体" w:cs="Times New Roman"/>
                <w:sz w:val="24"/>
                <w:lang w:val="en-US" w:eastAsia="zh-CN"/>
              </w:rPr>
              <w:t>下半年，公司将持续推进“提质增效重回报”行动相关工作，继续努力通过稳健的经营、规范的公司治理、积极的投资者沟通，切实履行上市公司的责任和义务，积极传递公司价值，促进内在价值和市场价值的“双提升”，为广大投资者创造持续、稳定的回报。</w:t>
            </w:r>
          </w:p>
          <w:p>
            <w:pPr>
              <w:ind w:firstLine="480" w:firstLineChars="200"/>
              <w:rPr>
                <w:rFonts w:hint="eastAsia" w:eastAsia="宋体" w:cs="Times New Roman"/>
                <w:sz w:val="24"/>
                <w:lang w:val="en-US" w:eastAsia="zh-CN"/>
              </w:rPr>
            </w:pPr>
            <w:r>
              <w:rPr>
                <w:rFonts w:hint="eastAsia" w:eastAsia="宋体" w:cs="Times New Roman"/>
                <w:sz w:val="24"/>
                <w:lang w:val="en-US" w:eastAsia="zh-CN"/>
              </w:rPr>
              <w:t>谢谢。</w:t>
            </w:r>
          </w:p>
          <w:p>
            <w:pPr>
              <w:ind w:firstLine="480" w:firstLineChars="200"/>
              <w:rPr>
                <w:rFonts w:hint="eastAsia" w:eastAsia="宋体" w:cs="Times New Roman"/>
                <w:sz w:val="24"/>
                <w:lang w:val="en-US" w:eastAsia="zh-CN"/>
              </w:rPr>
            </w:pPr>
          </w:p>
          <w:p>
            <w:pPr>
              <w:rPr>
                <w:rFonts w:hint="eastAsia" w:eastAsia="宋体" w:cs="Times New Roman"/>
                <w:sz w:val="24"/>
                <w:lang w:val="en-US" w:eastAsia="zh-CN"/>
              </w:rPr>
            </w:pPr>
            <w:r>
              <w:rPr>
                <w:rFonts w:hint="eastAsia" w:eastAsia="宋体" w:cs="Times New Roman"/>
                <w:sz w:val="24"/>
                <w:lang w:val="en-US" w:eastAsia="zh-CN"/>
              </w:rPr>
              <w:t>Q</w:t>
            </w:r>
            <w:r>
              <w:rPr>
                <w:rFonts w:hint="eastAsia" w:cs="Times New Roman"/>
                <w:sz w:val="24"/>
                <w:lang w:val="en-US" w:eastAsia="zh-CN"/>
              </w:rPr>
              <w:t>10</w:t>
            </w:r>
            <w:r>
              <w:rPr>
                <w:rFonts w:hint="eastAsia" w:eastAsia="宋体" w:cs="Times New Roman"/>
                <w:sz w:val="24"/>
                <w:lang w:val="en-US" w:eastAsia="zh-CN"/>
              </w:rPr>
              <w:t>：注到公司出售了冷能业务及资产，请介绍一下具体情况。</w:t>
            </w:r>
          </w:p>
          <w:p>
            <w:pPr>
              <w:rPr>
                <w:rFonts w:hint="default" w:eastAsia="宋体" w:cs="Times New Roman"/>
                <w:sz w:val="24"/>
                <w:lang w:val="en-US" w:eastAsia="zh-CN"/>
              </w:rPr>
            </w:pPr>
            <w:r>
              <w:rPr>
                <w:rFonts w:hint="eastAsia"/>
                <w:sz w:val="24"/>
                <w:lang w:val="en-US" w:eastAsia="zh-CN"/>
              </w:rPr>
              <w:t>A10</w:t>
            </w:r>
            <w:r>
              <w:rPr>
                <w:rFonts w:hint="eastAsia" w:eastAsia="宋体" w:cs="Times New Roman"/>
                <w:sz w:val="24"/>
                <w:lang w:val="en-US" w:eastAsia="zh-CN"/>
              </w:rPr>
              <w:t>：</w:t>
            </w:r>
            <w:r>
              <w:rPr>
                <w:rFonts w:hint="default" w:eastAsia="宋体" w:cs="Times New Roman"/>
                <w:sz w:val="24"/>
                <w:lang w:val="en-US" w:eastAsia="zh-CN"/>
              </w:rPr>
              <w:t>2025年8月18日，公司第五届董事会第二十次会议审议通过了《关于对外出售冷能业务及资产暨关联交易的议案》，公司拟将冷能业务及资产以非公开协议转让方式，转让给关联方中海油海卓（天津）工程科技有限公司，转让价格合计为3.71亿元。</w:t>
            </w:r>
          </w:p>
          <w:p>
            <w:pPr>
              <w:ind w:firstLine="480" w:firstLineChars="200"/>
              <w:rPr>
                <w:rFonts w:hint="default" w:eastAsia="宋体" w:cs="Times New Roman"/>
                <w:sz w:val="24"/>
                <w:lang w:val="en-US" w:eastAsia="zh-CN"/>
              </w:rPr>
            </w:pPr>
            <w:r>
              <w:rPr>
                <w:rFonts w:hint="default" w:eastAsia="宋体" w:cs="Times New Roman"/>
                <w:sz w:val="24"/>
                <w:lang w:val="en-US" w:eastAsia="zh-CN"/>
              </w:rPr>
              <w:t>历经多年的探索，公司初步构建起具有中国沿海特色的冷能利用专业化产业链。但随着近年工业气体价格呈现周期性大幅波动，直接冲击了该业务的盈利空间。基于高质量发展的商业考量，为优化资源配置，促进产业转型升级，公司决定出售冷能业务及资产。该交易有利于回笼前期投资用于核心业务发展，符合公司和股东的长远利益。</w:t>
            </w:r>
          </w:p>
          <w:p>
            <w:pPr>
              <w:ind w:firstLine="480" w:firstLineChars="200"/>
              <w:rPr>
                <w:rFonts w:hint="default" w:eastAsia="宋体" w:cs="Times New Roman"/>
                <w:sz w:val="24"/>
                <w:lang w:val="en-US" w:eastAsia="zh-CN"/>
              </w:rPr>
            </w:pPr>
            <w:r>
              <w:rPr>
                <w:rFonts w:hint="eastAsia" w:cs="Times New Roman"/>
                <w:sz w:val="24"/>
                <w:lang w:val="en-US" w:eastAsia="zh-CN"/>
              </w:rPr>
              <w:t>谢谢。</w:t>
            </w:r>
          </w:p>
          <w:p>
            <w:pPr>
              <w:ind w:firstLine="480" w:firstLineChars="200"/>
              <w:rPr>
                <w:rFonts w:hint="default"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附件清单（如有）</w:t>
            </w:r>
          </w:p>
        </w:tc>
        <w:tc>
          <w:tcPr>
            <w:tcW w:w="435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Arial" w:hAnsi="Arial"/>
                <w:bCs/>
                <w:sz w:val="24"/>
              </w:rPr>
            </w:pPr>
          </w:p>
          <w:p>
            <w:pPr>
              <w:spacing w:line="360" w:lineRule="auto"/>
              <w:rPr>
                <w:rFonts w:ascii="Arial" w:hAnsi="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备注</w:t>
            </w:r>
          </w:p>
        </w:tc>
        <w:tc>
          <w:tcPr>
            <w:tcW w:w="435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Arial" w:hAnsi="Arial"/>
                <w:bCs/>
                <w:sz w:val="24"/>
              </w:rPr>
            </w:pPr>
          </w:p>
          <w:p>
            <w:pPr>
              <w:spacing w:line="360" w:lineRule="auto"/>
              <w:rPr>
                <w:rFonts w:ascii="Arial" w:hAnsi="Arial"/>
                <w:bCs/>
                <w:sz w:val="24"/>
              </w:rPr>
            </w:pPr>
          </w:p>
        </w:tc>
      </w:tr>
    </w:tbl>
    <w:p>
      <w:pPr>
        <w:spacing w:line="360" w:lineRule="auto"/>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AF"/>
    <w:rsid w:val="000064E8"/>
    <w:rsid w:val="00014730"/>
    <w:rsid w:val="0001671F"/>
    <w:rsid w:val="000249CF"/>
    <w:rsid w:val="000322B8"/>
    <w:rsid w:val="000514E2"/>
    <w:rsid w:val="00064957"/>
    <w:rsid w:val="0007152A"/>
    <w:rsid w:val="00092E77"/>
    <w:rsid w:val="000959C1"/>
    <w:rsid w:val="00095F49"/>
    <w:rsid w:val="000B2D26"/>
    <w:rsid w:val="000B5A0A"/>
    <w:rsid w:val="000C39CE"/>
    <w:rsid w:val="000C4415"/>
    <w:rsid w:val="000E3B6B"/>
    <w:rsid w:val="000F0D13"/>
    <w:rsid w:val="000F3391"/>
    <w:rsid w:val="00102C7B"/>
    <w:rsid w:val="00120BE7"/>
    <w:rsid w:val="00131336"/>
    <w:rsid w:val="00133145"/>
    <w:rsid w:val="00133934"/>
    <w:rsid w:val="00145654"/>
    <w:rsid w:val="00145874"/>
    <w:rsid w:val="0015176B"/>
    <w:rsid w:val="001640C6"/>
    <w:rsid w:val="00166E1D"/>
    <w:rsid w:val="00172322"/>
    <w:rsid w:val="00196E68"/>
    <w:rsid w:val="001B5980"/>
    <w:rsid w:val="001C3EE5"/>
    <w:rsid w:val="001C5E58"/>
    <w:rsid w:val="001C7FAB"/>
    <w:rsid w:val="001E701A"/>
    <w:rsid w:val="001F2BC6"/>
    <w:rsid w:val="001F53CD"/>
    <w:rsid w:val="00201181"/>
    <w:rsid w:val="00205C9B"/>
    <w:rsid w:val="002138F3"/>
    <w:rsid w:val="00217AD1"/>
    <w:rsid w:val="002234F1"/>
    <w:rsid w:val="00225F72"/>
    <w:rsid w:val="00231B7C"/>
    <w:rsid w:val="00232F5E"/>
    <w:rsid w:val="00251396"/>
    <w:rsid w:val="00262377"/>
    <w:rsid w:val="002917B0"/>
    <w:rsid w:val="00295886"/>
    <w:rsid w:val="0029714B"/>
    <w:rsid w:val="002A2354"/>
    <w:rsid w:val="002A7C64"/>
    <w:rsid w:val="002B3178"/>
    <w:rsid w:val="002B4C51"/>
    <w:rsid w:val="002C37B7"/>
    <w:rsid w:val="002D2D15"/>
    <w:rsid w:val="002D7106"/>
    <w:rsid w:val="002D71D3"/>
    <w:rsid w:val="002F08B5"/>
    <w:rsid w:val="002F105B"/>
    <w:rsid w:val="002F5019"/>
    <w:rsid w:val="002F57FB"/>
    <w:rsid w:val="003045BD"/>
    <w:rsid w:val="00337B48"/>
    <w:rsid w:val="00375169"/>
    <w:rsid w:val="00381350"/>
    <w:rsid w:val="0038279B"/>
    <w:rsid w:val="0038654F"/>
    <w:rsid w:val="00392023"/>
    <w:rsid w:val="00392EE5"/>
    <w:rsid w:val="003932E8"/>
    <w:rsid w:val="00396048"/>
    <w:rsid w:val="003A38F1"/>
    <w:rsid w:val="003B0A80"/>
    <w:rsid w:val="003C2D07"/>
    <w:rsid w:val="003C3CB2"/>
    <w:rsid w:val="003D4279"/>
    <w:rsid w:val="003D4E0A"/>
    <w:rsid w:val="003E0FCB"/>
    <w:rsid w:val="003E50AE"/>
    <w:rsid w:val="003F0C6C"/>
    <w:rsid w:val="0040026C"/>
    <w:rsid w:val="004115C5"/>
    <w:rsid w:val="00420C25"/>
    <w:rsid w:val="00425AD3"/>
    <w:rsid w:val="004261A5"/>
    <w:rsid w:val="00456B57"/>
    <w:rsid w:val="00461F34"/>
    <w:rsid w:val="00483104"/>
    <w:rsid w:val="0049413B"/>
    <w:rsid w:val="004A2313"/>
    <w:rsid w:val="004A48AF"/>
    <w:rsid w:val="004A5953"/>
    <w:rsid w:val="004A5CD1"/>
    <w:rsid w:val="004B64F0"/>
    <w:rsid w:val="004B6CCB"/>
    <w:rsid w:val="004C68C2"/>
    <w:rsid w:val="004E1560"/>
    <w:rsid w:val="004F6986"/>
    <w:rsid w:val="005028F2"/>
    <w:rsid w:val="00502AC1"/>
    <w:rsid w:val="00505C7F"/>
    <w:rsid w:val="00513939"/>
    <w:rsid w:val="00516029"/>
    <w:rsid w:val="0051704B"/>
    <w:rsid w:val="00520481"/>
    <w:rsid w:val="005306D2"/>
    <w:rsid w:val="005329E3"/>
    <w:rsid w:val="0053346B"/>
    <w:rsid w:val="00540D89"/>
    <w:rsid w:val="005415B8"/>
    <w:rsid w:val="005569B7"/>
    <w:rsid w:val="00576C16"/>
    <w:rsid w:val="005A675E"/>
    <w:rsid w:val="005B2535"/>
    <w:rsid w:val="005B2C08"/>
    <w:rsid w:val="005C0791"/>
    <w:rsid w:val="005F7998"/>
    <w:rsid w:val="006061B0"/>
    <w:rsid w:val="00613CB3"/>
    <w:rsid w:val="006339AA"/>
    <w:rsid w:val="00640637"/>
    <w:rsid w:val="006408CD"/>
    <w:rsid w:val="00642E5E"/>
    <w:rsid w:val="00647EF4"/>
    <w:rsid w:val="00667668"/>
    <w:rsid w:val="00670515"/>
    <w:rsid w:val="006A672C"/>
    <w:rsid w:val="006B23BF"/>
    <w:rsid w:val="006B31D9"/>
    <w:rsid w:val="006C55E7"/>
    <w:rsid w:val="006D0D9C"/>
    <w:rsid w:val="006D497F"/>
    <w:rsid w:val="006E211A"/>
    <w:rsid w:val="006E3954"/>
    <w:rsid w:val="00700F38"/>
    <w:rsid w:val="007207CB"/>
    <w:rsid w:val="0074245B"/>
    <w:rsid w:val="007500D3"/>
    <w:rsid w:val="00767BBE"/>
    <w:rsid w:val="007740D1"/>
    <w:rsid w:val="00781232"/>
    <w:rsid w:val="0078494D"/>
    <w:rsid w:val="00791A85"/>
    <w:rsid w:val="007A4BB1"/>
    <w:rsid w:val="007B4526"/>
    <w:rsid w:val="007B4B1C"/>
    <w:rsid w:val="007D2AA9"/>
    <w:rsid w:val="007D2DAD"/>
    <w:rsid w:val="007D6C5F"/>
    <w:rsid w:val="007F3F8D"/>
    <w:rsid w:val="007F52F9"/>
    <w:rsid w:val="00814B49"/>
    <w:rsid w:val="00820A07"/>
    <w:rsid w:val="0084183B"/>
    <w:rsid w:val="008418D3"/>
    <w:rsid w:val="00841B87"/>
    <w:rsid w:val="00842582"/>
    <w:rsid w:val="00852F42"/>
    <w:rsid w:val="00857736"/>
    <w:rsid w:val="00870841"/>
    <w:rsid w:val="00870E6D"/>
    <w:rsid w:val="00894C66"/>
    <w:rsid w:val="008A52A1"/>
    <w:rsid w:val="008D6D3B"/>
    <w:rsid w:val="008E16D4"/>
    <w:rsid w:val="008F33BB"/>
    <w:rsid w:val="0090720B"/>
    <w:rsid w:val="00915626"/>
    <w:rsid w:val="0092052F"/>
    <w:rsid w:val="00920A70"/>
    <w:rsid w:val="00931DF2"/>
    <w:rsid w:val="0094094D"/>
    <w:rsid w:val="00951C25"/>
    <w:rsid w:val="00952E2F"/>
    <w:rsid w:val="00953621"/>
    <w:rsid w:val="00955BD4"/>
    <w:rsid w:val="009734F6"/>
    <w:rsid w:val="0097646C"/>
    <w:rsid w:val="00982303"/>
    <w:rsid w:val="009A0AA8"/>
    <w:rsid w:val="009A0FDB"/>
    <w:rsid w:val="009A667A"/>
    <w:rsid w:val="009A6897"/>
    <w:rsid w:val="009A7E7D"/>
    <w:rsid w:val="009B0E27"/>
    <w:rsid w:val="009D0879"/>
    <w:rsid w:val="009D50D4"/>
    <w:rsid w:val="009F1F15"/>
    <w:rsid w:val="009F2007"/>
    <w:rsid w:val="009F4A15"/>
    <w:rsid w:val="00A016D7"/>
    <w:rsid w:val="00A06781"/>
    <w:rsid w:val="00A2008F"/>
    <w:rsid w:val="00A2669E"/>
    <w:rsid w:val="00A27FDB"/>
    <w:rsid w:val="00A32E27"/>
    <w:rsid w:val="00A46331"/>
    <w:rsid w:val="00A54A1D"/>
    <w:rsid w:val="00A56E13"/>
    <w:rsid w:val="00A64E11"/>
    <w:rsid w:val="00A7677A"/>
    <w:rsid w:val="00A80C96"/>
    <w:rsid w:val="00A9782D"/>
    <w:rsid w:val="00AA30E5"/>
    <w:rsid w:val="00AA751C"/>
    <w:rsid w:val="00AB1D47"/>
    <w:rsid w:val="00AE00F9"/>
    <w:rsid w:val="00AE6AAD"/>
    <w:rsid w:val="00AF0540"/>
    <w:rsid w:val="00B146C4"/>
    <w:rsid w:val="00B266A9"/>
    <w:rsid w:val="00B32FB4"/>
    <w:rsid w:val="00B34808"/>
    <w:rsid w:val="00B57DE2"/>
    <w:rsid w:val="00B61024"/>
    <w:rsid w:val="00B62DBF"/>
    <w:rsid w:val="00B63DDA"/>
    <w:rsid w:val="00B64A83"/>
    <w:rsid w:val="00B94426"/>
    <w:rsid w:val="00BA29F6"/>
    <w:rsid w:val="00BB6048"/>
    <w:rsid w:val="00BC06D0"/>
    <w:rsid w:val="00BD605B"/>
    <w:rsid w:val="00C2418C"/>
    <w:rsid w:val="00C31F14"/>
    <w:rsid w:val="00C42181"/>
    <w:rsid w:val="00C622EA"/>
    <w:rsid w:val="00C7176C"/>
    <w:rsid w:val="00C818BD"/>
    <w:rsid w:val="00C81F5B"/>
    <w:rsid w:val="00CA2C89"/>
    <w:rsid w:val="00CA3859"/>
    <w:rsid w:val="00CD0EC1"/>
    <w:rsid w:val="00CE53D2"/>
    <w:rsid w:val="00D02FF1"/>
    <w:rsid w:val="00D07FB4"/>
    <w:rsid w:val="00D12A2E"/>
    <w:rsid w:val="00D140C0"/>
    <w:rsid w:val="00D459BA"/>
    <w:rsid w:val="00D6600B"/>
    <w:rsid w:val="00D67300"/>
    <w:rsid w:val="00D67AA4"/>
    <w:rsid w:val="00D72A6F"/>
    <w:rsid w:val="00D75EFF"/>
    <w:rsid w:val="00D762C1"/>
    <w:rsid w:val="00D87F10"/>
    <w:rsid w:val="00D915CA"/>
    <w:rsid w:val="00D91F02"/>
    <w:rsid w:val="00D9302B"/>
    <w:rsid w:val="00DA2171"/>
    <w:rsid w:val="00DA3392"/>
    <w:rsid w:val="00DA34B0"/>
    <w:rsid w:val="00DA6434"/>
    <w:rsid w:val="00DB0F03"/>
    <w:rsid w:val="00DB3D89"/>
    <w:rsid w:val="00DC1EC5"/>
    <w:rsid w:val="00DC26ED"/>
    <w:rsid w:val="00DD156D"/>
    <w:rsid w:val="00DE5486"/>
    <w:rsid w:val="00DF4270"/>
    <w:rsid w:val="00E1402E"/>
    <w:rsid w:val="00E2445B"/>
    <w:rsid w:val="00E26F36"/>
    <w:rsid w:val="00E27AE2"/>
    <w:rsid w:val="00E54867"/>
    <w:rsid w:val="00E65FD5"/>
    <w:rsid w:val="00E878A5"/>
    <w:rsid w:val="00E947C4"/>
    <w:rsid w:val="00EB501A"/>
    <w:rsid w:val="00EC087B"/>
    <w:rsid w:val="00EC140C"/>
    <w:rsid w:val="00EC4B5E"/>
    <w:rsid w:val="00ED2FEA"/>
    <w:rsid w:val="00ED5B82"/>
    <w:rsid w:val="00EF595C"/>
    <w:rsid w:val="00EF63B5"/>
    <w:rsid w:val="00F065EA"/>
    <w:rsid w:val="00F12982"/>
    <w:rsid w:val="00F46311"/>
    <w:rsid w:val="00F54829"/>
    <w:rsid w:val="00F55C2F"/>
    <w:rsid w:val="00F5728D"/>
    <w:rsid w:val="00F76932"/>
    <w:rsid w:val="00F804AA"/>
    <w:rsid w:val="00F8256E"/>
    <w:rsid w:val="00F828C0"/>
    <w:rsid w:val="00F84A96"/>
    <w:rsid w:val="00F91EC5"/>
    <w:rsid w:val="00F930C8"/>
    <w:rsid w:val="00F9390C"/>
    <w:rsid w:val="00F959DE"/>
    <w:rsid w:val="00FB2757"/>
    <w:rsid w:val="00FB2E13"/>
    <w:rsid w:val="00FB36AF"/>
    <w:rsid w:val="00FD7CDB"/>
    <w:rsid w:val="00FE4171"/>
    <w:rsid w:val="0130215C"/>
    <w:rsid w:val="07F118A7"/>
    <w:rsid w:val="0A01309D"/>
    <w:rsid w:val="108E0C2E"/>
    <w:rsid w:val="11E00E28"/>
    <w:rsid w:val="14B8165B"/>
    <w:rsid w:val="1EB1443F"/>
    <w:rsid w:val="22903F40"/>
    <w:rsid w:val="2428786F"/>
    <w:rsid w:val="250E6BFE"/>
    <w:rsid w:val="2FA5374C"/>
    <w:rsid w:val="2FC015D3"/>
    <w:rsid w:val="300F2202"/>
    <w:rsid w:val="30E8054D"/>
    <w:rsid w:val="33C01926"/>
    <w:rsid w:val="34584414"/>
    <w:rsid w:val="370D1705"/>
    <w:rsid w:val="37697DF6"/>
    <w:rsid w:val="3C9E1F83"/>
    <w:rsid w:val="40190FE2"/>
    <w:rsid w:val="40516596"/>
    <w:rsid w:val="409C0254"/>
    <w:rsid w:val="424413B5"/>
    <w:rsid w:val="430420E0"/>
    <w:rsid w:val="50FA1993"/>
    <w:rsid w:val="56791FB9"/>
    <w:rsid w:val="579266F5"/>
    <w:rsid w:val="582974FC"/>
    <w:rsid w:val="5B6B7E52"/>
    <w:rsid w:val="5C9B4908"/>
    <w:rsid w:val="5E0D31DF"/>
    <w:rsid w:val="5E831ACF"/>
    <w:rsid w:val="5F9711D6"/>
    <w:rsid w:val="5FCE799C"/>
    <w:rsid w:val="60A9304C"/>
    <w:rsid w:val="60D72176"/>
    <w:rsid w:val="61727C75"/>
    <w:rsid w:val="6C340688"/>
    <w:rsid w:val="72724C57"/>
    <w:rsid w:val="73194621"/>
    <w:rsid w:val="73D357FF"/>
    <w:rsid w:val="73E21972"/>
    <w:rsid w:val="76901005"/>
    <w:rsid w:val="793A669D"/>
    <w:rsid w:val="799646AA"/>
    <w:rsid w:val="7AF74291"/>
    <w:rsid w:val="7DB33A51"/>
    <w:rsid w:val="7E9F0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ody Text Indent 2"/>
    <w:basedOn w:val="1"/>
    <w:qFormat/>
    <w:uiPriority w:val="0"/>
    <w:pPr>
      <w:ind w:left="420"/>
    </w:pPr>
    <w:rPr>
      <w:rFonts w:asciiTheme="minorHAnsi" w:hAnsiTheme="minorHAnsi" w:eastAsiaTheme="minorEastAsia" w:cstheme="minorBidi"/>
      <w:b/>
      <w:sz w:val="24"/>
    </w:rPr>
  </w:style>
  <w:style w:type="paragraph" w:styleId="5">
    <w:name w:val="Balloon Text"/>
    <w:basedOn w:val="1"/>
    <w:link w:val="12"/>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批注框文本 字符"/>
    <w:basedOn w:val="10"/>
    <w:link w:val="5"/>
    <w:semiHidden/>
    <w:qFormat/>
    <w:uiPriority w:val="99"/>
    <w:rPr>
      <w:rFonts w:ascii="Calibri" w:hAnsi="Calibri" w:eastAsia="宋体" w:cs="Times New Roman"/>
      <w:sz w:val="18"/>
      <w:szCs w:val="18"/>
    </w:rPr>
  </w:style>
  <w:style w:type="character" w:customStyle="1" w:styleId="13">
    <w:name w:val="页眉 字符"/>
    <w:basedOn w:val="10"/>
    <w:link w:val="7"/>
    <w:qFormat/>
    <w:uiPriority w:val="99"/>
    <w:rPr>
      <w:rFonts w:ascii="Calibri" w:hAnsi="Calibri" w:eastAsia="宋体" w:cs="Times New Roman"/>
      <w:sz w:val="18"/>
      <w:szCs w:val="18"/>
    </w:rPr>
  </w:style>
  <w:style w:type="character" w:customStyle="1" w:styleId="14">
    <w:name w:val="页脚 字符"/>
    <w:basedOn w:val="10"/>
    <w:link w:val="6"/>
    <w:qFormat/>
    <w:uiPriority w:val="99"/>
    <w:rPr>
      <w:rFonts w:ascii="Calibri" w:hAnsi="Calibri" w:eastAsia="宋体" w:cs="Times New Roman"/>
      <w:sz w:val="18"/>
      <w:szCs w:val="18"/>
    </w:rPr>
  </w:style>
  <w:style w:type="paragraph" w:styleId="1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6">
    <w:name w:val="批注文字 字符"/>
    <w:basedOn w:val="10"/>
    <w:link w:val="3"/>
    <w:semiHidden/>
    <w:qFormat/>
    <w:uiPriority w:val="99"/>
    <w:rPr>
      <w:rFonts w:ascii="Calibri" w:hAnsi="Calibri" w:eastAsia="宋体" w:cs="Times New Roman"/>
      <w:szCs w:val="24"/>
    </w:rPr>
  </w:style>
  <w:style w:type="character" w:customStyle="1" w:styleId="17">
    <w:name w:val="批注主题 字符"/>
    <w:basedOn w:val="16"/>
    <w:link w:val="8"/>
    <w:semiHidden/>
    <w:qFormat/>
    <w:uiPriority w:val="99"/>
    <w:rPr>
      <w:rFonts w:ascii="Calibri" w:hAnsi="Calibri" w:eastAsia="宋体" w:cs="Times New Roman"/>
      <w:b/>
      <w:bCs/>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393</Words>
  <Characters>2243</Characters>
  <Lines>18</Lines>
  <Paragraphs>5</Paragraphs>
  <TotalTime>1</TotalTime>
  <ScaleCrop>false</ScaleCrop>
  <LinksUpToDate>false</LinksUpToDate>
  <CharactersWithSpaces>2631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2023-06-07T07:24:00Z</dcterms:created>
  <dc:creator>Xu Zhengrong</dc:creator>
  <cp:lastModifiedBy>高 静</cp:lastModifiedBy>
  <cp:lastPrinted>2021-04-22T01:41:00Z</cp:lastPrinted>
  <dcterms:modified xsi:type="dcterms:W3CDTF">2025-09-01T06:13:27Z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6F98BE60B58D4CB382F76FE951EF8AC1</vt:lpwstr>
  </property>
</Properties>
</file>