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DF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601107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四川成渝</w:t>
      </w:r>
    </w:p>
    <w:p w14:paraId="7F637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 xml:space="preserve">债券代码：241012.SH                                     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债券简称</w:t>
      </w: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>：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24成渝01</w:t>
      </w:r>
    </w:p>
    <w:p w14:paraId="2BC5C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 xml:space="preserve">债券代码：102485587 </w:t>
      </w: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 xml:space="preserve">                                    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债券简称：24成渝高速MTN001</w:t>
      </w:r>
    </w:p>
    <w:p w14:paraId="4B320312">
      <w:pPr>
        <w:spacing w:line="360" w:lineRule="auto"/>
        <w:jc w:val="center"/>
        <w:rPr>
          <w:rFonts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四川成渝高速公路股份有限公司</w:t>
      </w:r>
    </w:p>
    <w:p w14:paraId="00B8B34B">
      <w:pPr>
        <w:spacing w:line="360" w:lineRule="auto"/>
        <w:jc w:val="center"/>
        <w:rPr>
          <w:rFonts w:ascii="宋体" w:hAnsi="宋体" w:eastAsia="宋体" w:cs="宋体"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52"/>
        <w:gridCol w:w="5973"/>
      </w:tblGrid>
      <w:tr w14:paraId="61E8B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52" w:type="dxa"/>
          </w:tcPr>
          <w:p w14:paraId="5AEEF4F1">
            <w:pPr>
              <w:pStyle w:val="13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64D5F89">
            <w:pPr>
              <w:pStyle w:val="13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73" w:type="dxa"/>
          </w:tcPr>
          <w:p w14:paraId="45500781">
            <w:pPr>
              <w:pStyle w:val="13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D624373">
            <w:pPr>
              <w:pStyle w:val="13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0416AB9B">
            <w:pPr>
              <w:pStyle w:val="13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AB93243">
            <w:pPr>
              <w:pStyle w:val="13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75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07F39FE3">
            <w:pPr>
              <w:pStyle w:val="13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81AC6C7">
            <w:pPr>
              <w:pStyle w:val="13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64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5AF6EE8D">
            <w:pPr>
              <w:pStyle w:val="13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5CC502E">
            <w:pPr>
              <w:pStyle w:val="13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59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18F88EAA">
            <w:pPr>
              <w:pStyle w:val="13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C8CAAFA">
            <w:pPr>
              <w:pStyle w:val="13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）</w:t>
            </w:r>
          </w:p>
        </w:tc>
      </w:tr>
      <w:tr w14:paraId="2BCC2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52" w:type="dxa"/>
            <w:vAlign w:val="center"/>
          </w:tcPr>
          <w:p w14:paraId="2FA4DC2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107" w:right="96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  <w:highlight w:val="none"/>
              </w:rPr>
              <w:t>位名称及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人员姓名</w:t>
            </w:r>
          </w:p>
        </w:tc>
        <w:tc>
          <w:tcPr>
            <w:tcW w:w="5973" w:type="dxa"/>
            <w:vAlign w:val="center"/>
          </w:tcPr>
          <w:p w14:paraId="03D908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东吴人寿保险股份有限公司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中国人民养老保险有限责任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公司、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深圳市裕晋投资有限公司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黄河财产保险股份有限公司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方正证券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华创证券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易方达基金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上海歌汝私募基金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天风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证券、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国海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证券、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国盛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证券、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浙商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证券、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华源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证券、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西部证券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华福证券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中信建投资管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、上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海煜德投资管理中心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东方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证券、上海开思私募基金管理有限公司、申银万国证券、上海仙人掌私募基金管理合伙企业、汇丰晋信基金管理有限公司</w:t>
            </w:r>
          </w:p>
        </w:tc>
      </w:tr>
      <w:tr w14:paraId="2C4A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552" w:type="dxa"/>
            <w:vAlign w:val="center"/>
          </w:tcPr>
          <w:p w14:paraId="1A320BDE">
            <w:pPr>
              <w:pStyle w:val="13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73" w:type="dxa"/>
            <w:vAlign w:val="center"/>
          </w:tcPr>
          <w:p w14:paraId="28F3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 w:line="360" w:lineRule="auto"/>
              <w:textAlignment w:val="auto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9:30-10:30</w:t>
            </w:r>
          </w:p>
        </w:tc>
      </w:tr>
      <w:tr w14:paraId="31864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552" w:type="dxa"/>
            <w:vAlign w:val="center"/>
          </w:tcPr>
          <w:p w14:paraId="2798FFE5">
            <w:pPr>
              <w:pStyle w:val="13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73" w:type="dxa"/>
            <w:vAlign w:val="center"/>
          </w:tcPr>
          <w:p w14:paraId="5020EE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公司会议室、线上</w:t>
            </w:r>
          </w:p>
        </w:tc>
      </w:tr>
      <w:tr w14:paraId="59ABF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2552" w:type="dxa"/>
            <w:vAlign w:val="center"/>
          </w:tcPr>
          <w:p w14:paraId="697A7005">
            <w:pPr>
              <w:pStyle w:val="13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73" w:type="dxa"/>
            <w:vAlign w:val="center"/>
          </w:tcPr>
          <w:p w14:paraId="3F469A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董事会秘书 姚建成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证券事务代表 邱竹</w:t>
            </w:r>
          </w:p>
          <w:p w14:paraId="34CBD7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董事会办公室职员 陈思睿、樊春燕、杨茜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</w:tc>
      </w:tr>
      <w:tr w14:paraId="70CD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552" w:type="dxa"/>
          </w:tcPr>
          <w:p w14:paraId="576B59F8">
            <w:pPr>
              <w:pStyle w:val="13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025C3B8">
            <w:pPr>
              <w:pStyle w:val="13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6E73793">
            <w:pPr>
              <w:pStyle w:val="13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60F4007">
            <w:pPr>
              <w:pStyle w:val="13"/>
              <w:spacing w:before="1" w:line="499" w:lineRule="auto"/>
              <w:ind w:left="107" w:right="96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</w:t>
            </w:r>
          </w:p>
          <w:p w14:paraId="648439DA">
            <w:pPr>
              <w:pStyle w:val="13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主要内容介绍</w:t>
            </w:r>
          </w:p>
        </w:tc>
        <w:tc>
          <w:tcPr>
            <w:tcW w:w="5973" w:type="dxa"/>
          </w:tcPr>
          <w:p w14:paraId="48AFB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公司中期营业收入下降的主要原因是什么？</w:t>
            </w:r>
          </w:p>
          <w:p w14:paraId="3F9E1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40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报告期内营业收入有所下降，主要源于建造服务收入下降：天邛高速项目已于去年9月顺利完工，同时成乐扩容项目也已进入建设后期，工程收入少于去年同期。此外，受市场环境影响，贸易业务收入规模也有所调整。需要特别说明的是，上述两类业务的收入变化同步对应成本变化，因此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并未对公司整体利润构成实质影响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，公司的核心盈利能力持续稳健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。</w:t>
            </w:r>
          </w:p>
          <w:p w14:paraId="1FBBB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中期利润增长显著的主要原因是什么？</w:t>
            </w:r>
          </w:p>
          <w:p w14:paraId="19C6F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本期利润的增长主要得益成本管控效果突出：一是公司债务结构优化成效显著，通过多种方式有效压降有息负债规模及利率，报告期内财务费用同比大幅下降31.13%；二是公司坚定不移地推进内部整合与精益管理，完成了运营路公司的“7合3”与市场化企业的“7合1”重组，有效降低了人工等运营成本，管理效率显著提升，共同推动了利润增长。</w:t>
            </w:r>
          </w:p>
          <w:p w14:paraId="1E5E8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0" w:line="360" w:lineRule="auto"/>
              <w:ind w:left="0" w:leftChars="0"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3、公司在财务管控方面具有哪些措施？是否具有可持续性？</w:t>
            </w:r>
          </w:p>
          <w:p w14:paraId="6D3C8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在财务成本管控上，一方面，公司积极响应国家货币政策，充分利用LPR下调窗口优化存量债务利率；另一方面，公司灵活运用永续债等权益融资工具、积极协商银团贷款提前还款等方式，多途径降低综合融资成本。这些举措不仅当期效果显著，公司也已形成长效机制，对未来持续控制和降低财务成本具有积极、可持续的影响。</w:t>
            </w:r>
          </w:p>
          <w:p w14:paraId="2B3B7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40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4、成雅高速扩容项目的最新进展如何？是否会对原成雅高速通行产生影响？</w:t>
            </w:r>
          </w:p>
          <w:p w14:paraId="1E15F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答：G5京昆高速公路成都至雅安段扩容工程项目（以下简称“本项目”）全长159.115公里，总投资约人民币285.48亿元，项目资本金为总投资的20.20%，约人民币57.67亿元，其中本公司出资约49.02亿元。</w:t>
            </w:r>
          </w:p>
          <w:p w14:paraId="32FB0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40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截至目前，项目公司“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四川成雅高速公路有限责任公司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已顺利完成工商注册登记手续，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并与招标人（雅安市人民政府、成都市人民政府、眉山市人民政府）完成了《特许经营协议》的签署。成雅扩容项目各项前期工作均在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有条不紊地推进中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，公司将科学制定施工方案，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全力保障现有成雅高速公路的通行能力，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尽最大努力减少对现行道路的干扰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更多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项目最新进展，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敬请投资者关注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公司公告。</w:t>
            </w:r>
          </w:p>
          <w:p w14:paraId="3EC37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5、公司在路产收购方面是否有下一步计划？</w:t>
            </w:r>
          </w:p>
          <w:p w14:paraId="2A235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 公司始终密切关注行业优质资源与发展机遇，未来将充分考虑整体战略规划及具体业绩态势和现金流情况，在保持资产负债率良性运行前提下，稳妥推进资产注入进程，持续提升公司综合竞争力和价值创造能力。</w:t>
            </w:r>
          </w:p>
          <w:p w14:paraId="65A60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6、公司三年分红规划明年到期，未来的分红计划是什么？</w:t>
            </w:r>
          </w:p>
          <w:p w14:paraId="42395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2025年公司将继续严格执行三年（2023-2025年）股东回报规划中的相关承诺。未来，公司将综合考虑行业监管导向与政策环境、公司自身发展战略需求和经营业绩、全体股东实现价值最大化的意愿，继续推行稳定、高比例的现金分红，积极回报投资者。</w:t>
            </w:r>
          </w:p>
        </w:tc>
      </w:tr>
      <w:tr w14:paraId="1252D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2552" w:type="dxa"/>
            <w:vAlign w:val="center"/>
          </w:tcPr>
          <w:p w14:paraId="43F27004">
            <w:pPr>
              <w:pStyle w:val="13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4CDDF8C9">
            <w:pPr>
              <w:pStyle w:val="13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73" w:type="dxa"/>
            <w:vAlign w:val="center"/>
          </w:tcPr>
          <w:p w14:paraId="0E6D58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2E425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2552" w:type="dxa"/>
            <w:vAlign w:val="center"/>
          </w:tcPr>
          <w:p w14:paraId="6C8111AD">
            <w:pPr>
              <w:pStyle w:val="13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73" w:type="dxa"/>
            <w:vAlign w:val="center"/>
          </w:tcPr>
          <w:p w14:paraId="0C903F6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 w:line="360" w:lineRule="auto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  <w:t>无</w:t>
            </w:r>
          </w:p>
        </w:tc>
      </w:tr>
      <w:tr w14:paraId="69BAA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4F9B4F57">
            <w:pPr>
              <w:pStyle w:val="13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73" w:type="dxa"/>
            <w:vAlign w:val="center"/>
          </w:tcPr>
          <w:p w14:paraId="751DF2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29</w:t>
            </w: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日</w:t>
            </w:r>
            <w:bookmarkStart w:id="0" w:name="_GoBack"/>
            <w:bookmarkEnd w:id="0"/>
          </w:p>
        </w:tc>
      </w:tr>
    </w:tbl>
    <w:p w14:paraId="677881ED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54FED"/>
    <w:multiLevelType w:val="singleLevel"/>
    <w:tmpl w:val="FD554F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MTVhZmU2M2YwMDA1MWY2MDcyN2YyOGEyOWVhYWQ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24165E"/>
    <w:rsid w:val="03B721E0"/>
    <w:rsid w:val="04B072D4"/>
    <w:rsid w:val="04F54AA7"/>
    <w:rsid w:val="05AB5771"/>
    <w:rsid w:val="05F575D4"/>
    <w:rsid w:val="06047A69"/>
    <w:rsid w:val="064249C6"/>
    <w:rsid w:val="08641132"/>
    <w:rsid w:val="08C473E5"/>
    <w:rsid w:val="09186774"/>
    <w:rsid w:val="0945438F"/>
    <w:rsid w:val="0A71587A"/>
    <w:rsid w:val="0B792C38"/>
    <w:rsid w:val="0C28640C"/>
    <w:rsid w:val="0CF60D11"/>
    <w:rsid w:val="0DB13287"/>
    <w:rsid w:val="0E0F0640"/>
    <w:rsid w:val="0E90599A"/>
    <w:rsid w:val="0ED720CD"/>
    <w:rsid w:val="11452D31"/>
    <w:rsid w:val="117C29F7"/>
    <w:rsid w:val="1197170D"/>
    <w:rsid w:val="12070CAE"/>
    <w:rsid w:val="12EF3EDA"/>
    <w:rsid w:val="145F688C"/>
    <w:rsid w:val="14D47131"/>
    <w:rsid w:val="15680001"/>
    <w:rsid w:val="15DD2205"/>
    <w:rsid w:val="16E82450"/>
    <w:rsid w:val="17072842"/>
    <w:rsid w:val="17A67110"/>
    <w:rsid w:val="18393FA5"/>
    <w:rsid w:val="18595469"/>
    <w:rsid w:val="1864189B"/>
    <w:rsid w:val="18D73A7D"/>
    <w:rsid w:val="19557370"/>
    <w:rsid w:val="1A2A56C6"/>
    <w:rsid w:val="1A8E38DF"/>
    <w:rsid w:val="1BD06B6A"/>
    <w:rsid w:val="1CDD1CB6"/>
    <w:rsid w:val="1EEC6E06"/>
    <w:rsid w:val="1F782BDE"/>
    <w:rsid w:val="1FDB36A6"/>
    <w:rsid w:val="204A6A53"/>
    <w:rsid w:val="211639B5"/>
    <w:rsid w:val="23317869"/>
    <w:rsid w:val="25650CAE"/>
    <w:rsid w:val="25675F6C"/>
    <w:rsid w:val="26406598"/>
    <w:rsid w:val="26B06083"/>
    <w:rsid w:val="27BC09B5"/>
    <w:rsid w:val="28080056"/>
    <w:rsid w:val="28734C1A"/>
    <w:rsid w:val="28C72DDD"/>
    <w:rsid w:val="297C7ACB"/>
    <w:rsid w:val="29EE0E64"/>
    <w:rsid w:val="2AD34978"/>
    <w:rsid w:val="2BAD4762"/>
    <w:rsid w:val="2BC4020A"/>
    <w:rsid w:val="2C19393B"/>
    <w:rsid w:val="2EF90F16"/>
    <w:rsid w:val="2F125C63"/>
    <w:rsid w:val="302C3D0A"/>
    <w:rsid w:val="3104598F"/>
    <w:rsid w:val="321067B8"/>
    <w:rsid w:val="32EB6D9B"/>
    <w:rsid w:val="335E29E7"/>
    <w:rsid w:val="33DE31BB"/>
    <w:rsid w:val="35742F68"/>
    <w:rsid w:val="36FF7AC9"/>
    <w:rsid w:val="389C49C0"/>
    <w:rsid w:val="39754676"/>
    <w:rsid w:val="39BC78F4"/>
    <w:rsid w:val="3A0D7192"/>
    <w:rsid w:val="3B35486F"/>
    <w:rsid w:val="3BB06205"/>
    <w:rsid w:val="3C4440AB"/>
    <w:rsid w:val="3C693069"/>
    <w:rsid w:val="3DB96A0B"/>
    <w:rsid w:val="3ED83F30"/>
    <w:rsid w:val="3EF1250A"/>
    <w:rsid w:val="40437927"/>
    <w:rsid w:val="40567DB0"/>
    <w:rsid w:val="40CF59B6"/>
    <w:rsid w:val="40FF5CD2"/>
    <w:rsid w:val="41670E6B"/>
    <w:rsid w:val="42DB40B0"/>
    <w:rsid w:val="43B71B0A"/>
    <w:rsid w:val="44FA0589"/>
    <w:rsid w:val="45A663E3"/>
    <w:rsid w:val="469F09AF"/>
    <w:rsid w:val="4A3A715A"/>
    <w:rsid w:val="4B453388"/>
    <w:rsid w:val="4B6C6473"/>
    <w:rsid w:val="4B756271"/>
    <w:rsid w:val="4B9C0F8A"/>
    <w:rsid w:val="4C28087F"/>
    <w:rsid w:val="4C8E1CA8"/>
    <w:rsid w:val="4D6D36A4"/>
    <w:rsid w:val="4D6E120A"/>
    <w:rsid w:val="4D737540"/>
    <w:rsid w:val="4E2F4540"/>
    <w:rsid w:val="4E70713A"/>
    <w:rsid w:val="4F82051D"/>
    <w:rsid w:val="50831419"/>
    <w:rsid w:val="510903EF"/>
    <w:rsid w:val="510A18E3"/>
    <w:rsid w:val="5304326B"/>
    <w:rsid w:val="53F137F4"/>
    <w:rsid w:val="540E7263"/>
    <w:rsid w:val="543A6906"/>
    <w:rsid w:val="54C44A2C"/>
    <w:rsid w:val="56463C17"/>
    <w:rsid w:val="56850CBB"/>
    <w:rsid w:val="59D8738A"/>
    <w:rsid w:val="5A666D76"/>
    <w:rsid w:val="5B2253C2"/>
    <w:rsid w:val="5B2A58B0"/>
    <w:rsid w:val="5C2060A7"/>
    <w:rsid w:val="5CF02E0F"/>
    <w:rsid w:val="5E202E15"/>
    <w:rsid w:val="5E442B42"/>
    <w:rsid w:val="5F644639"/>
    <w:rsid w:val="5FC06CAB"/>
    <w:rsid w:val="603269D2"/>
    <w:rsid w:val="60790A8D"/>
    <w:rsid w:val="60960597"/>
    <w:rsid w:val="61A52BCA"/>
    <w:rsid w:val="61F47A31"/>
    <w:rsid w:val="630F1C12"/>
    <w:rsid w:val="634D7265"/>
    <w:rsid w:val="63ED7DE0"/>
    <w:rsid w:val="66061D85"/>
    <w:rsid w:val="67095496"/>
    <w:rsid w:val="67ED7463"/>
    <w:rsid w:val="681A546A"/>
    <w:rsid w:val="68507D37"/>
    <w:rsid w:val="689D1149"/>
    <w:rsid w:val="69CB37D4"/>
    <w:rsid w:val="6A0D5B9B"/>
    <w:rsid w:val="6A1B2B67"/>
    <w:rsid w:val="6A3B23B1"/>
    <w:rsid w:val="6AE23394"/>
    <w:rsid w:val="6AEA32DC"/>
    <w:rsid w:val="6C1E73CC"/>
    <w:rsid w:val="6C4D4E55"/>
    <w:rsid w:val="6C4E4F3C"/>
    <w:rsid w:val="6CC24AB5"/>
    <w:rsid w:val="6D9271B2"/>
    <w:rsid w:val="6ED7755A"/>
    <w:rsid w:val="6F134790"/>
    <w:rsid w:val="6F150F79"/>
    <w:rsid w:val="6FE81F5F"/>
    <w:rsid w:val="72446028"/>
    <w:rsid w:val="72DB6EC5"/>
    <w:rsid w:val="73076EC0"/>
    <w:rsid w:val="73534D9F"/>
    <w:rsid w:val="74210CA6"/>
    <w:rsid w:val="746F4E76"/>
    <w:rsid w:val="75063359"/>
    <w:rsid w:val="75BFD6B2"/>
    <w:rsid w:val="76430096"/>
    <w:rsid w:val="788C25F5"/>
    <w:rsid w:val="79A52992"/>
    <w:rsid w:val="79F72AA9"/>
    <w:rsid w:val="7A144529"/>
    <w:rsid w:val="7A7E260B"/>
    <w:rsid w:val="7AAF053A"/>
    <w:rsid w:val="7C6355B7"/>
    <w:rsid w:val="7DD37FAE"/>
    <w:rsid w:val="7F2C666B"/>
    <w:rsid w:val="FFBBE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</w:style>
  <w:style w:type="paragraph" w:styleId="4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autoRedefine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3">
    <w:name w:val="Table Paragraph"/>
    <w:basedOn w:val="1"/>
    <w:autoRedefine/>
    <w:qFormat/>
    <w:uiPriority w:val="1"/>
  </w:style>
  <w:style w:type="character" w:customStyle="1" w:styleId="14">
    <w:name w:val="页眉 字符"/>
    <w:basedOn w:val="10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页脚 字符"/>
    <w:basedOn w:val="10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批注文字 字符"/>
    <w:basedOn w:val="10"/>
    <w:link w:val="3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7">
    <w:name w:val="批注主题 字符"/>
    <w:basedOn w:val="16"/>
    <w:link w:val="8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8">
    <w:name w:val="批注框文本 字符"/>
    <w:basedOn w:val="10"/>
    <w:link w:val="5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1475</Words>
  <Characters>1564</Characters>
  <Lines>2</Lines>
  <Paragraphs>1</Paragraphs>
  <TotalTime>268</TotalTime>
  <ScaleCrop>false</ScaleCrop>
  <LinksUpToDate>false</LinksUpToDate>
  <CharactersWithSpaces>1690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2022-04-12T14:10:00Z</dcterms:created>
  <dc:creator>jie.huang</dc:creator>
  <cp:lastModifiedBy>陈思睿</cp:lastModifiedBy>
  <cp:lastPrinted>2025-09-01T06:55:00Z</cp:lastPrinted>
  <dcterms:modified xsi:type="dcterms:W3CDTF">2025-09-01T08:21:48Z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2709D9FAC46A495D9305B1AFBD23E83F_13</vt:lpwstr>
  </property>
  <property fmtid="{D5CDD505-2E9C-101B-9397-08002B2CF9AE}" pid="4" name="KSOTemplateDocerSaveRecord">
    <vt:lpwstr>eyJoZGlkIjoiMGQ5YmMxMWRmYmRmYzA2ZmQyZjg4ZTZlY2JhMWY0NDMiLCJ1c2VySWQiOiIxNDg0NzEyMDI3In0=</vt:lpwstr>
  </property>
</Properties>
</file>