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C52DE" w14:textId="77777777" w:rsidR="00CA665D" w:rsidRDefault="00BD14E9">
      <w:pPr>
        <w:spacing w:before="277" w:afterLines="50" w:after="120" w:line="360" w:lineRule="auto"/>
        <w:ind w:left="108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600060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证券简称：海信视像</w:t>
      </w:r>
    </w:p>
    <w:p w14:paraId="4A63CD70" w14:textId="77777777" w:rsidR="00CA665D" w:rsidRDefault="00BD14E9">
      <w:pPr>
        <w:spacing w:before="204" w:line="225" w:lineRule="auto"/>
        <w:jc w:val="center"/>
        <w:outlineLvl w:val="0"/>
        <w:rPr>
          <w:rFonts w:ascii="Times New Roman" w:eastAsia="宋体" w:hAnsi="Times New Roman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eastAsia="宋体" w:hAnsi="Times New Roman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 w14:textId="77777777" w:rsidR="00CA665D" w:rsidRDefault="00BD14E9">
      <w:pPr>
        <w:spacing w:before="204" w:line="225" w:lineRule="auto"/>
        <w:jc w:val="right"/>
        <w:outlineLvl w:val="0"/>
        <w:rPr>
          <w:rFonts w:ascii="Times New Roman" w:hAnsi="Times New Roman" w:cs="Times New Roman"/>
          <w:sz w:val="2"/>
          <w:lang w:eastAsia="zh-CN"/>
        </w:rPr>
      </w:pPr>
      <w:r>
        <w:rPr>
          <w:rFonts w:ascii="Times New Roman" w:eastAsia="宋体" w:hAnsi="Times New Roman" w:cs="Times New Roman"/>
          <w:spacing w:val="-7"/>
          <w:sz w:val="24"/>
          <w:szCs w:val="24"/>
          <w:lang w:eastAsia="zh-CN"/>
        </w:rPr>
        <w:t>编号：</w:t>
      </w:r>
      <w:r>
        <w:rPr>
          <w:rFonts w:ascii="Times New Roman" w:eastAsia="宋体" w:hAnsi="Times New Roman" w:cs="Times New Roman"/>
          <w:spacing w:val="-7"/>
          <w:sz w:val="24"/>
          <w:szCs w:val="24"/>
          <w:lang w:eastAsia="zh-CN"/>
        </w:rPr>
        <w:t>2025-0</w:t>
      </w:r>
      <w:r>
        <w:rPr>
          <w:rFonts w:ascii="Times New Roman" w:eastAsia="宋体" w:hAnsi="Times New Roman" w:cs="Times New Roman" w:hint="eastAsia"/>
          <w:spacing w:val="-7"/>
          <w:sz w:val="24"/>
          <w:szCs w:val="24"/>
          <w:lang w:eastAsia="zh-CN"/>
        </w:rPr>
        <w:t>9</w:t>
      </w:r>
    </w:p>
    <w:tbl>
      <w:tblPr>
        <w:tblStyle w:val="TableNormal"/>
        <w:tblW w:w="6012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82"/>
        <w:gridCol w:w="3749"/>
        <w:gridCol w:w="4499"/>
      </w:tblGrid>
      <w:tr w:rsidR="00CA665D" w14:paraId="4BDFD9B7" w14:textId="77777777">
        <w:trPr>
          <w:trHeight w:val="2348"/>
          <w:jc w:val="center"/>
        </w:trPr>
        <w:tc>
          <w:tcPr>
            <w:tcW w:w="968" w:type="pct"/>
            <w:vAlign w:val="center"/>
          </w:tcPr>
          <w:p w14:paraId="3BBFB38B" w14:textId="77777777" w:rsidR="00CA665D" w:rsidRDefault="00CA665D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457A381" w14:textId="77777777" w:rsidR="00CA665D" w:rsidRDefault="00CA665D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12854B1" w14:textId="77777777" w:rsidR="00CA665D" w:rsidRDefault="00BD14E9">
            <w:pPr>
              <w:pStyle w:val="TableText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spacing w:val="-3"/>
              </w:rPr>
              <w:t>动类别</w:t>
            </w:r>
            <w:proofErr w:type="spellEnd"/>
          </w:p>
        </w:tc>
        <w:tc>
          <w:tcPr>
            <w:tcW w:w="1832" w:type="pct"/>
            <w:tcBorders>
              <w:right w:val="nil"/>
            </w:tcBorders>
          </w:tcPr>
          <w:p w14:paraId="3345F96C" w14:textId="77777777" w:rsidR="00CA665D" w:rsidRDefault="00BD14E9">
            <w:pPr>
              <w:pStyle w:val="TableText"/>
              <w:spacing w:before="117" w:line="220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特定对象调研</w:t>
            </w:r>
          </w:p>
          <w:p w14:paraId="1E7E6619" w14:textId="77777777" w:rsidR="00CA665D" w:rsidRDefault="00BD14E9">
            <w:pPr>
              <w:pStyle w:val="TableText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媒体采访</w:t>
            </w:r>
          </w:p>
          <w:p w14:paraId="721F99F5" w14:textId="77777777" w:rsidR="00CA665D" w:rsidRDefault="00BD14E9">
            <w:pPr>
              <w:pStyle w:val="TableText"/>
              <w:spacing w:before="183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新闻发布会</w:t>
            </w:r>
          </w:p>
          <w:p w14:paraId="416233C8" w14:textId="77777777" w:rsidR="00CA665D" w:rsidRDefault="00BD14E9">
            <w:pPr>
              <w:pStyle w:val="TableText"/>
              <w:spacing w:before="182" w:line="219" w:lineRule="auto"/>
              <w:ind w:left="135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现场参观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 xml:space="preserve"> </w:t>
            </w:r>
          </w:p>
          <w:p w14:paraId="6F694929" w14:textId="77777777" w:rsidR="00CA665D" w:rsidRDefault="00BD14E9">
            <w:pPr>
              <w:pStyle w:val="TableText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Segoe UI Symbol" w:hAnsi="Segoe UI Symbol" w:cs="Segoe UI Symbol" w:hint="eastAsia"/>
                <w:spacing w:val="-5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其他</w:t>
            </w: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（电话会议）</w:t>
            </w:r>
          </w:p>
        </w:tc>
        <w:tc>
          <w:tcPr>
            <w:tcW w:w="2198" w:type="pct"/>
            <w:tcBorders>
              <w:left w:val="nil"/>
            </w:tcBorders>
          </w:tcPr>
          <w:p w14:paraId="35288B01" w14:textId="77777777" w:rsidR="00CA665D" w:rsidRDefault="00BD14E9">
            <w:pPr>
              <w:pStyle w:val="TableText"/>
              <w:spacing w:before="117" w:line="219" w:lineRule="auto"/>
              <w:ind w:left="4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分析师会议</w:t>
            </w:r>
          </w:p>
          <w:p w14:paraId="6F69686C" w14:textId="77777777" w:rsidR="00CA665D" w:rsidRDefault="00BD14E9">
            <w:pPr>
              <w:pStyle w:val="TableText"/>
              <w:spacing w:before="183" w:line="219" w:lineRule="auto"/>
              <w:ind w:left="511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业绩说明会</w:t>
            </w:r>
          </w:p>
          <w:p w14:paraId="39D7E6E1" w14:textId="77777777" w:rsidR="00CA665D" w:rsidRDefault="00BD14E9">
            <w:pPr>
              <w:pStyle w:val="TableText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路演活动</w:t>
            </w:r>
          </w:p>
          <w:p w14:paraId="2AC11218" w14:textId="77777777" w:rsidR="00CA665D" w:rsidRDefault="00CA665D">
            <w:pPr>
              <w:pStyle w:val="TableText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</w:tc>
      </w:tr>
      <w:tr w:rsidR="00CA665D" w14:paraId="2F1C341C" w14:textId="77777777">
        <w:trPr>
          <w:trHeight w:val="941"/>
          <w:jc w:val="center"/>
        </w:trPr>
        <w:tc>
          <w:tcPr>
            <w:tcW w:w="968" w:type="pct"/>
            <w:vAlign w:val="center"/>
          </w:tcPr>
          <w:p w14:paraId="65B027C1" w14:textId="77777777" w:rsidR="00CA665D" w:rsidRDefault="00BD14E9">
            <w:pPr>
              <w:pStyle w:val="TableText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参与单位名称</w:t>
            </w:r>
            <w:proofErr w:type="spellEnd"/>
          </w:p>
        </w:tc>
        <w:tc>
          <w:tcPr>
            <w:tcW w:w="4031" w:type="pct"/>
            <w:gridSpan w:val="2"/>
            <w:vAlign w:val="center"/>
          </w:tcPr>
          <w:p w14:paraId="31F214FE" w14:textId="77777777" w:rsidR="00CA665D" w:rsidRDefault="00BD14E9">
            <w:pPr>
              <w:pStyle w:val="TableText"/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易方达基金、广发基金、建信基金、长安基金、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兴证资管、中庚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基金、德邦基金、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国投瑞银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、长江养老、中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金资管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、永诚保险基金、兴银理财、阿杏投资、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标朴基金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域秀投资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、博道基金、申万菱信基金、嘉实基金、中欧基金、农银汇理、财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通资管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交银施罗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德、富国基金、中信资管、海通国际、招商基金、太平洋资管、兴业基金、大家资产管理、中国人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寿资产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管理、源峰私募、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工银瑞信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、前海开源基金、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天弘基金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、长城基金、鹏华基金、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泰信基金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、东方财富、花旗银行、华宝基金、华安基金、路博迈基金、中泰证券资管、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浙商证券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、国金证券、中信证券、国信证券、东方证</w:t>
            </w:r>
            <w:r>
              <w:rPr>
                <w:rFonts w:hint="eastAsia"/>
                <w:spacing w:val="-1"/>
                <w:lang w:eastAsia="zh-CN"/>
              </w:rPr>
              <w:t>券、野村证券、中金公司、</w:t>
            </w:r>
            <w:proofErr w:type="gramStart"/>
            <w:r>
              <w:rPr>
                <w:rFonts w:hint="eastAsia"/>
                <w:spacing w:val="-1"/>
                <w:lang w:eastAsia="zh-CN"/>
              </w:rPr>
              <w:t>兴证证券</w:t>
            </w:r>
            <w:proofErr w:type="gramEnd"/>
            <w:r>
              <w:rPr>
                <w:rFonts w:hint="eastAsia"/>
                <w:spacing w:val="-1"/>
                <w:lang w:eastAsia="zh-CN"/>
              </w:rPr>
              <w:t>、广发证券、国投证券、国泰君安证券、银河证券、国盛证券、天风证券、兴业证券</w:t>
            </w:r>
            <w:r>
              <w:rPr>
                <w:spacing w:val="-1"/>
                <w:lang w:eastAsia="zh-CN"/>
              </w:rPr>
              <w:t>等</w:t>
            </w:r>
          </w:p>
        </w:tc>
      </w:tr>
      <w:tr w:rsidR="00CA665D" w14:paraId="2B80DA64" w14:textId="77777777">
        <w:trPr>
          <w:trHeight w:val="578"/>
          <w:jc w:val="center"/>
        </w:trPr>
        <w:tc>
          <w:tcPr>
            <w:tcW w:w="968" w:type="pct"/>
            <w:vAlign w:val="center"/>
          </w:tcPr>
          <w:p w14:paraId="6807D5DC" w14:textId="77777777" w:rsidR="00CA665D" w:rsidRDefault="00BD14E9">
            <w:pPr>
              <w:pStyle w:val="TableText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</w:rPr>
              <w:t>时间</w:t>
            </w:r>
            <w:proofErr w:type="spellEnd"/>
          </w:p>
        </w:tc>
        <w:tc>
          <w:tcPr>
            <w:tcW w:w="4031" w:type="pct"/>
            <w:gridSpan w:val="2"/>
            <w:vAlign w:val="center"/>
          </w:tcPr>
          <w:p w14:paraId="0FA441E6" w14:textId="77777777" w:rsidR="00CA665D" w:rsidRDefault="00BD14E9">
            <w:pPr>
              <w:pStyle w:val="TableText"/>
              <w:spacing w:before="113" w:line="22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至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</w:p>
        </w:tc>
      </w:tr>
      <w:tr w:rsidR="00CA665D" w14:paraId="3298256F" w14:textId="77777777">
        <w:trPr>
          <w:trHeight w:val="666"/>
          <w:jc w:val="center"/>
        </w:trPr>
        <w:tc>
          <w:tcPr>
            <w:tcW w:w="968" w:type="pct"/>
            <w:vAlign w:val="center"/>
          </w:tcPr>
          <w:p w14:paraId="0946ECE6" w14:textId="77777777" w:rsidR="00CA665D" w:rsidRDefault="00BD14E9">
            <w:pPr>
              <w:pStyle w:val="TableText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地点</w:t>
            </w:r>
            <w:proofErr w:type="spellEnd"/>
          </w:p>
        </w:tc>
        <w:tc>
          <w:tcPr>
            <w:tcW w:w="4031" w:type="pct"/>
            <w:gridSpan w:val="2"/>
            <w:vAlign w:val="center"/>
          </w:tcPr>
          <w:p w14:paraId="00FADA5F" w14:textId="77777777" w:rsidR="00CA665D" w:rsidRDefault="00BD14E9">
            <w:pPr>
              <w:pStyle w:val="TableText"/>
              <w:spacing w:before="117" w:line="219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公司会议室、</w:t>
            </w:r>
            <w:r>
              <w:rPr>
                <w:rFonts w:ascii="Times New Roman" w:hAnsi="Times New Roman" w:cs="Times New Roman"/>
                <w:lang w:eastAsia="zh-CN"/>
              </w:rPr>
              <w:t>电话会议</w:t>
            </w:r>
          </w:p>
        </w:tc>
      </w:tr>
      <w:tr w:rsidR="00CA665D" w14:paraId="00C2C4FD" w14:textId="77777777">
        <w:trPr>
          <w:trHeight w:val="90"/>
          <w:jc w:val="center"/>
        </w:trPr>
        <w:tc>
          <w:tcPr>
            <w:tcW w:w="968" w:type="pct"/>
            <w:vAlign w:val="center"/>
          </w:tcPr>
          <w:p w14:paraId="11E0F2A3" w14:textId="77777777" w:rsidR="00CA665D" w:rsidRDefault="00BD14E9">
            <w:pPr>
              <w:pStyle w:val="TableText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人员姓名</w:t>
            </w:r>
          </w:p>
        </w:tc>
        <w:tc>
          <w:tcPr>
            <w:tcW w:w="4031" w:type="pct"/>
            <w:gridSpan w:val="2"/>
            <w:vAlign w:val="center"/>
          </w:tcPr>
          <w:p w14:paraId="3E617138" w14:textId="77777777" w:rsidR="00CA665D" w:rsidRDefault="00BD14E9">
            <w:pPr>
              <w:pStyle w:val="TableText"/>
              <w:spacing w:afterLines="50" w:after="120" w:line="36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董事、总裁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 w:hint="eastAsia"/>
                <w:lang w:eastAsia="zh-CN"/>
              </w:rPr>
              <w:t>李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lang w:eastAsia="zh-CN"/>
              </w:rPr>
              <w:t>炜</w:t>
            </w:r>
            <w:proofErr w:type="gramEnd"/>
          </w:p>
          <w:p w14:paraId="3282EE7C" w14:textId="77777777" w:rsidR="00CA665D" w:rsidRDefault="00BD14E9">
            <w:pPr>
              <w:pStyle w:val="TableText"/>
              <w:spacing w:afterLines="50" w:after="120" w:line="36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财务负责人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eastAsia="zh-CN"/>
              </w:rPr>
              <w:t>郑丽非</w:t>
            </w:r>
          </w:p>
          <w:p w14:paraId="69D2DD0F" w14:textId="5AF4FA23" w:rsidR="00CA665D" w:rsidRDefault="00BD14E9" w:rsidP="00BD14E9">
            <w:pPr>
              <w:pStyle w:val="TableText"/>
              <w:spacing w:afterLines="50" w:after="120" w:line="36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董事会秘书</w:t>
            </w:r>
            <w:r>
              <w:rPr>
                <w:rFonts w:ascii="Times New Roman" w:hAnsi="Times New Roman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范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lang w:eastAsia="zh-CN"/>
              </w:rPr>
              <w:t>潇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 </w:t>
            </w:r>
            <w:bookmarkStart w:id="0" w:name="_GoBack"/>
            <w:bookmarkEnd w:id="0"/>
          </w:p>
        </w:tc>
      </w:tr>
      <w:tr w:rsidR="00CA665D" w14:paraId="77E34C89" w14:textId="77777777">
        <w:trPr>
          <w:trHeight w:val="15030"/>
          <w:jc w:val="center"/>
        </w:trPr>
        <w:tc>
          <w:tcPr>
            <w:tcW w:w="968" w:type="pct"/>
            <w:vAlign w:val="center"/>
          </w:tcPr>
          <w:p w14:paraId="314C7E04" w14:textId="77777777" w:rsidR="00CA665D" w:rsidRDefault="00BD14E9">
            <w:pPr>
              <w:pStyle w:val="TableText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lastRenderedPageBreak/>
              <w:t>投资者关系活动主要内容介</w:t>
            </w:r>
            <w:r>
              <w:rPr>
                <w:rFonts w:ascii="Times New Roman" w:hAnsi="Times New Roman" w:cs="Times New Roman"/>
                <w:lang w:eastAsia="zh-CN"/>
              </w:rPr>
              <w:t>绍</w:t>
            </w:r>
          </w:p>
        </w:tc>
        <w:tc>
          <w:tcPr>
            <w:tcW w:w="4031" w:type="pct"/>
            <w:gridSpan w:val="2"/>
            <w:vAlign w:val="center"/>
          </w:tcPr>
          <w:p w14:paraId="0F10F3BA" w14:textId="77777777" w:rsidR="00CA665D" w:rsidRDefault="00BD14E9">
            <w:pPr>
              <w:pStyle w:val="TableText"/>
              <w:numPr>
                <w:ilvl w:val="0"/>
                <w:numId w:val="1"/>
              </w:num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公司</w:t>
            </w: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年上半年整体业绩表现如何？</w:t>
            </w:r>
          </w:p>
          <w:p w14:paraId="2ECBEAB8" w14:textId="3AEF0199" w:rsidR="00CA665D" w:rsidRDefault="00BD14E9">
            <w:pPr>
              <w:pStyle w:val="TableText"/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答：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年上半年，公司坚定不移推进全球化布局与高端化战略，全面推进数字化转型，逐步构建具有国际竞争力的全球化运营体系。</w:t>
            </w:r>
            <w:r w:rsidR="00E77D5C" w:rsidRPr="00E77D5C">
              <w:rPr>
                <w:rFonts w:ascii="Times New Roman" w:hAnsi="Times New Roman" w:cs="Times New Roman"/>
                <w:color w:val="auto"/>
                <w:lang w:eastAsia="zh-CN"/>
              </w:rPr>
              <w:t>2025</w:t>
            </w:r>
            <w:r w:rsidR="00E77D5C" w:rsidRPr="00E77D5C">
              <w:rPr>
                <w:rFonts w:ascii="Times New Roman" w:hAnsi="Times New Roman" w:cs="Times New Roman" w:hint="eastAsia"/>
                <w:color w:val="auto"/>
                <w:lang w:eastAsia="zh-CN"/>
              </w:rPr>
              <w:t>年上半年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，公司实现营业收入达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272.31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亿元，同比增长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6.95%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；归属于上市公司股东的净利润为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10.56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亿元，同比增长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26.63%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；经营活动现金流量净额同比大幅增长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48.59%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至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18.02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亿元，整体盈利能力和营运质量持续增强。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br w:type="page"/>
            </w:r>
          </w:p>
          <w:p w14:paraId="3997A819" w14:textId="77777777" w:rsidR="00CA665D" w:rsidRDefault="00BD14E9" w:rsidP="00E77D5C">
            <w:pPr>
              <w:pStyle w:val="TableText"/>
              <w:numPr>
                <w:ilvl w:val="0"/>
                <w:numId w:val="1"/>
              </w:numPr>
              <w:spacing w:beforeLines="50" w:before="120" w:afterLines="50" w:after="120" w:line="360" w:lineRule="auto"/>
              <w:ind w:left="482" w:firstLine="0"/>
              <w:jc w:val="both"/>
              <w:rPr>
                <w:rFonts w:ascii="Times New Roman" w:hAnsi="Times New Roman" w:cs="Times New Roman"/>
                <w:b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公司</w:t>
            </w: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年上半年内销情况如何？在国内行业竞争加剧的背景下，公司如何保持竞争力？</w:t>
            </w:r>
          </w:p>
          <w:p w14:paraId="79D5700F" w14:textId="77777777" w:rsidR="00CA665D" w:rsidRDefault="00BD14E9">
            <w:pPr>
              <w:pStyle w:val="TableText"/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答：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年上半年，公司持续领跑中国市场，产品销售结构持续优化，海信牌品牌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价格指数达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149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，同比提升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。奥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维云网全渠道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监测数据显示，海信系电视中国内地零售额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市占率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29.96%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、零售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量市占率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25.73%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，均稳居国内市场第一。</w:t>
            </w:r>
          </w:p>
          <w:p w14:paraId="7FD3B374" w14:textId="314220A3" w:rsidR="00CA665D" w:rsidRDefault="00BD14E9">
            <w:pPr>
              <w:pStyle w:val="TableText"/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面对国内电视市场竞争加剧，公司通过技术突破与产品结构优化不断巩固领先地位。</w:t>
            </w:r>
            <w:r w:rsidR="00E77D5C" w:rsidRPr="00E77D5C">
              <w:rPr>
                <w:rFonts w:ascii="Times New Roman" w:hAnsi="Times New Roman" w:cs="Times New Roman"/>
                <w:color w:val="auto"/>
                <w:lang w:eastAsia="zh-CN"/>
              </w:rPr>
              <w:t>2025</w:t>
            </w:r>
            <w:r w:rsidR="00E77D5C" w:rsidRPr="00E77D5C">
              <w:rPr>
                <w:rFonts w:ascii="Times New Roman" w:hAnsi="Times New Roman" w:cs="Times New Roman" w:hint="eastAsia"/>
                <w:color w:val="auto"/>
                <w:lang w:eastAsia="zh-CN"/>
              </w:rPr>
              <w:t>年上半年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，公司积极把握高端化、大屏化趋势，持续突破显示技术边界，推出多款引领行业的高端产品，如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116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吋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RGB-Mini LED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电视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UX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系列与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163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吋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Micro LED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无界巨幕，推动高端消费升级；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全渠道百吋及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以上、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75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英寸及以上、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85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英寸及以上海信系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产品市占率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均居行业第一；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Mini LE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D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产品表现突出，零售量和零售额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市占率分别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达到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33.95%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34.98%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，持续领跑行业，展现出强劲的结构性增长动能。同时，公司基于对用户旅程的深度洞察，积极拓展传播阵地，开展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 xml:space="preserve"> IP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及热点营销，并通过直播矩阵化运营强化效果。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年线上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618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期间，小墨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E8Q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系列销量销额均位列全网第一，线下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85U7Q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上市四周即登顶并持续霸榜，通过创新营销模式将技术红利转为市场份额。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br w:type="page"/>
            </w:r>
          </w:p>
          <w:p w14:paraId="58045405" w14:textId="77777777" w:rsidR="00CA665D" w:rsidRDefault="00BD14E9">
            <w:pPr>
              <w:pStyle w:val="TableText"/>
              <w:numPr>
                <w:ilvl w:val="0"/>
                <w:numId w:val="1"/>
              </w:num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公司如何提升在海外的品牌影响力？</w:t>
            </w:r>
          </w:p>
          <w:p w14:paraId="38F0FA3A" w14:textId="77777777" w:rsidR="00CA665D" w:rsidRDefault="00BD14E9">
            <w:pPr>
              <w:pStyle w:val="TableText"/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答：公司坚定推进全球化战略，强化大屏高端产品布局与技术突破，持续完善全球供应链体系。公司通过欧洲杯、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世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俱杯等顶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级体育赛事开展营销，并结合《黑神话：悟空》等热门游戏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IP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营销，实现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核心社媒平台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主机游戏人群渗透率提升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17.9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个百分点，助力公司旗舰产品实现圈层渗透，有效提升品牌在海外市场的认知度和美誉度，海信已连续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9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年位居</w:t>
            </w:r>
            <w:proofErr w:type="spell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BrandZ</w:t>
            </w:r>
            <w:proofErr w:type="spell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™中国全球化品牌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10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强，并持续保持榜单电视品牌最高排名。</w:t>
            </w:r>
          </w:p>
          <w:p w14:paraId="7D98C6F1" w14:textId="77777777" w:rsidR="00CA665D" w:rsidRDefault="00BD14E9">
            <w:pPr>
              <w:pStyle w:val="TableText"/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lastRenderedPageBreak/>
              <w:t>同时，公司重点拓展战略市场及高端渠道，根据奥维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睿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沃数据，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年上半年，海信系电视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98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英寸及以上产品全球出货量同比增长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85.29%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Mini LED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产品出货量同比增长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108.24%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。在市场占有率方面，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75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英寸及以上大屏以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19.9%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的全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球份额领跑行业，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98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英寸及以上、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100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英寸及以上产品分别以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28.9%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47.7%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的份额位居世界第一。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br w:type="page"/>
            </w:r>
          </w:p>
          <w:p w14:paraId="5E64AE42" w14:textId="77777777" w:rsidR="00CA665D" w:rsidRDefault="00BD14E9">
            <w:pPr>
              <w:pStyle w:val="TableText"/>
              <w:numPr>
                <w:ilvl w:val="0"/>
                <w:numId w:val="1"/>
              </w:num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公司在芯片研发与产业化上的节奏如何？如何进一步形成护城河？</w:t>
            </w:r>
          </w:p>
          <w:p w14:paraId="7E0A2805" w14:textId="484A0759" w:rsidR="00CA665D" w:rsidRDefault="00BD14E9">
            <w:pPr>
              <w:pStyle w:val="TableText"/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答：公司以实现中大尺寸显示芯片全矩阵覆盖为战略目标，持续加码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高端画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质芯片研发，积极推动显示芯片国产化。</w:t>
            </w:r>
            <w:r w:rsidR="00E77D5C" w:rsidRPr="00E77D5C">
              <w:rPr>
                <w:rFonts w:ascii="Times New Roman" w:hAnsi="Times New Roman" w:cs="Times New Roman"/>
                <w:color w:val="auto"/>
                <w:lang w:eastAsia="zh-CN"/>
              </w:rPr>
              <w:t>2025</w:t>
            </w:r>
            <w:r w:rsidR="00E77D5C" w:rsidRPr="00E77D5C">
              <w:rPr>
                <w:rFonts w:ascii="Times New Roman" w:hAnsi="Times New Roman" w:cs="Times New Roman" w:hint="eastAsia"/>
                <w:color w:val="auto"/>
                <w:lang w:eastAsia="zh-CN"/>
              </w:rPr>
              <w:t>年上半年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，公司自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RGB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光色同控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AI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画质芯片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H7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实现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量产并应用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于多款中高端机型，构建了技术差异化优势。同时，公司在电视和显示器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TCON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芯片领域保持全球领先地位，并积极拓展笔记本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TCON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、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高刷驱动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OLED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及显示器</w:t>
            </w:r>
            <w:proofErr w:type="spell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SoC</w:t>
            </w:r>
            <w:proofErr w:type="spell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市场。在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LED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芯片领域，公司通过自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高性能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RGB-Mini LED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背光芯片、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 xml:space="preserve">Mini COB 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多层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氧化物控光技术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 xml:space="preserve"> Mini RGB 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混排方案等，带动相关业务营收同比增长约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400%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Micro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 xml:space="preserve"> MIP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芯片已获头部客户认证，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Micro COG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技术取得突破，并储备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AR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等产品开发能力。公司较早布局上游芯片环节，战略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控股信芯微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和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乾照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光电，深化显示产业垂直整合，缩短研发成果产业化周期，构建起横跨上游芯片、中游模组设计、下游终端应用和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云服务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的全链路自主可控能力，形成难以复制的核心护城河。</w:t>
            </w:r>
          </w:p>
          <w:p w14:paraId="552873E2" w14:textId="77777777" w:rsidR="00CA665D" w:rsidRDefault="00BD14E9">
            <w:pPr>
              <w:pStyle w:val="TableText"/>
              <w:numPr>
                <w:ilvl w:val="0"/>
                <w:numId w:val="1"/>
              </w:num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公司在</w:t>
            </w: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AI</w:t>
            </w:r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电视、</w:t>
            </w:r>
            <w:proofErr w:type="gramStart"/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具身智能机器人</w:t>
            </w:r>
            <w:proofErr w:type="gramEnd"/>
            <w:r>
              <w:rPr>
                <w:rFonts w:ascii="Times New Roman" w:hAnsi="Times New Roman" w:cs="Times New Roman" w:hint="eastAsia"/>
                <w:b/>
                <w:color w:val="auto"/>
                <w:lang w:eastAsia="zh-CN"/>
              </w:rPr>
              <w:t>等新兴领域，如何把握机会？</w:t>
            </w:r>
          </w:p>
          <w:p w14:paraId="3173D9E6" w14:textId="4F79AE20" w:rsidR="00CA665D" w:rsidRDefault="00BD14E9" w:rsidP="00E77D5C">
            <w:pPr>
              <w:pStyle w:val="TableText"/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答：公司依托自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芯片、大模型算法及场景化应用，构建“端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云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芯”一体化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AI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能力体系。在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AI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电视领域，公司聚焦“高效交互”“个性化服务”“场景延伸”三大方向，推动服务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能力升级，已在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AI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电视领域确立领先地位。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公司主导首个智能电视系统软件性能评价国际标准《智能电视系统软件性能评价规范》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IEEE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国际标准正式立项，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与清华大学智能产业研究院、中国电子视像行业协会、中关村标准化协会联合发布了全球首个《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AI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电视白皮书》，推动电视向家庭智能中枢演进。未来，公司将不断深化技术突破与生态完善，推动电视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行业智能化变革，为用户提供更智能、便捷的家居生活体验。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在具身智能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及机器人领域，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8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20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日，海信集团与福耀科技大学联合成立“未来工厂与具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身智能机器人联合创新中心”，致力于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推动具身智能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技术在制造领域的应用落地。公司亦</w:t>
            </w:r>
            <w:r w:rsidR="00E77D5C">
              <w:rPr>
                <w:rFonts w:ascii="Times New Roman" w:hAnsi="Times New Roman" w:cs="Times New Roman" w:hint="eastAsia"/>
                <w:color w:val="auto"/>
                <w:lang w:eastAsia="zh-CN"/>
              </w:rPr>
              <w:t>参与</w:t>
            </w:r>
            <w:r>
              <w:rPr>
                <w:rFonts w:ascii="Times New Roman" w:hAnsi="Times New Roman" w:cs="Times New Roman" w:hint="eastAsia"/>
                <w:color w:val="auto"/>
                <w:lang w:eastAsia="zh-CN"/>
              </w:rPr>
              <w:t>投资设立“海信星海科技（杭州）有限公司”，布局智能机器人、工业机器人、服务消费机器人等相关业务，积极拓展未来产业生态。</w:t>
            </w:r>
          </w:p>
        </w:tc>
      </w:tr>
    </w:tbl>
    <w:p w14:paraId="7D3A022D" w14:textId="77777777" w:rsidR="00CA665D" w:rsidRDefault="00CA665D">
      <w:pPr>
        <w:jc w:val="center"/>
        <w:rPr>
          <w:rFonts w:ascii="Times New Roman" w:hAnsi="Times New Roman" w:cs="Times New Roman"/>
          <w:lang w:eastAsia="zh-CN"/>
        </w:rPr>
      </w:pPr>
    </w:p>
    <w:sectPr w:rsidR="00CA665D">
      <w:pgSz w:w="11907" w:h="16839"/>
      <w:pgMar w:top="737" w:right="1694" w:bottom="737" w:left="169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066"/>
    <w:multiLevelType w:val="multilevel"/>
    <w:tmpl w:val="AB64AFBE"/>
    <w:lvl w:ilvl="0">
      <w:start w:val="1"/>
      <w:numFmt w:val="decimal"/>
      <w:lvlText w:val="%1."/>
      <w:lvlJc w:val="left"/>
      <w:pPr>
        <w:ind w:left="0" w:firstLine="48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isplayBackgroundShape/>
  <w:proofState w:spelling="clean" w:grammar="clean"/>
  <w:defaultTabStop w:val="420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7"/>
    <w:rsid w:val="CFFA9BEF"/>
    <w:rsid w:val="DFDBE67B"/>
    <w:rsid w:val="DFFF6725"/>
    <w:rsid w:val="F5A7D12F"/>
    <w:rsid w:val="FFDF8FA6"/>
    <w:rsid w:val="FFEFFB37"/>
    <w:rsid w:val="00013270"/>
    <w:rsid w:val="000258DA"/>
    <w:rsid w:val="00026A3C"/>
    <w:rsid w:val="00027473"/>
    <w:rsid w:val="000433B0"/>
    <w:rsid w:val="000528A6"/>
    <w:rsid w:val="000566D4"/>
    <w:rsid w:val="00063A98"/>
    <w:rsid w:val="000648F2"/>
    <w:rsid w:val="000720F6"/>
    <w:rsid w:val="000878B0"/>
    <w:rsid w:val="00095EE6"/>
    <w:rsid w:val="00096328"/>
    <w:rsid w:val="000A12D3"/>
    <w:rsid w:val="000B5B1D"/>
    <w:rsid w:val="000C4CE2"/>
    <w:rsid w:val="000D7D44"/>
    <w:rsid w:val="000F6158"/>
    <w:rsid w:val="001010F6"/>
    <w:rsid w:val="00102283"/>
    <w:rsid w:val="00115C8E"/>
    <w:rsid w:val="00116842"/>
    <w:rsid w:val="00132FD5"/>
    <w:rsid w:val="001339D6"/>
    <w:rsid w:val="00135E16"/>
    <w:rsid w:val="00152FD0"/>
    <w:rsid w:val="00153A81"/>
    <w:rsid w:val="00161E1E"/>
    <w:rsid w:val="00180497"/>
    <w:rsid w:val="0018684E"/>
    <w:rsid w:val="001878F1"/>
    <w:rsid w:val="001A7542"/>
    <w:rsid w:val="001B1907"/>
    <w:rsid w:val="001B21C1"/>
    <w:rsid w:val="001B58A9"/>
    <w:rsid w:val="001C061C"/>
    <w:rsid w:val="001C5778"/>
    <w:rsid w:val="001D1F73"/>
    <w:rsid w:val="001D66E8"/>
    <w:rsid w:val="001F443D"/>
    <w:rsid w:val="001F7D21"/>
    <w:rsid w:val="00202EDC"/>
    <w:rsid w:val="002078FE"/>
    <w:rsid w:val="00215D42"/>
    <w:rsid w:val="00227F8A"/>
    <w:rsid w:val="002330D1"/>
    <w:rsid w:val="002419CA"/>
    <w:rsid w:val="00251171"/>
    <w:rsid w:val="0025222F"/>
    <w:rsid w:val="00253848"/>
    <w:rsid w:val="00254B68"/>
    <w:rsid w:val="00255864"/>
    <w:rsid w:val="002630E1"/>
    <w:rsid w:val="002639ED"/>
    <w:rsid w:val="002665EF"/>
    <w:rsid w:val="00282F35"/>
    <w:rsid w:val="002943D3"/>
    <w:rsid w:val="002E7A10"/>
    <w:rsid w:val="002F1506"/>
    <w:rsid w:val="002F636D"/>
    <w:rsid w:val="003041E7"/>
    <w:rsid w:val="00304697"/>
    <w:rsid w:val="00313B73"/>
    <w:rsid w:val="003211D9"/>
    <w:rsid w:val="0033713F"/>
    <w:rsid w:val="00347596"/>
    <w:rsid w:val="00364753"/>
    <w:rsid w:val="00365786"/>
    <w:rsid w:val="003727CA"/>
    <w:rsid w:val="0038006B"/>
    <w:rsid w:val="00381231"/>
    <w:rsid w:val="003A1EDC"/>
    <w:rsid w:val="003A6954"/>
    <w:rsid w:val="003B32E2"/>
    <w:rsid w:val="003B42D1"/>
    <w:rsid w:val="003C6F36"/>
    <w:rsid w:val="003D14E6"/>
    <w:rsid w:val="003D524D"/>
    <w:rsid w:val="003D7D3D"/>
    <w:rsid w:val="003F10D8"/>
    <w:rsid w:val="003F4193"/>
    <w:rsid w:val="003F77B0"/>
    <w:rsid w:val="00400638"/>
    <w:rsid w:val="00405F80"/>
    <w:rsid w:val="00416404"/>
    <w:rsid w:val="004264B0"/>
    <w:rsid w:val="00445ED0"/>
    <w:rsid w:val="004466A9"/>
    <w:rsid w:val="0045514D"/>
    <w:rsid w:val="0046515E"/>
    <w:rsid w:val="0047436B"/>
    <w:rsid w:val="00483747"/>
    <w:rsid w:val="004902CD"/>
    <w:rsid w:val="0049271B"/>
    <w:rsid w:val="00497D95"/>
    <w:rsid w:val="004A074D"/>
    <w:rsid w:val="004A6B28"/>
    <w:rsid w:val="004A6E80"/>
    <w:rsid w:val="004D379F"/>
    <w:rsid w:val="004D650C"/>
    <w:rsid w:val="004E110E"/>
    <w:rsid w:val="004F0040"/>
    <w:rsid w:val="005018B5"/>
    <w:rsid w:val="00503B28"/>
    <w:rsid w:val="00511139"/>
    <w:rsid w:val="005155C1"/>
    <w:rsid w:val="005203B6"/>
    <w:rsid w:val="005242AD"/>
    <w:rsid w:val="005436D0"/>
    <w:rsid w:val="00555B77"/>
    <w:rsid w:val="0057355D"/>
    <w:rsid w:val="00582B2F"/>
    <w:rsid w:val="00593B99"/>
    <w:rsid w:val="0059784C"/>
    <w:rsid w:val="005978C7"/>
    <w:rsid w:val="005A20E2"/>
    <w:rsid w:val="005A7D2E"/>
    <w:rsid w:val="005B57CE"/>
    <w:rsid w:val="005B5D5C"/>
    <w:rsid w:val="005C35F8"/>
    <w:rsid w:val="005E02BA"/>
    <w:rsid w:val="005F3B68"/>
    <w:rsid w:val="00602685"/>
    <w:rsid w:val="00603B0A"/>
    <w:rsid w:val="0060571A"/>
    <w:rsid w:val="0061331C"/>
    <w:rsid w:val="006262FC"/>
    <w:rsid w:val="00642804"/>
    <w:rsid w:val="0064439F"/>
    <w:rsid w:val="00646BDD"/>
    <w:rsid w:val="0065359E"/>
    <w:rsid w:val="00654F37"/>
    <w:rsid w:val="00660ACD"/>
    <w:rsid w:val="006642E7"/>
    <w:rsid w:val="006771F2"/>
    <w:rsid w:val="0068377E"/>
    <w:rsid w:val="00691AF0"/>
    <w:rsid w:val="00694F83"/>
    <w:rsid w:val="00697AF8"/>
    <w:rsid w:val="006A40AC"/>
    <w:rsid w:val="006B0432"/>
    <w:rsid w:val="006B1E29"/>
    <w:rsid w:val="006B3BF4"/>
    <w:rsid w:val="006B5826"/>
    <w:rsid w:val="006B6C0C"/>
    <w:rsid w:val="006C6E82"/>
    <w:rsid w:val="006D6CFE"/>
    <w:rsid w:val="006D76E5"/>
    <w:rsid w:val="006F253E"/>
    <w:rsid w:val="006F3A6B"/>
    <w:rsid w:val="00701A97"/>
    <w:rsid w:val="00701CDE"/>
    <w:rsid w:val="007069FF"/>
    <w:rsid w:val="0071271A"/>
    <w:rsid w:val="0071680F"/>
    <w:rsid w:val="00721A3C"/>
    <w:rsid w:val="007235DA"/>
    <w:rsid w:val="007253E1"/>
    <w:rsid w:val="00734E08"/>
    <w:rsid w:val="00735CFA"/>
    <w:rsid w:val="00735FB6"/>
    <w:rsid w:val="0073618F"/>
    <w:rsid w:val="00747F36"/>
    <w:rsid w:val="007514AB"/>
    <w:rsid w:val="00754290"/>
    <w:rsid w:val="00754498"/>
    <w:rsid w:val="0075590F"/>
    <w:rsid w:val="00756484"/>
    <w:rsid w:val="00763464"/>
    <w:rsid w:val="00776833"/>
    <w:rsid w:val="0078668C"/>
    <w:rsid w:val="00790039"/>
    <w:rsid w:val="007A0FB9"/>
    <w:rsid w:val="007B14E0"/>
    <w:rsid w:val="007C57A9"/>
    <w:rsid w:val="007C6CB9"/>
    <w:rsid w:val="007D2BC0"/>
    <w:rsid w:val="007D3C9B"/>
    <w:rsid w:val="007F30CB"/>
    <w:rsid w:val="007F60B3"/>
    <w:rsid w:val="008035EF"/>
    <w:rsid w:val="008062D6"/>
    <w:rsid w:val="008071CB"/>
    <w:rsid w:val="0081198C"/>
    <w:rsid w:val="008254FF"/>
    <w:rsid w:val="00830360"/>
    <w:rsid w:val="00832AC0"/>
    <w:rsid w:val="008435C9"/>
    <w:rsid w:val="008449E3"/>
    <w:rsid w:val="00855870"/>
    <w:rsid w:val="0087238E"/>
    <w:rsid w:val="00877B66"/>
    <w:rsid w:val="00887818"/>
    <w:rsid w:val="00897825"/>
    <w:rsid w:val="008A4DB6"/>
    <w:rsid w:val="008B4BD6"/>
    <w:rsid w:val="008B68E8"/>
    <w:rsid w:val="008C224B"/>
    <w:rsid w:val="008C24E6"/>
    <w:rsid w:val="008C2D1A"/>
    <w:rsid w:val="008C4D9D"/>
    <w:rsid w:val="008D5C2C"/>
    <w:rsid w:val="008D6412"/>
    <w:rsid w:val="008D768F"/>
    <w:rsid w:val="008F0267"/>
    <w:rsid w:val="00900F18"/>
    <w:rsid w:val="00912E03"/>
    <w:rsid w:val="0091785A"/>
    <w:rsid w:val="009301CB"/>
    <w:rsid w:val="0093392E"/>
    <w:rsid w:val="00935084"/>
    <w:rsid w:val="009445BA"/>
    <w:rsid w:val="009570DB"/>
    <w:rsid w:val="00963F33"/>
    <w:rsid w:val="009715D6"/>
    <w:rsid w:val="00971B3B"/>
    <w:rsid w:val="0098378D"/>
    <w:rsid w:val="00985409"/>
    <w:rsid w:val="00987326"/>
    <w:rsid w:val="00994859"/>
    <w:rsid w:val="009A1671"/>
    <w:rsid w:val="009A66CD"/>
    <w:rsid w:val="009A7ED2"/>
    <w:rsid w:val="009B2534"/>
    <w:rsid w:val="009B5B12"/>
    <w:rsid w:val="009B7B0F"/>
    <w:rsid w:val="009C1127"/>
    <w:rsid w:val="009E77AC"/>
    <w:rsid w:val="009F5C67"/>
    <w:rsid w:val="009F6113"/>
    <w:rsid w:val="00A007F4"/>
    <w:rsid w:val="00A23B10"/>
    <w:rsid w:val="00A25571"/>
    <w:rsid w:val="00A25AB4"/>
    <w:rsid w:val="00A262F1"/>
    <w:rsid w:val="00A30CCF"/>
    <w:rsid w:val="00A3641B"/>
    <w:rsid w:val="00A4434C"/>
    <w:rsid w:val="00A634F6"/>
    <w:rsid w:val="00A77627"/>
    <w:rsid w:val="00AA0E52"/>
    <w:rsid w:val="00AA70F6"/>
    <w:rsid w:val="00AB32CF"/>
    <w:rsid w:val="00AB5A40"/>
    <w:rsid w:val="00AC7BB4"/>
    <w:rsid w:val="00B16D06"/>
    <w:rsid w:val="00B42227"/>
    <w:rsid w:val="00B54DEB"/>
    <w:rsid w:val="00B608BD"/>
    <w:rsid w:val="00B635FD"/>
    <w:rsid w:val="00B75C0D"/>
    <w:rsid w:val="00B77915"/>
    <w:rsid w:val="00B82CFC"/>
    <w:rsid w:val="00B84A94"/>
    <w:rsid w:val="00B90D34"/>
    <w:rsid w:val="00B97E05"/>
    <w:rsid w:val="00BA54F6"/>
    <w:rsid w:val="00BC36E1"/>
    <w:rsid w:val="00BC7451"/>
    <w:rsid w:val="00BD14E9"/>
    <w:rsid w:val="00BE2107"/>
    <w:rsid w:val="00BE5771"/>
    <w:rsid w:val="00C012C4"/>
    <w:rsid w:val="00C04086"/>
    <w:rsid w:val="00C06DF6"/>
    <w:rsid w:val="00C12561"/>
    <w:rsid w:val="00C21C58"/>
    <w:rsid w:val="00C22DFC"/>
    <w:rsid w:val="00C235CF"/>
    <w:rsid w:val="00C248D5"/>
    <w:rsid w:val="00C3085F"/>
    <w:rsid w:val="00C330F9"/>
    <w:rsid w:val="00C54CCF"/>
    <w:rsid w:val="00C55CE5"/>
    <w:rsid w:val="00C721DD"/>
    <w:rsid w:val="00C80C4A"/>
    <w:rsid w:val="00C8294D"/>
    <w:rsid w:val="00C92ECE"/>
    <w:rsid w:val="00C9419A"/>
    <w:rsid w:val="00C95359"/>
    <w:rsid w:val="00CA5D74"/>
    <w:rsid w:val="00CA665D"/>
    <w:rsid w:val="00CB6B05"/>
    <w:rsid w:val="00CB7634"/>
    <w:rsid w:val="00CB78FF"/>
    <w:rsid w:val="00CC30E7"/>
    <w:rsid w:val="00CC6824"/>
    <w:rsid w:val="00CD4A4E"/>
    <w:rsid w:val="00D05F96"/>
    <w:rsid w:val="00D0641B"/>
    <w:rsid w:val="00D15993"/>
    <w:rsid w:val="00D21F86"/>
    <w:rsid w:val="00D25D6B"/>
    <w:rsid w:val="00D30CD2"/>
    <w:rsid w:val="00D434B6"/>
    <w:rsid w:val="00D46F9C"/>
    <w:rsid w:val="00D51F0B"/>
    <w:rsid w:val="00D6574B"/>
    <w:rsid w:val="00D70681"/>
    <w:rsid w:val="00D82759"/>
    <w:rsid w:val="00D96A06"/>
    <w:rsid w:val="00DE0B40"/>
    <w:rsid w:val="00DE3D73"/>
    <w:rsid w:val="00DE5956"/>
    <w:rsid w:val="00DF152D"/>
    <w:rsid w:val="00DF24CF"/>
    <w:rsid w:val="00E104C3"/>
    <w:rsid w:val="00E116A1"/>
    <w:rsid w:val="00E13EDA"/>
    <w:rsid w:val="00E22F5A"/>
    <w:rsid w:val="00E2376B"/>
    <w:rsid w:val="00E273C3"/>
    <w:rsid w:val="00E33296"/>
    <w:rsid w:val="00E36234"/>
    <w:rsid w:val="00E40699"/>
    <w:rsid w:val="00E4143F"/>
    <w:rsid w:val="00E503CA"/>
    <w:rsid w:val="00E61428"/>
    <w:rsid w:val="00E61436"/>
    <w:rsid w:val="00E72277"/>
    <w:rsid w:val="00E73F47"/>
    <w:rsid w:val="00E77D5C"/>
    <w:rsid w:val="00E80FFB"/>
    <w:rsid w:val="00EA0E43"/>
    <w:rsid w:val="00EB2569"/>
    <w:rsid w:val="00EC2BB0"/>
    <w:rsid w:val="00F01655"/>
    <w:rsid w:val="00F04FBD"/>
    <w:rsid w:val="00F066C2"/>
    <w:rsid w:val="00F078B0"/>
    <w:rsid w:val="00F1678C"/>
    <w:rsid w:val="00F16B8C"/>
    <w:rsid w:val="00F27911"/>
    <w:rsid w:val="00F564FC"/>
    <w:rsid w:val="00F60D2B"/>
    <w:rsid w:val="00F6150B"/>
    <w:rsid w:val="00F63A0D"/>
    <w:rsid w:val="00F65269"/>
    <w:rsid w:val="00F654B8"/>
    <w:rsid w:val="00F65985"/>
    <w:rsid w:val="00F67A80"/>
    <w:rsid w:val="00FB37BD"/>
    <w:rsid w:val="00FC266A"/>
    <w:rsid w:val="00FD1A68"/>
    <w:rsid w:val="00FD4774"/>
    <w:rsid w:val="00FD7C16"/>
    <w:rsid w:val="00FE1CDA"/>
    <w:rsid w:val="00FE4037"/>
    <w:rsid w:val="00FE57BF"/>
    <w:rsid w:val="00FF4DC1"/>
    <w:rsid w:val="012B4701"/>
    <w:rsid w:val="01A473FF"/>
    <w:rsid w:val="01D628BE"/>
    <w:rsid w:val="036A7762"/>
    <w:rsid w:val="037C716B"/>
    <w:rsid w:val="03930A79"/>
    <w:rsid w:val="03E219EE"/>
    <w:rsid w:val="04137DFA"/>
    <w:rsid w:val="066C1739"/>
    <w:rsid w:val="076C7F34"/>
    <w:rsid w:val="08A70B11"/>
    <w:rsid w:val="091A424A"/>
    <w:rsid w:val="09671F72"/>
    <w:rsid w:val="09E10052"/>
    <w:rsid w:val="09FB7366"/>
    <w:rsid w:val="0B15662E"/>
    <w:rsid w:val="0CDA7707"/>
    <w:rsid w:val="0F8B28D2"/>
    <w:rsid w:val="12AA1929"/>
    <w:rsid w:val="1384217A"/>
    <w:rsid w:val="14E629C1"/>
    <w:rsid w:val="150D0E85"/>
    <w:rsid w:val="155D48B9"/>
    <w:rsid w:val="160E6673"/>
    <w:rsid w:val="1708666A"/>
    <w:rsid w:val="19037FE5"/>
    <w:rsid w:val="19C24C2F"/>
    <w:rsid w:val="19F33BB6"/>
    <w:rsid w:val="1A8D7508"/>
    <w:rsid w:val="1AC437A4"/>
    <w:rsid w:val="1B5A59F0"/>
    <w:rsid w:val="1CFA16FF"/>
    <w:rsid w:val="1D5202A2"/>
    <w:rsid w:val="1E000793"/>
    <w:rsid w:val="1E370533"/>
    <w:rsid w:val="1F182311"/>
    <w:rsid w:val="1F5844BB"/>
    <w:rsid w:val="1F69491A"/>
    <w:rsid w:val="1F980D5B"/>
    <w:rsid w:val="1FA3063F"/>
    <w:rsid w:val="208D2876"/>
    <w:rsid w:val="20F46465"/>
    <w:rsid w:val="210B63F6"/>
    <w:rsid w:val="211D3DA7"/>
    <w:rsid w:val="21FB3F4F"/>
    <w:rsid w:val="22291FCF"/>
    <w:rsid w:val="22AB6B3F"/>
    <w:rsid w:val="23E00F22"/>
    <w:rsid w:val="24B0361B"/>
    <w:rsid w:val="267F67D1"/>
    <w:rsid w:val="2B822FEC"/>
    <w:rsid w:val="2BDA654F"/>
    <w:rsid w:val="2CA15303"/>
    <w:rsid w:val="2E7B3D35"/>
    <w:rsid w:val="2EA927A9"/>
    <w:rsid w:val="2EAB0AAB"/>
    <w:rsid w:val="2F991CA5"/>
    <w:rsid w:val="315076E8"/>
    <w:rsid w:val="35E674FA"/>
    <w:rsid w:val="3652180C"/>
    <w:rsid w:val="378659C1"/>
    <w:rsid w:val="37922808"/>
    <w:rsid w:val="38F60B75"/>
    <w:rsid w:val="3A2B2AA0"/>
    <w:rsid w:val="3B874CE3"/>
    <w:rsid w:val="3C3519B4"/>
    <w:rsid w:val="3DC6320C"/>
    <w:rsid w:val="3EFB0C93"/>
    <w:rsid w:val="3F7B000C"/>
    <w:rsid w:val="3FBDE036"/>
    <w:rsid w:val="3FF3309B"/>
    <w:rsid w:val="41B45A71"/>
    <w:rsid w:val="437E6337"/>
    <w:rsid w:val="44537B7B"/>
    <w:rsid w:val="45B846D6"/>
    <w:rsid w:val="46813FDD"/>
    <w:rsid w:val="47F008D6"/>
    <w:rsid w:val="48C46704"/>
    <w:rsid w:val="492D2391"/>
    <w:rsid w:val="49D62A28"/>
    <w:rsid w:val="49E8450A"/>
    <w:rsid w:val="4A6E0CD3"/>
    <w:rsid w:val="4AD60806"/>
    <w:rsid w:val="4BF74ED8"/>
    <w:rsid w:val="4C013FBC"/>
    <w:rsid w:val="4C5FC75B"/>
    <w:rsid w:val="4C7402D7"/>
    <w:rsid w:val="4C8B22A5"/>
    <w:rsid w:val="4F0F2539"/>
    <w:rsid w:val="4F1B7FA7"/>
    <w:rsid w:val="4F7C497F"/>
    <w:rsid w:val="51581605"/>
    <w:rsid w:val="529B7BC9"/>
    <w:rsid w:val="53E06252"/>
    <w:rsid w:val="55F10BEA"/>
    <w:rsid w:val="5C2B2A4F"/>
    <w:rsid w:val="5CC83CEB"/>
    <w:rsid w:val="5CEB76B4"/>
    <w:rsid w:val="5D464BE3"/>
    <w:rsid w:val="5DE30E18"/>
    <w:rsid w:val="5F3D2D8C"/>
    <w:rsid w:val="5FF39DF9"/>
    <w:rsid w:val="60B13450"/>
    <w:rsid w:val="60FE2644"/>
    <w:rsid w:val="625E7607"/>
    <w:rsid w:val="63021D41"/>
    <w:rsid w:val="63057A83"/>
    <w:rsid w:val="63AD76F5"/>
    <w:rsid w:val="64F551FD"/>
    <w:rsid w:val="657F3B1C"/>
    <w:rsid w:val="660D1128"/>
    <w:rsid w:val="66553BDD"/>
    <w:rsid w:val="67397F49"/>
    <w:rsid w:val="677671A1"/>
    <w:rsid w:val="691A4E3E"/>
    <w:rsid w:val="6E2D7E8C"/>
    <w:rsid w:val="6E712470"/>
    <w:rsid w:val="6E7B6E4B"/>
    <w:rsid w:val="6F024E2E"/>
    <w:rsid w:val="6F2A4AF9"/>
    <w:rsid w:val="701513F0"/>
    <w:rsid w:val="722B4B4E"/>
    <w:rsid w:val="72E5624E"/>
    <w:rsid w:val="752244C4"/>
    <w:rsid w:val="75285696"/>
    <w:rsid w:val="770045CD"/>
    <w:rsid w:val="77212C85"/>
    <w:rsid w:val="77534E09"/>
    <w:rsid w:val="775F515F"/>
    <w:rsid w:val="796B2DFE"/>
    <w:rsid w:val="7AB67B89"/>
    <w:rsid w:val="7CE26037"/>
    <w:rsid w:val="7D8C038C"/>
    <w:rsid w:val="7DD30D3F"/>
    <w:rsid w:val="7E1153D8"/>
    <w:rsid w:val="7EAB7A4E"/>
    <w:rsid w:val="7FA28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BCBE"/>
  <w15:docId w15:val="{A5AAC267-A09A-4AF3-85CC-FA35C8C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eastAsia="zh-CN"/>
    </w:rPr>
  </w:style>
  <w:style w:type="paragraph" w:styleId="ab">
    <w:name w:val="Normal (Web)"/>
    <w:basedOn w:val="a"/>
    <w:uiPriority w:val="99"/>
    <w:qFormat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4"/>
      <w:szCs w:val="24"/>
      <w:lang w:eastAsia="zh-CN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8">
    <w:name w:val="页脚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1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d">
    <w:name w:val="批注主题 字符"/>
    <w:basedOn w:val="a4"/>
    <w:link w:val="ac"/>
    <w:qFormat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a6">
    <w:name w:val="批注框文本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2">
    <w:name w:val="修订2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3">
    <w:name w:val="修订3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F2633F6-88A7-46F6-9DC9-9E6EF88E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李胜军</cp:lastModifiedBy>
  <cp:revision>4</cp:revision>
  <dcterms:created xsi:type="dcterms:W3CDTF">2025-04-30T15:42:00Z</dcterms:created>
  <dcterms:modified xsi:type="dcterms:W3CDTF">2025-09-01T09:36:00Z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2052-7.5.1.8994</vt:lpwstr>
  </property>
  <property fmtid="{D5CDD505-2E9C-101B-9397-08002B2CF9AE}" pid="5" name="ICV">
    <vt:lpwstr>64148A718BECC438D903B5680FD0177A_43</vt:lpwstr>
  </property>
  <property fmtid="{D5CDD505-2E9C-101B-9397-08002B2CF9AE}" pid="6" name="KSOTemplateDocerSaveRecord">
    <vt:lpwstr>eyJoZGlkIjoiNzU0YWEzZTBmNGEwMDVhOTBmODg2ZGQ4OWJjNTJiMGEiLCJ1c2VySWQiOiIzOTkwMDU2MjcifQ==</vt:lpwstr>
  </property>
</Properties>
</file>