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0BB37">
      <w:pPr>
        <w:pStyle w:val="2"/>
        <w:rPr>
          <w:color w:val="000000" w:themeColor="text1"/>
          <w14:textFill>
            <w14:solidFill>
              <w14:schemeClr w14:val="tx1"/>
            </w14:solidFill>
          </w14:textFill>
        </w:rPr>
      </w:pPr>
      <w:r>
        <w:rPr>
          <w:color w:val="000000" w:themeColor="text1"/>
          <w14:textFill>
            <w14:solidFill>
              <w14:schemeClr w14:val="tx1"/>
            </w14:solidFill>
          </w14:textFill>
        </w:rPr>
        <w:t>证券代码：600143                                   证券简称：金发科技</w:t>
      </w:r>
    </w:p>
    <w:p w14:paraId="1C0B17C1">
      <w:pPr>
        <w:spacing w:line="360" w:lineRule="auto"/>
        <w:jc w:val="center"/>
        <w:rPr>
          <w:rFonts w:ascii="Times New Roman" w:hAnsi="Times New Roman" w:eastAsia="宋体" w:cs="Times New Roman"/>
          <w:b/>
          <w:bCs/>
          <w:color w:val="000000" w:themeColor="text1"/>
          <w:sz w:val="44"/>
          <w:szCs w:val="44"/>
          <w14:textFill>
            <w14:solidFill>
              <w14:schemeClr w14:val="tx1"/>
            </w14:solidFill>
          </w14:textFill>
        </w:rPr>
      </w:pPr>
    </w:p>
    <w:p w14:paraId="709B1ABB">
      <w:pPr>
        <w:spacing w:line="360" w:lineRule="auto"/>
        <w:jc w:val="center"/>
        <w:rPr>
          <w:rFonts w:ascii="Times New Roman" w:hAnsi="Times New Roman" w:eastAsia="宋体" w:cs="Times New Roman"/>
          <w:b/>
          <w:bCs/>
          <w:color w:val="000000" w:themeColor="text1"/>
          <w:sz w:val="44"/>
          <w:szCs w:val="44"/>
          <w14:textFill>
            <w14:solidFill>
              <w14:schemeClr w14:val="tx1"/>
            </w14:solidFill>
          </w14:textFill>
        </w:rPr>
      </w:pPr>
      <w:r>
        <w:rPr>
          <w:rFonts w:ascii="Times New Roman" w:hAnsi="Times New Roman" w:eastAsia="宋体" w:cs="Times New Roman"/>
          <w:b/>
          <w:bCs/>
          <w:color w:val="000000" w:themeColor="text1"/>
          <w:sz w:val="44"/>
          <w:szCs w:val="44"/>
          <w14:textFill>
            <w14:solidFill>
              <w14:schemeClr w14:val="tx1"/>
            </w14:solidFill>
          </w14:textFill>
        </w:rPr>
        <w:t>金发科技股份有限公司</w:t>
      </w:r>
    </w:p>
    <w:p w14:paraId="095D6D0D">
      <w:pPr>
        <w:spacing w:line="360" w:lineRule="auto"/>
        <w:jc w:val="center"/>
        <w:rPr>
          <w:rFonts w:ascii="Times New Roman" w:hAnsi="Times New Roman" w:eastAsia="宋体" w:cs="Times New Roman"/>
          <w:color w:val="000000" w:themeColor="text1"/>
          <w:sz w:val="44"/>
          <w:szCs w:val="44"/>
          <w14:textFill>
            <w14:solidFill>
              <w14:schemeClr w14:val="tx1"/>
            </w14:solidFill>
          </w14:textFill>
        </w:rPr>
      </w:pPr>
      <w:r>
        <w:rPr>
          <w:rFonts w:ascii="Times New Roman" w:hAnsi="Times New Roman" w:eastAsia="宋体" w:cs="Times New Roman"/>
          <w:b/>
          <w:bCs/>
          <w:color w:val="000000" w:themeColor="text1"/>
          <w:sz w:val="44"/>
          <w:szCs w:val="44"/>
          <w14:textFill>
            <w14:solidFill>
              <w14:schemeClr w14:val="tx1"/>
            </w14:solidFill>
          </w14:textFill>
        </w:rPr>
        <w:t>投资者关系活动记录表</w:t>
      </w:r>
    </w:p>
    <w:p w14:paraId="602D3B9A">
      <w:pPr>
        <w:spacing w:before="120" w:after="32"/>
        <w:ind w:right="139"/>
        <w:jc w:val="righ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 编号：</w:t>
      </w:r>
      <w:r>
        <w:rPr>
          <w:rFonts w:ascii="Times New Roman" w:hAnsi="Times New Roman" w:eastAsia="宋体" w:cs="Times New Roman"/>
          <w:color w:val="000000" w:themeColor="text1"/>
          <w:sz w:val="24"/>
          <w:szCs w:val="24"/>
          <w:lang w:val="en-US"/>
          <w14:textFill>
            <w14:solidFill>
              <w14:schemeClr w14:val="tx1"/>
            </w14:solidFill>
          </w14:textFill>
        </w:rPr>
        <w:t>2025</w:t>
      </w:r>
      <w:r>
        <w:rPr>
          <w:rFonts w:ascii="Times New Roman" w:hAnsi="Times New Roman" w:eastAsia="宋体" w:cs="Times New Roman"/>
          <w:color w:val="000000" w:themeColor="text1"/>
          <w:sz w:val="24"/>
          <w:szCs w:val="24"/>
          <w14:textFill>
            <w14:solidFill>
              <w14:schemeClr w14:val="tx1"/>
            </w14:solidFill>
          </w14:textFill>
        </w:rPr>
        <w:t>-009</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0" w:type="dxa"/>
        </w:tblCellMar>
      </w:tblPr>
      <w:tblGrid>
        <w:gridCol w:w="1413"/>
        <w:gridCol w:w="7112"/>
      </w:tblGrid>
      <w:tr w14:paraId="53FD1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354" w:hRule="atLeast"/>
          <w:jc w:val="center"/>
        </w:trPr>
        <w:tc>
          <w:tcPr>
            <w:tcW w:w="1413" w:type="dxa"/>
            <w:vAlign w:val="center"/>
          </w:tcPr>
          <w:p w14:paraId="42545F68">
            <w:pPr>
              <w:pStyle w:val="13"/>
              <w:snapToGrid w:val="0"/>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投资者关系活动类别</w:t>
            </w:r>
          </w:p>
        </w:tc>
        <w:tc>
          <w:tcPr>
            <w:tcW w:w="7112" w:type="dxa"/>
            <w:vAlign w:val="center"/>
          </w:tcPr>
          <w:p w14:paraId="39DCF82A">
            <w:pPr>
              <w:pStyle w:val="13"/>
              <w:spacing w:line="240" w:lineRule="auto"/>
              <w:ind w:firstLine="0" w:firstLineChars="0"/>
              <w:rPr>
                <w:rFonts w:ascii="Times New Roman" w:hAnsi="Times New Roman" w:cs="Times New Roman"/>
                <w:b w:val="0"/>
                <w:sz w:val="24"/>
                <w:szCs w:val="24"/>
              </w:rPr>
            </w:pPr>
            <w:sdt>
              <w:sdtPr>
                <w:rPr>
                  <w:rFonts w:ascii="Times New Roman" w:hAnsi="Times New Roman" w:cs="Times New Roman"/>
                  <w:b w:val="0"/>
                  <w:sz w:val="24"/>
                  <w:szCs w:val="24"/>
                </w:rPr>
                <w:id w:val="249780449"/>
                <w14:checkbox>
                  <w14:checked w14:val="0"/>
                  <w14:checkedState w14:val="0052" w14:font="Wingdings 2"/>
                  <w14:uncheckedState w14:val="2610" w14:font="MS Gothic"/>
                </w14:checkbox>
              </w:sdtPr>
              <w:sdtEndPr>
                <w:rPr>
                  <w:rFonts w:ascii="Times New Roman" w:hAnsi="Times New Roman" w:cs="Times New Roman"/>
                  <w:b w:val="0"/>
                  <w:sz w:val="24"/>
                  <w:szCs w:val="24"/>
                </w:rPr>
              </w:sdtEndPr>
              <w:sdtContent>
                <w:r>
                  <w:rPr>
                    <w:rFonts w:ascii="Segoe UI Symbol" w:hAnsi="Segoe UI Symbol" w:eastAsia="MS Gothic" w:cs="Segoe UI Symbol"/>
                    <w:b w:val="0"/>
                    <w:sz w:val="24"/>
                    <w:szCs w:val="24"/>
                  </w:rPr>
                  <w:t>☐</w:t>
                </w:r>
              </w:sdtContent>
            </w:sdt>
            <w:r>
              <w:rPr>
                <w:rFonts w:ascii="Times New Roman" w:hAnsi="Times New Roman" w:cs="Times New Roman"/>
                <w:b w:val="0"/>
                <w:sz w:val="24"/>
                <w:szCs w:val="24"/>
              </w:rPr>
              <w:t>特</w:t>
            </w:r>
            <w:r>
              <w:rPr>
                <w:rFonts w:ascii="Times New Roman" w:hAnsi="Times New Roman" w:cs="Times New Roman"/>
                <w:b w:val="0"/>
                <w:spacing w:val="-3"/>
                <w:sz w:val="24"/>
                <w:szCs w:val="24"/>
              </w:rPr>
              <w:t>定</w:t>
            </w:r>
            <w:r>
              <w:rPr>
                <w:rFonts w:ascii="Times New Roman" w:hAnsi="Times New Roman" w:cs="Times New Roman"/>
                <w:b w:val="0"/>
                <w:sz w:val="24"/>
                <w:szCs w:val="24"/>
              </w:rPr>
              <w:t>对</w:t>
            </w:r>
            <w:r>
              <w:rPr>
                <w:rFonts w:ascii="Times New Roman" w:hAnsi="Times New Roman" w:cs="Times New Roman"/>
                <w:b w:val="0"/>
                <w:spacing w:val="-3"/>
                <w:sz w:val="24"/>
                <w:szCs w:val="24"/>
              </w:rPr>
              <w:t>象</w:t>
            </w:r>
            <w:r>
              <w:rPr>
                <w:rFonts w:ascii="Times New Roman" w:hAnsi="Times New Roman" w:cs="Times New Roman"/>
                <w:b w:val="0"/>
                <w:sz w:val="24"/>
                <w:szCs w:val="24"/>
              </w:rPr>
              <w:t xml:space="preserve">调研 </w:t>
            </w:r>
            <w:r>
              <w:rPr>
                <w:rFonts w:ascii="Times New Roman" w:hAnsi="Times New Roman" w:cs="Times New Roman"/>
                <w:b w:val="0"/>
                <w:sz w:val="24"/>
                <w:szCs w:val="24"/>
              </w:rPr>
              <w:tab/>
            </w:r>
            <w:sdt>
              <w:sdtPr>
                <w:rPr>
                  <w:rFonts w:ascii="Times New Roman" w:hAnsi="Times New Roman" w:cs="Times New Roman"/>
                  <w:b w:val="0"/>
                  <w:sz w:val="24"/>
                  <w:szCs w:val="24"/>
                </w:rPr>
                <w:id w:val="-416875725"/>
                <w14:checkbox>
                  <w14:checked w14:val="1"/>
                  <w14:checkedState w14:val="0052" w14:font="Wingdings 2"/>
                  <w14:uncheckedState w14:val="2610" w14:font="MS Gothic"/>
                </w14:checkbox>
              </w:sdtPr>
              <w:sdtEndPr>
                <w:rPr>
                  <w:rFonts w:ascii="Times New Roman" w:hAnsi="Times New Roman" w:cs="Times New Roman"/>
                  <w:b w:val="0"/>
                  <w:sz w:val="24"/>
                  <w:szCs w:val="24"/>
                </w:rPr>
              </w:sdtEndPr>
              <w:sdtContent>
                <w:r>
                  <w:rPr>
                    <w:rFonts w:ascii="Times New Roman" w:hAnsi="Times New Roman" w:cs="Times New Roman"/>
                    <w:b w:val="0"/>
                    <w:sz w:val="24"/>
                    <w:szCs w:val="24"/>
                  </w:rPr>
                  <w:sym w:font="Wingdings 2" w:char="F052"/>
                </w:r>
              </w:sdtContent>
            </w:sdt>
            <w:r>
              <w:rPr>
                <w:rFonts w:ascii="Times New Roman" w:hAnsi="Times New Roman" w:cs="Times New Roman"/>
                <w:b w:val="0"/>
                <w:sz w:val="24"/>
                <w:szCs w:val="24"/>
              </w:rPr>
              <w:t>分</w:t>
            </w:r>
            <w:r>
              <w:rPr>
                <w:rFonts w:ascii="Times New Roman" w:hAnsi="Times New Roman" w:cs="Times New Roman"/>
                <w:b w:val="0"/>
                <w:spacing w:val="-3"/>
                <w:sz w:val="24"/>
                <w:szCs w:val="24"/>
              </w:rPr>
              <w:t>析</w:t>
            </w:r>
            <w:r>
              <w:rPr>
                <w:rFonts w:ascii="Times New Roman" w:hAnsi="Times New Roman" w:cs="Times New Roman"/>
                <w:b w:val="0"/>
                <w:sz w:val="24"/>
                <w:szCs w:val="24"/>
              </w:rPr>
              <w:t>师</w:t>
            </w:r>
            <w:r>
              <w:rPr>
                <w:rFonts w:ascii="Times New Roman" w:hAnsi="Times New Roman" w:cs="Times New Roman"/>
                <w:b w:val="0"/>
                <w:spacing w:val="-3"/>
                <w:sz w:val="24"/>
                <w:szCs w:val="24"/>
              </w:rPr>
              <w:t>会</w:t>
            </w:r>
            <w:r>
              <w:rPr>
                <w:rFonts w:ascii="Times New Roman" w:hAnsi="Times New Roman" w:cs="Times New Roman"/>
                <w:b w:val="0"/>
                <w:sz w:val="24"/>
                <w:szCs w:val="24"/>
              </w:rPr>
              <w:t>议</w:t>
            </w:r>
          </w:p>
          <w:p w14:paraId="6D2945DC">
            <w:pPr>
              <w:pStyle w:val="13"/>
              <w:spacing w:line="240" w:lineRule="auto"/>
              <w:ind w:firstLine="0" w:firstLineChars="0"/>
              <w:rPr>
                <w:rFonts w:ascii="Times New Roman" w:hAnsi="Times New Roman" w:cs="Times New Roman"/>
                <w:b w:val="0"/>
                <w:sz w:val="24"/>
                <w:szCs w:val="24"/>
              </w:rPr>
            </w:pPr>
            <w:sdt>
              <w:sdtPr>
                <w:rPr>
                  <w:rFonts w:ascii="Times New Roman" w:hAnsi="Times New Roman" w:cs="Times New Roman"/>
                  <w:b w:val="0"/>
                  <w:sz w:val="24"/>
                  <w:szCs w:val="24"/>
                </w:rPr>
                <w:id w:val="1206906014"/>
                <w14:checkbox>
                  <w14:checked w14:val="0"/>
                  <w14:checkedState w14:val="0052" w14:font="Wingdings 2"/>
                  <w14:uncheckedState w14:val="2610" w14:font="MS Gothic"/>
                </w14:checkbox>
              </w:sdtPr>
              <w:sdtEndPr>
                <w:rPr>
                  <w:rFonts w:ascii="Times New Roman" w:hAnsi="Times New Roman" w:cs="Times New Roman"/>
                  <w:b w:val="0"/>
                  <w:sz w:val="24"/>
                  <w:szCs w:val="24"/>
                </w:rPr>
              </w:sdtEndPr>
              <w:sdtContent>
                <w:r>
                  <w:rPr>
                    <w:rFonts w:ascii="Segoe UI Symbol" w:hAnsi="Segoe UI Symbol" w:cs="Segoe UI Symbol"/>
                    <w:b w:val="0"/>
                    <w:sz w:val="24"/>
                    <w:szCs w:val="24"/>
                  </w:rPr>
                  <w:t>☐</w:t>
                </w:r>
              </w:sdtContent>
            </w:sdt>
            <w:r>
              <w:rPr>
                <w:rFonts w:ascii="Times New Roman" w:hAnsi="Times New Roman" w:cs="Times New Roman"/>
                <w:b w:val="0"/>
                <w:sz w:val="24"/>
                <w:szCs w:val="24"/>
              </w:rPr>
              <w:t>媒</w:t>
            </w:r>
            <w:r>
              <w:rPr>
                <w:rFonts w:ascii="Times New Roman" w:hAnsi="Times New Roman" w:cs="Times New Roman"/>
                <w:b w:val="0"/>
                <w:spacing w:val="-3"/>
                <w:sz w:val="24"/>
                <w:szCs w:val="24"/>
              </w:rPr>
              <w:t>体</w:t>
            </w:r>
            <w:r>
              <w:rPr>
                <w:rFonts w:ascii="Times New Roman" w:hAnsi="Times New Roman" w:cs="Times New Roman"/>
                <w:b w:val="0"/>
                <w:sz w:val="24"/>
                <w:szCs w:val="24"/>
              </w:rPr>
              <w:t xml:space="preserve">采访     </w:t>
            </w:r>
            <w:r>
              <w:rPr>
                <w:rFonts w:ascii="Times New Roman" w:hAnsi="Times New Roman" w:cs="Times New Roman"/>
                <w:b w:val="0"/>
                <w:sz w:val="24"/>
                <w:szCs w:val="24"/>
              </w:rPr>
              <w:tab/>
            </w:r>
            <w:sdt>
              <w:sdtPr>
                <w:rPr>
                  <w:rFonts w:ascii="Times New Roman" w:hAnsi="Times New Roman" w:cs="Times New Roman"/>
                  <w:b w:val="0"/>
                  <w:sz w:val="24"/>
                  <w:szCs w:val="24"/>
                </w:rPr>
                <w:id w:val="-66658901"/>
                <w14:checkbox>
                  <w14:checked w14:val="0"/>
                  <w14:checkedState w14:val="0052" w14:font="Wingdings 2"/>
                  <w14:uncheckedState w14:val="2610" w14:font="MS Gothic"/>
                </w14:checkbox>
              </w:sdtPr>
              <w:sdtEndPr>
                <w:rPr>
                  <w:rFonts w:ascii="Times New Roman" w:hAnsi="Times New Roman" w:cs="Times New Roman"/>
                  <w:b w:val="0"/>
                  <w:sz w:val="24"/>
                  <w:szCs w:val="24"/>
                </w:rPr>
              </w:sdtEndPr>
              <w:sdtContent>
                <w:r>
                  <w:rPr>
                    <w:rFonts w:ascii="Segoe UI Symbol" w:hAnsi="Segoe UI Symbol" w:cs="Segoe UI Symbol"/>
                    <w:b w:val="0"/>
                    <w:sz w:val="24"/>
                    <w:szCs w:val="24"/>
                  </w:rPr>
                  <w:t>☐</w:t>
                </w:r>
              </w:sdtContent>
            </w:sdt>
            <w:r>
              <w:rPr>
                <w:rFonts w:ascii="Times New Roman" w:hAnsi="Times New Roman" w:cs="Times New Roman"/>
                <w:b w:val="0"/>
                <w:sz w:val="24"/>
                <w:szCs w:val="24"/>
              </w:rPr>
              <w:t>业</w:t>
            </w:r>
            <w:r>
              <w:rPr>
                <w:rFonts w:ascii="Times New Roman" w:hAnsi="Times New Roman" w:cs="Times New Roman"/>
                <w:b w:val="0"/>
                <w:spacing w:val="-3"/>
                <w:sz w:val="24"/>
                <w:szCs w:val="24"/>
              </w:rPr>
              <w:t>绩</w:t>
            </w:r>
            <w:r>
              <w:rPr>
                <w:rFonts w:ascii="Times New Roman" w:hAnsi="Times New Roman" w:cs="Times New Roman"/>
                <w:b w:val="0"/>
                <w:sz w:val="24"/>
                <w:szCs w:val="24"/>
              </w:rPr>
              <w:t>说</w:t>
            </w:r>
            <w:r>
              <w:rPr>
                <w:rFonts w:ascii="Times New Roman" w:hAnsi="Times New Roman" w:cs="Times New Roman"/>
                <w:b w:val="0"/>
                <w:spacing w:val="-3"/>
                <w:sz w:val="24"/>
                <w:szCs w:val="24"/>
              </w:rPr>
              <w:t>明</w:t>
            </w:r>
            <w:r>
              <w:rPr>
                <w:rFonts w:ascii="Times New Roman" w:hAnsi="Times New Roman" w:cs="Times New Roman"/>
                <w:b w:val="0"/>
                <w:sz w:val="24"/>
                <w:szCs w:val="24"/>
              </w:rPr>
              <w:t>会</w:t>
            </w:r>
          </w:p>
          <w:p w14:paraId="636A0A9F">
            <w:pPr>
              <w:pStyle w:val="13"/>
              <w:spacing w:line="240" w:lineRule="auto"/>
              <w:ind w:firstLine="0" w:firstLineChars="0"/>
              <w:rPr>
                <w:rFonts w:ascii="Times New Roman" w:hAnsi="Times New Roman" w:cs="Times New Roman"/>
                <w:b w:val="0"/>
                <w:sz w:val="24"/>
                <w:szCs w:val="24"/>
              </w:rPr>
            </w:pPr>
            <w:sdt>
              <w:sdtPr>
                <w:rPr>
                  <w:rFonts w:ascii="Times New Roman" w:hAnsi="Times New Roman" w:cs="Times New Roman"/>
                  <w:b w:val="0"/>
                  <w:sz w:val="24"/>
                  <w:szCs w:val="24"/>
                </w:rPr>
                <w:id w:val="-1848167434"/>
                <w14:checkbox>
                  <w14:checked w14:val="0"/>
                  <w14:checkedState w14:val="0052" w14:font="Wingdings 2"/>
                  <w14:uncheckedState w14:val="2610" w14:font="MS Gothic"/>
                </w14:checkbox>
              </w:sdtPr>
              <w:sdtEndPr>
                <w:rPr>
                  <w:rFonts w:ascii="Times New Roman" w:hAnsi="Times New Roman" w:cs="Times New Roman"/>
                  <w:b w:val="0"/>
                  <w:sz w:val="24"/>
                  <w:szCs w:val="24"/>
                </w:rPr>
              </w:sdtEndPr>
              <w:sdtContent>
                <w:r>
                  <w:rPr>
                    <w:rFonts w:ascii="Segoe UI Symbol" w:hAnsi="Segoe UI Symbol" w:cs="Segoe UI Symbol"/>
                    <w:b w:val="0"/>
                    <w:sz w:val="24"/>
                    <w:szCs w:val="24"/>
                  </w:rPr>
                  <w:t>☐</w:t>
                </w:r>
              </w:sdtContent>
            </w:sdt>
            <w:r>
              <w:rPr>
                <w:rFonts w:ascii="Times New Roman" w:hAnsi="Times New Roman" w:cs="Times New Roman"/>
                <w:b w:val="0"/>
                <w:sz w:val="24"/>
                <w:szCs w:val="24"/>
              </w:rPr>
              <w:t>新</w:t>
            </w:r>
            <w:r>
              <w:rPr>
                <w:rFonts w:ascii="Times New Roman" w:hAnsi="Times New Roman" w:cs="Times New Roman"/>
                <w:b w:val="0"/>
                <w:spacing w:val="-3"/>
                <w:sz w:val="24"/>
                <w:szCs w:val="24"/>
              </w:rPr>
              <w:t>闻</w:t>
            </w:r>
            <w:r>
              <w:rPr>
                <w:rFonts w:ascii="Times New Roman" w:hAnsi="Times New Roman" w:cs="Times New Roman"/>
                <w:b w:val="0"/>
                <w:sz w:val="24"/>
                <w:szCs w:val="24"/>
              </w:rPr>
              <w:t>发</w:t>
            </w:r>
            <w:r>
              <w:rPr>
                <w:rFonts w:ascii="Times New Roman" w:hAnsi="Times New Roman" w:cs="Times New Roman"/>
                <w:b w:val="0"/>
                <w:spacing w:val="-3"/>
                <w:sz w:val="24"/>
                <w:szCs w:val="24"/>
              </w:rPr>
              <w:t>布</w:t>
            </w:r>
            <w:r>
              <w:rPr>
                <w:rFonts w:ascii="Times New Roman" w:hAnsi="Times New Roman" w:cs="Times New Roman"/>
                <w:b w:val="0"/>
                <w:sz w:val="24"/>
                <w:szCs w:val="24"/>
              </w:rPr>
              <w:t xml:space="preserve">会   </w:t>
            </w:r>
            <w:r>
              <w:rPr>
                <w:rFonts w:ascii="Times New Roman" w:hAnsi="Times New Roman" w:cs="Times New Roman"/>
                <w:b w:val="0"/>
                <w:sz w:val="24"/>
                <w:szCs w:val="24"/>
              </w:rPr>
              <w:tab/>
            </w:r>
            <w:sdt>
              <w:sdtPr>
                <w:rPr>
                  <w:rFonts w:ascii="Times New Roman" w:hAnsi="Times New Roman" w:cs="Times New Roman"/>
                  <w:b w:val="0"/>
                  <w:sz w:val="24"/>
                  <w:szCs w:val="24"/>
                </w:rPr>
                <w:id w:val="412049691"/>
                <w14:checkbox>
                  <w14:checked w14:val="1"/>
                  <w14:checkedState w14:val="0052" w14:font="Wingdings 2"/>
                  <w14:uncheckedState w14:val="2610" w14:font="MS Gothic"/>
                </w14:checkbox>
              </w:sdtPr>
              <w:sdtEndPr>
                <w:rPr>
                  <w:rFonts w:ascii="Times New Roman" w:hAnsi="Times New Roman" w:cs="Times New Roman"/>
                  <w:b w:val="0"/>
                  <w:sz w:val="24"/>
                  <w:szCs w:val="24"/>
                </w:rPr>
              </w:sdtEndPr>
              <w:sdtContent>
                <w:r>
                  <w:rPr>
                    <w:rFonts w:ascii="Times New Roman" w:hAnsi="Times New Roman" w:cs="Times New Roman"/>
                    <w:b w:val="0"/>
                    <w:sz w:val="24"/>
                    <w:szCs w:val="24"/>
                  </w:rPr>
                  <w:sym w:font="Wingdings 2" w:char="F052"/>
                </w:r>
              </w:sdtContent>
            </w:sdt>
            <w:r>
              <w:rPr>
                <w:rFonts w:ascii="Times New Roman" w:hAnsi="Times New Roman" w:cs="Times New Roman"/>
                <w:b w:val="0"/>
                <w:sz w:val="24"/>
                <w:szCs w:val="24"/>
              </w:rPr>
              <w:t>路</w:t>
            </w:r>
            <w:r>
              <w:rPr>
                <w:rFonts w:ascii="Times New Roman" w:hAnsi="Times New Roman" w:cs="Times New Roman"/>
                <w:b w:val="0"/>
                <w:spacing w:val="-3"/>
                <w:sz w:val="24"/>
                <w:szCs w:val="24"/>
              </w:rPr>
              <w:t>演</w:t>
            </w:r>
            <w:r>
              <w:rPr>
                <w:rFonts w:ascii="Times New Roman" w:hAnsi="Times New Roman" w:cs="Times New Roman"/>
                <w:b w:val="0"/>
                <w:sz w:val="24"/>
                <w:szCs w:val="24"/>
              </w:rPr>
              <w:t>活动</w:t>
            </w:r>
          </w:p>
          <w:p w14:paraId="76265FC8">
            <w:pPr>
              <w:pStyle w:val="13"/>
              <w:spacing w:line="240" w:lineRule="auto"/>
              <w:ind w:firstLine="0" w:firstLineChars="0"/>
              <w:rPr>
                <w:rFonts w:ascii="Times New Roman" w:hAnsi="Times New Roman" w:cs="Times New Roman"/>
                <w:b w:val="0"/>
                <w:sz w:val="24"/>
                <w:szCs w:val="24"/>
              </w:rPr>
            </w:pPr>
            <w:sdt>
              <w:sdtPr>
                <w:rPr>
                  <w:rFonts w:ascii="Times New Roman" w:hAnsi="Times New Roman" w:cs="Times New Roman"/>
                  <w:b w:val="0"/>
                  <w:sz w:val="24"/>
                  <w:szCs w:val="24"/>
                </w:rPr>
                <w:id w:val="-1333366911"/>
                <w14:checkbox>
                  <w14:checked w14:val="0"/>
                  <w14:checkedState w14:val="0052" w14:font="Wingdings 2"/>
                  <w14:uncheckedState w14:val="2610" w14:font="MS Gothic"/>
                </w14:checkbox>
              </w:sdtPr>
              <w:sdtEndPr>
                <w:rPr>
                  <w:rFonts w:ascii="Times New Roman" w:hAnsi="Times New Roman" w:cs="Times New Roman"/>
                  <w:b w:val="0"/>
                  <w:sz w:val="24"/>
                  <w:szCs w:val="24"/>
                </w:rPr>
              </w:sdtEndPr>
              <w:sdtContent>
                <w:r>
                  <w:rPr>
                    <w:rFonts w:ascii="Segoe UI Symbol" w:hAnsi="Segoe UI Symbol" w:eastAsia="MS Gothic" w:cs="Segoe UI Symbol"/>
                    <w:b w:val="0"/>
                    <w:sz w:val="24"/>
                    <w:szCs w:val="24"/>
                  </w:rPr>
                  <w:t>☐</w:t>
                </w:r>
              </w:sdtContent>
            </w:sdt>
            <w:r>
              <w:rPr>
                <w:rFonts w:ascii="Times New Roman" w:hAnsi="Times New Roman" w:cs="Times New Roman"/>
                <w:b w:val="0"/>
                <w:sz w:val="24"/>
                <w:szCs w:val="24"/>
              </w:rPr>
              <w:t>现场参观</w:t>
            </w:r>
          </w:p>
          <w:p w14:paraId="39357CAF">
            <w:pPr>
              <w:pStyle w:val="13"/>
              <w:spacing w:line="240" w:lineRule="auto"/>
              <w:ind w:firstLine="0" w:firstLineChars="0"/>
              <w:rPr>
                <w:rFonts w:ascii="Times New Roman" w:hAnsi="Times New Roman" w:cs="Times New Roman"/>
                <w:sz w:val="24"/>
                <w:szCs w:val="24"/>
              </w:rPr>
            </w:pPr>
            <w:sdt>
              <w:sdtPr>
                <w:rPr>
                  <w:rFonts w:ascii="Times New Roman" w:hAnsi="Times New Roman" w:cs="Times New Roman"/>
                  <w:b w:val="0"/>
                  <w:sz w:val="24"/>
                  <w:szCs w:val="24"/>
                </w:rPr>
                <w:id w:val="400885218"/>
                <w14:checkbox>
                  <w14:checked w14:val="0"/>
                  <w14:checkedState w14:val="0052" w14:font="Wingdings 2"/>
                  <w14:uncheckedState w14:val="2610" w14:font="MS Gothic"/>
                </w14:checkbox>
              </w:sdtPr>
              <w:sdtEndPr>
                <w:rPr>
                  <w:rFonts w:ascii="Times New Roman" w:hAnsi="Times New Roman" w:cs="Times New Roman"/>
                  <w:b w:val="0"/>
                  <w:sz w:val="24"/>
                  <w:szCs w:val="24"/>
                </w:rPr>
              </w:sdtEndPr>
              <w:sdtContent>
                <w:r>
                  <w:rPr>
                    <w:rFonts w:ascii="Segoe UI Symbol" w:hAnsi="Segoe UI Symbol" w:cs="Segoe UI Symbol"/>
                    <w:b w:val="0"/>
                    <w:sz w:val="24"/>
                    <w:szCs w:val="24"/>
                  </w:rPr>
                  <w:t>☐</w:t>
                </w:r>
              </w:sdtContent>
            </w:sdt>
            <w:r>
              <w:rPr>
                <w:rFonts w:ascii="Times New Roman" w:hAnsi="Times New Roman" w:cs="Times New Roman"/>
                <w:b w:val="0"/>
                <w:sz w:val="24"/>
                <w:szCs w:val="24"/>
              </w:rPr>
              <w:t>其他（请文字说明其他活动内容）</w:t>
            </w:r>
          </w:p>
        </w:tc>
      </w:tr>
      <w:tr w14:paraId="5003B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54" w:hRule="atLeast"/>
          <w:jc w:val="center"/>
        </w:trPr>
        <w:tc>
          <w:tcPr>
            <w:tcW w:w="1413" w:type="dxa"/>
            <w:vAlign w:val="center"/>
          </w:tcPr>
          <w:p w14:paraId="2F748526">
            <w:pPr>
              <w:pStyle w:val="13"/>
              <w:snapToGrid w:val="0"/>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参与单位及人员名称</w:t>
            </w:r>
          </w:p>
        </w:tc>
        <w:tc>
          <w:tcPr>
            <w:tcW w:w="7112" w:type="dxa"/>
            <w:vAlign w:val="center"/>
          </w:tcPr>
          <w:p w14:paraId="32D5D2C6">
            <w:pPr>
              <w:pStyle w:val="13"/>
              <w:snapToGrid w:val="0"/>
              <w:spacing w:line="240" w:lineRule="auto"/>
              <w:ind w:firstLine="0" w:firstLineChars="0"/>
              <w:jc w:val="left"/>
              <w:rPr>
                <w:rFonts w:ascii="Times New Roman" w:hAnsi="Times New Roman" w:cs="Times New Roman"/>
                <w:b w:val="0"/>
                <w:sz w:val="24"/>
                <w:szCs w:val="24"/>
              </w:rPr>
            </w:pPr>
            <w:r>
              <w:rPr>
                <w:rFonts w:ascii="Times New Roman" w:hAnsi="Times New Roman" w:cs="Times New Roman"/>
                <w:b w:val="0"/>
                <w:sz w:val="24"/>
                <w:szCs w:val="24"/>
              </w:rPr>
              <w:t>共60家机构，74人次，详情请见附件</w:t>
            </w:r>
          </w:p>
        </w:tc>
      </w:tr>
      <w:tr w14:paraId="5EC88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677" w:hRule="atLeast"/>
          <w:jc w:val="center"/>
        </w:trPr>
        <w:tc>
          <w:tcPr>
            <w:tcW w:w="1413" w:type="dxa"/>
            <w:vAlign w:val="center"/>
          </w:tcPr>
          <w:p w14:paraId="3AABA83E">
            <w:pPr>
              <w:pStyle w:val="13"/>
              <w:snapToGrid w:val="0"/>
              <w:spacing w:line="240" w:lineRule="auto"/>
              <w:ind w:firstLine="0" w:firstLineChars="0"/>
              <w:jc w:val="center"/>
              <w:rPr>
                <w:rFonts w:ascii="Times New Roman" w:hAnsi="Times New Roman" w:cs="Times New Roman"/>
                <w:color w:val="auto"/>
                <w:sz w:val="24"/>
                <w:szCs w:val="24"/>
              </w:rPr>
            </w:pPr>
            <w:r>
              <w:rPr>
                <w:rFonts w:ascii="Times New Roman" w:hAnsi="Times New Roman" w:cs="Times New Roman"/>
                <w:color w:val="auto"/>
                <w:sz w:val="24"/>
                <w:szCs w:val="24"/>
              </w:rPr>
              <w:t>时间</w:t>
            </w:r>
          </w:p>
        </w:tc>
        <w:tc>
          <w:tcPr>
            <w:tcW w:w="7112" w:type="dxa"/>
            <w:vAlign w:val="center"/>
          </w:tcPr>
          <w:p w14:paraId="666228EA">
            <w:pPr>
              <w:rPr>
                <w:rFonts w:ascii="Times New Roman" w:hAnsi="Times New Roman" w:cs="Times New Roman"/>
                <w:sz w:val="24"/>
                <w:szCs w:val="24"/>
              </w:rPr>
            </w:pPr>
            <w:r>
              <w:rPr>
                <w:rFonts w:ascii="Times New Roman" w:hAnsi="Times New Roman" w:cs="Times New Roman" w:eastAsiaTheme="minorEastAsia"/>
                <w:sz w:val="24"/>
                <w:szCs w:val="24"/>
              </w:rPr>
              <w:t>2025年8月26日 10:00-11:00</w:t>
            </w:r>
          </w:p>
        </w:tc>
      </w:tr>
      <w:tr w14:paraId="778D3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283" w:hRule="atLeast"/>
          <w:jc w:val="center"/>
        </w:trPr>
        <w:tc>
          <w:tcPr>
            <w:tcW w:w="1413" w:type="dxa"/>
            <w:vAlign w:val="center"/>
          </w:tcPr>
          <w:p w14:paraId="4D6603EC">
            <w:pPr>
              <w:pStyle w:val="13"/>
              <w:snapToGrid w:val="0"/>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地点</w:t>
            </w:r>
          </w:p>
        </w:tc>
        <w:tc>
          <w:tcPr>
            <w:tcW w:w="7112" w:type="dxa"/>
            <w:vAlign w:val="center"/>
          </w:tcPr>
          <w:p w14:paraId="5DB15816">
            <w:pPr>
              <w:pStyle w:val="13"/>
              <w:spacing w:line="240" w:lineRule="auto"/>
              <w:ind w:firstLine="0" w:firstLineChars="0"/>
              <w:jc w:val="left"/>
              <w:rPr>
                <w:rFonts w:ascii="Times New Roman" w:hAnsi="Times New Roman" w:cs="Times New Roman"/>
                <w:b w:val="0"/>
                <w:sz w:val="24"/>
                <w:szCs w:val="24"/>
                <w:lang w:val="en-US"/>
              </w:rPr>
            </w:pPr>
            <w:r>
              <w:rPr>
                <w:rFonts w:ascii="Times New Roman" w:hAnsi="Times New Roman" w:cs="Times New Roman"/>
                <w:b w:val="0"/>
                <w:sz w:val="24"/>
                <w:szCs w:val="24"/>
                <w:lang w:val="en-US"/>
              </w:rPr>
              <w:t>通过价值在线网络平台（网址：www.ir-online.cn）召开了2025</w:t>
            </w:r>
            <w:r>
              <w:rPr>
                <w:rFonts w:hint="eastAsia" w:ascii="Times New Roman" w:hAnsi="Times New Roman" w:cs="Times New Roman"/>
                <w:b w:val="0"/>
                <w:sz w:val="24"/>
                <w:szCs w:val="24"/>
                <w:lang w:val="en-US"/>
              </w:rPr>
              <w:t>年半年报</w:t>
            </w:r>
            <w:r>
              <w:rPr>
                <w:rFonts w:ascii="Times New Roman" w:hAnsi="Times New Roman" w:cs="Times New Roman"/>
                <w:b w:val="0"/>
                <w:sz w:val="24"/>
                <w:szCs w:val="24"/>
                <w:lang w:val="en-US"/>
              </w:rPr>
              <w:t>业绩交流会，本次交流会采用网络及电话会议的形式</w:t>
            </w:r>
          </w:p>
        </w:tc>
      </w:tr>
      <w:tr w14:paraId="285D7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226" w:hRule="atLeast"/>
          <w:jc w:val="center"/>
        </w:trPr>
        <w:tc>
          <w:tcPr>
            <w:tcW w:w="1413" w:type="dxa"/>
            <w:vAlign w:val="center"/>
          </w:tcPr>
          <w:p w14:paraId="00A94D69">
            <w:pPr>
              <w:pStyle w:val="13"/>
              <w:snapToGrid w:val="0"/>
              <w:ind w:firstLine="0" w:firstLineChars="0"/>
              <w:jc w:val="center"/>
              <w:rPr>
                <w:rFonts w:ascii="Times New Roman" w:hAnsi="Times New Roman" w:cs="Times New Roman"/>
                <w:sz w:val="24"/>
                <w:szCs w:val="24"/>
              </w:rPr>
            </w:pPr>
            <w:r>
              <w:rPr>
                <w:rFonts w:ascii="Times New Roman" w:hAnsi="Times New Roman" w:cs="Times New Roman"/>
                <w:sz w:val="24"/>
                <w:szCs w:val="24"/>
              </w:rPr>
              <w:t>上市公司接待人员姓名</w:t>
            </w:r>
          </w:p>
        </w:tc>
        <w:tc>
          <w:tcPr>
            <w:tcW w:w="7112" w:type="dxa"/>
            <w:vAlign w:val="center"/>
          </w:tcPr>
          <w:p w14:paraId="7A0B6638">
            <w:pPr>
              <w:pStyle w:val="13"/>
              <w:snapToGrid w:val="0"/>
              <w:ind w:firstLine="0" w:firstLineChars="0"/>
              <w:jc w:val="left"/>
              <w:rPr>
                <w:rFonts w:ascii="Times New Roman" w:hAnsi="Times New Roman" w:cs="Times New Roman"/>
                <w:b w:val="0"/>
                <w:sz w:val="24"/>
                <w:szCs w:val="24"/>
              </w:rPr>
            </w:pPr>
            <w:r>
              <w:rPr>
                <w:rFonts w:ascii="Times New Roman" w:hAnsi="Times New Roman" w:cs="Times New Roman"/>
                <w:b w:val="0"/>
                <w:sz w:val="24"/>
                <w:szCs w:val="24"/>
              </w:rPr>
              <w:t>董事会秘书：戴耀珊</w:t>
            </w:r>
          </w:p>
          <w:p w14:paraId="6960244C">
            <w:pPr>
              <w:pStyle w:val="13"/>
              <w:snapToGrid w:val="0"/>
              <w:ind w:firstLine="0" w:firstLineChars="0"/>
              <w:jc w:val="left"/>
              <w:rPr>
                <w:rFonts w:ascii="Times New Roman" w:hAnsi="Times New Roman" w:cs="Times New Roman"/>
                <w:b w:val="0"/>
                <w:sz w:val="24"/>
                <w:szCs w:val="24"/>
              </w:rPr>
            </w:pPr>
            <w:r>
              <w:rPr>
                <w:rFonts w:ascii="Times New Roman" w:hAnsi="Times New Roman" w:cs="Times New Roman"/>
                <w:b w:val="0"/>
                <w:sz w:val="24"/>
                <w:szCs w:val="24"/>
              </w:rPr>
              <w:t>投资者关系总监：韦治池</w:t>
            </w:r>
          </w:p>
        </w:tc>
      </w:tr>
      <w:tr w14:paraId="11F28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413" w:type="dxa"/>
            <w:vAlign w:val="center"/>
          </w:tcPr>
          <w:p w14:paraId="24F8362B">
            <w:pPr>
              <w:pStyle w:val="13"/>
              <w:snapToGrid w:val="0"/>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投资者关系活动主要内容介绍</w:t>
            </w:r>
          </w:p>
        </w:tc>
        <w:tc>
          <w:tcPr>
            <w:tcW w:w="7112" w:type="dxa"/>
            <w:vAlign w:val="center"/>
          </w:tcPr>
          <w:p w14:paraId="1F20917F">
            <w:pPr>
              <w:pStyle w:val="13"/>
              <w:spacing w:before="240" w:beforeLines="100" w:after="120" w:afterLines="50"/>
              <w:ind w:firstLine="482"/>
              <w:rPr>
                <w:rFonts w:ascii="Times New Roman" w:hAnsi="Times New Roman" w:cs="Times New Roman" w:eastAsiaTheme="minorEastAsia"/>
                <w:sz w:val="24"/>
                <w:szCs w:val="24"/>
              </w:rPr>
            </w:pPr>
            <w:r>
              <w:rPr>
                <w:rFonts w:ascii="Times New Roman" w:hAnsi="Times New Roman" w:cs="Times New Roman" w:eastAsiaTheme="minorEastAsia"/>
                <w:sz w:val="24"/>
                <w:szCs w:val="24"/>
              </w:rPr>
              <w:t>一、公司2025年</w:t>
            </w:r>
            <w:r>
              <w:rPr>
                <w:rFonts w:hint="eastAsia" w:ascii="Times New Roman" w:hAnsi="Times New Roman" w:cs="Times New Roman" w:eastAsiaTheme="minorEastAsia"/>
                <w:sz w:val="24"/>
                <w:szCs w:val="24"/>
              </w:rPr>
              <w:t>上半年</w:t>
            </w:r>
            <w:r>
              <w:rPr>
                <w:rFonts w:ascii="Times New Roman" w:hAnsi="Times New Roman" w:cs="Times New Roman" w:eastAsiaTheme="minorEastAsia"/>
                <w:sz w:val="24"/>
                <w:szCs w:val="24"/>
              </w:rPr>
              <w:t>经营情况介绍</w:t>
            </w:r>
          </w:p>
          <w:p w14:paraId="097141D1">
            <w:pPr>
              <w:pStyle w:val="13"/>
              <w:ind w:firstLine="480"/>
              <w:rPr>
                <w:rFonts w:ascii="Times New Roman" w:hAnsi="Times New Roman" w:cs="Times New Roman" w:eastAsiaTheme="minorEastAsia"/>
                <w:b w:val="0"/>
                <w:sz w:val="24"/>
                <w:szCs w:val="24"/>
              </w:rPr>
            </w:pPr>
            <w:r>
              <w:rPr>
                <w:rFonts w:hint="eastAsia" w:ascii="Times New Roman" w:hAnsi="Times New Roman" w:cs="Times New Roman" w:eastAsiaTheme="minorEastAsia"/>
                <w:b w:val="0"/>
                <w:sz w:val="24"/>
                <w:szCs w:val="24"/>
              </w:rPr>
              <w:t>2</w:t>
            </w:r>
            <w:r>
              <w:rPr>
                <w:rFonts w:ascii="Times New Roman" w:hAnsi="Times New Roman" w:cs="Times New Roman" w:eastAsiaTheme="minorEastAsia"/>
                <w:b w:val="0"/>
                <w:sz w:val="24"/>
                <w:szCs w:val="24"/>
              </w:rPr>
              <w:t>025</w:t>
            </w:r>
            <w:r>
              <w:rPr>
                <w:rFonts w:hint="eastAsia" w:ascii="Times New Roman" w:hAnsi="Times New Roman" w:cs="Times New Roman" w:eastAsiaTheme="minorEastAsia"/>
                <w:b w:val="0"/>
                <w:sz w:val="24"/>
                <w:szCs w:val="24"/>
              </w:rPr>
              <w:t>年上半年，公司积极落实“聚焦创新驱动，提升组织效能，加速国际化进程”的年度管理主题，围绕新质生产力加强科技创新，进一步提升一体化产业链优势，积极响应国家的“双碳”战略和“两新”政策，依托全球领先的应用创新能力，为全球客户提供了更具竞争力的新材料整体解决方案，实现了市场份额和净利润的稳步提升，其中营业收入</w:t>
            </w:r>
            <w:r>
              <w:rPr>
                <w:rFonts w:ascii="Times New Roman" w:hAnsi="Times New Roman" w:cs="Times New Roman" w:eastAsiaTheme="minorEastAsia"/>
                <w:b w:val="0"/>
                <w:sz w:val="24"/>
                <w:szCs w:val="24"/>
              </w:rPr>
              <w:t>316.36亿元，同比增长35.50%；归母净利润5.85亿元，同比增长54.12%。</w:t>
            </w:r>
          </w:p>
          <w:p w14:paraId="67F7A8B9">
            <w:pPr>
              <w:pStyle w:val="13"/>
              <w:ind w:firstLine="480"/>
              <w:rPr>
                <w:rFonts w:ascii="Times New Roman" w:hAnsi="Times New Roman" w:cs="Times New Roman" w:eastAsiaTheme="minorEastAsia"/>
                <w:b w:val="0"/>
                <w:sz w:val="24"/>
                <w:szCs w:val="24"/>
              </w:rPr>
            </w:pPr>
            <w:r>
              <w:rPr>
                <w:rFonts w:hint="eastAsia" w:ascii="Times New Roman" w:hAnsi="Times New Roman" w:cs="Times New Roman" w:eastAsiaTheme="minorEastAsia"/>
                <w:b w:val="0"/>
                <w:sz w:val="24"/>
                <w:szCs w:val="24"/>
              </w:rPr>
              <w:t>2</w:t>
            </w:r>
            <w:r>
              <w:rPr>
                <w:rFonts w:ascii="Times New Roman" w:hAnsi="Times New Roman" w:cs="Times New Roman" w:eastAsiaTheme="minorEastAsia"/>
                <w:b w:val="0"/>
                <w:sz w:val="24"/>
                <w:szCs w:val="24"/>
              </w:rPr>
              <w:t>025</w:t>
            </w:r>
            <w:r>
              <w:rPr>
                <w:rFonts w:hint="eastAsia" w:ascii="Times New Roman" w:hAnsi="Times New Roman" w:cs="Times New Roman" w:eastAsiaTheme="minorEastAsia"/>
                <w:b w:val="0"/>
                <w:sz w:val="24"/>
                <w:szCs w:val="24"/>
              </w:rPr>
              <w:t>年上半年，公司全球化战略布局成效显著，正加速推进海外本土化供应，持续提升本地化服务。越南工厂实现大规模生产，西班牙工厂顺利投入使用，印尼工厂也已建成即将开启运营，这一系列举措进一步提升了公司产品的全球竞争力，有效扩大了市场影响力。美国金发、欧洲金发、印度金发、越南金发、马来西亚金发等海外基地协同作战、高效配合，取得了显著的经营成果，市场份额大幅提升。公司海外业务实现产成品销量</w:t>
            </w:r>
            <w:r>
              <w:rPr>
                <w:rFonts w:ascii="Times New Roman" w:hAnsi="Times New Roman" w:cs="Times New Roman" w:eastAsiaTheme="minorEastAsia"/>
                <w:b w:val="0"/>
                <w:sz w:val="24"/>
                <w:szCs w:val="24"/>
              </w:rPr>
              <w:t>16.10万吨，同比增长33.17%。</w:t>
            </w:r>
          </w:p>
          <w:p w14:paraId="5964BA2B">
            <w:pPr>
              <w:pStyle w:val="13"/>
              <w:spacing w:before="120" w:beforeLines="50" w:after="120" w:afterLines="50"/>
              <w:ind w:firstLine="482"/>
              <w:rPr>
                <w:rFonts w:ascii="Times New Roman" w:hAnsi="Times New Roman" w:cs="Times New Roman" w:eastAsiaTheme="minorEastAsia"/>
                <w:sz w:val="24"/>
                <w:szCs w:val="24"/>
              </w:rPr>
            </w:pPr>
            <w:r>
              <w:rPr>
                <w:rFonts w:ascii="Times New Roman" w:hAnsi="Times New Roman" w:cs="Times New Roman" w:eastAsiaTheme="minorEastAsia"/>
                <w:sz w:val="24"/>
                <w:szCs w:val="24"/>
              </w:rPr>
              <w:t>二、投资者提问及公司回复的主要内容</w:t>
            </w:r>
          </w:p>
          <w:p w14:paraId="457B6AFE">
            <w:pPr>
              <w:pStyle w:val="13"/>
              <w:ind w:firstLine="482"/>
              <w:rPr>
                <w:rFonts w:ascii="Times New Roman" w:hAnsi="Times New Roman" w:cs="Times New Roman" w:eastAsiaTheme="minorEastAsia"/>
                <w:sz w:val="24"/>
                <w:szCs w:val="24"/>
              </w:rPr>
            </w:pPr>
            <w:r>
              <w:rPr>
                <w:rFonts w:ascii="Times New Roman" w:hAnsi="Times New Roman" w:cs="Times New Roman" w:eastAsiaTheme="minorEastAsia"/>
                <w:sz w:val="24"/>
                <w:szCs w:val="24"/>
              </w:rPr>
              <w:t>1.请问公司下半年石化</w:t>
            </w:r>
            <w:r>
              <w:rPr>
                <w:rFonts w:hint="eastAsia" w:ascii="Times New Roman" w:hAnsi="Times New Roman" w:cs="Times New Roman" w:eastAsiaTheme="minorEastAsia"/>
                <w:sz w:val="24"/>
                <w:szCs w:val="24"/>
              </w:rPr>
              <w:t>项目的改性</w:t>
            </w:r>
            <w:r>
              <w:rPr>
                <w:rFonts w:ascii="Times New Roman" w:hAnsi="Times New Roman" w:cs="Times New Roman" w:eastAsiaTheme="minorEastAsia"/>
                <w:sz w:val="24"/>
                <w:szCs w:val="24"/>
              </w:rPr>
              <w:t>一体化</w:t>
            </w:r>
            <w:r>
              <w:rPr>
                <w:rFonts w:hint="eastAsia" w:ascii="Times New Roman" w:hAnsi="Times New Roman" w:cs="Times New Roman" w:eastAsiaTheme="minorEastAsia"/>
                <w:sz w:val="24"/>
                <w:szCs w:val="24"/>
              </w:rPr>
              <w:t>项目</w:t>
            </w:r>
            <w:r>
              <w:rPr>
                <w:rFonts w:ascii="Times New Roman" w:hAnsi="Times New Roman" w:cs="Times New Roman" w:eastAsiaTheme="minorEastAsia"/>
                <w:sz w:val="24"/>
                <w:szCs w:val="24"/>
              </w:rPr>
              <w:t>的计划和进展如何？</w:t>
            </w:r>
            <w:r>
              <w:rPr>
                <w:rFonts w:hint="eastAsia" w:ascii="Times New Roman" w:hAnsi="Times New Roman" w:cs="Times New Roman" w:eastAsiaTheme="minorEastAsia"/>
                <w:sz w:val="24"/>
                <w:szCs w:val="24"/>
              </w:rPr>
              <w:t>对公司业绩贡献的</w:t>
            </w:r>
            <w:r>
              <w:rPr>
                <w:rFonts w:ascii="Times New Roman" w:hAnsi="Times New Roman" w:cs="Times New Roman" w:eastAsiaTheme="minorEastAsia"/>
                <w:sz w:val="24"/>
                <w:szCs w:val="24"/>
              </w:rPr>
              <w:t>展望是怎样的？</w:t>
            </w:r>
          </w:p>
          <w:p w14:paraId="4CC797EB">
            <w:pPr>
              <w:pStyle w:val="13"/>
              <w:ind w:firstLine="480"/>
              <w:rPr>
                <w:rFonts w:ascii="Times New Roman" w:hAnsi="Times New Roman" w:cs="Times New Roman" w:eastAsiaTheme="minorEastAsia"/>
                <w:b w:val="0"/>
                <w:sz w:val="24"/>
                <w:szCs w:val="24"/>
              </w:rPr>
            </w:pPr>
            <w:r>
              <w:rPr>
                <w:rFonts w:ascii="Times New Roman" w:hAnsi="Times New Roman" w:cs="Times New Roman" w:eastAsiaTheme="minorEastAsia"/>
                <w:b w:val="0"/>
                <w:sz w:val="24"/>
                <w:szCs w:val="24"/>
              </w:rPr>
              <w:t>答:</w:t>
            </w:r>
            <w:r>
              <w:rPr>
                <w:rFonts w:hint="eastAsia" w:ascii="Times New Roman" w:hAnsi="Times New Roman" w:cs="Times New Roman" w:eastAsiaTheme="minorEastAsia"/>
                <w:b w:val="0"/>
                <w:sz w:val="24"/>
                <w:szCs w:val="24"/>
              </w:rPr>
              <w:t>今年上半年公司子公司</w:t>
            </w:r>
            <w:r>
              <w:rPr>
                <w:rFonts w:ascii="Times New Roman" w:hAnsi="Times New Roman" w:cs="Times New Roman" w:eastAsiaTheme="minorEastAsia"/>
                <w:b w:val="0"/>
                <w:sz w:val="24"/>
                <w:szCs w:val="24"/>
              </w:rPr>
              <w:t>辽宁</w:t>
            </w:r>
            <w:r>
              <w:rPr>
                <w:rFonts w:hint="eastAsia" w:ascii="Times New Roman" w:hAnsi="Times New Roman" w:cs="Times New Roman" w:eastAsiaTheme="minorEastAsia"/>
                <w:b w:val="0"/>
                <w:sz w:val="24"/>
                <w:szCs w:val="24"/>
              </w:rPr>
              <w:t>金发年产</w:t>
            </w:r>
            <w:r>
              <w:rPr>
                <w:rFonts w:ascii="Times New Roman" w:hAnsi="Times New Roman" w:cs="Times New Roman" w:eastAsiaTheme="minorEastAsia"/>
                <w:b w:val="0"/>
                <w:sz w:val="24"/>
                <w:szCs w:val="24"/>
              </w:rPr>
              <w:t>20万吨</w:t>
            </w:r>
            <w:r>
              <w:rPr>
                <w:rFonts w:hint="eastAsia" w:ascii="Times New Roman" w:hAnsi="Times New Roman" w:cs="Times New Roman" w:eastAsiaTheme="minorEastAsia"/>
                <w:b w:val="0"/>
                <w:sz w:val="24"/>
                <w:szCs w:val="24"/>
              </w:rPr>
              <w:t>改性A</w:t>
            </w:r>
            <w:r>
              <w:rPr>
                <w:rFonts w:ascii="Times New Roman" w:hAnsi="Times New Roman" w:cs="Times New Roman" w:eastAsiaTheme="minorEastAsia"/>
                <w:b w:val="0"/>
                <w:sz w:val="24"/>
                <w:szCs w:val="24"/>
              </w:rPr>
              <w:t>BS一体化项目</w:t>
            </w:r>
            <w:r>
              <w:rPr>
                <w:rFonts w:hint="eastAsia" w:ascii="Times New Roman" w:hAnsi="Times New Roman" w:cs="Times New Roman" w:eastAsiaTheme="minorEastAsia"/>
                <w:b w:val="0"/>
                <w:sz w:val="24"/>
                <w:szCs w:val="24"/>
              </w:rPr>
              <w:t>已有部分产能建成投产</w:t>
            </w:r>
            <w:r>
              <w:rPr>
                <w:rFonts w:ascii="Times New Roman" w:hAnsi="Times New Roman" w:cs="Times New Roman" w:eastAsiaTheme="minorEastAsia"/>
                <w:b w:val="0"/>
                <w:sz w:val="24"/>
                <w:szCs w:val="24"/>
              </w:rPr>
              <w:t>，目前</w:t>
            </w:r>
            <w:r>
              <w:rPr>
                <w:rFonts w:hint="eastAsia" w:ascii="Times New Roman" w:hAnsi="Times New Roman" w:cs="Times New Roman" w:eastAsiaTheme="minorEastAsia"/>
                <w:b w:val="0"/>
                <w:sz w:val="24"/>
                <w:szCs w:val="24"/>
              </w:rPr>
              <w:t>还在推进剩余产能建设。公司子公司宁波金发计划建设年产1</w:t>
            </w:r>
            <w:r>
              <w:rPr>
                <w:rFonts w:ascii="Times New Roman" w:hAnsi="Times New Roman" w:cs="Times New Roman" w:eastAsiaTheme="minorEastAsia"/>
                <w:b w:val="0"/>
                <w:sz w:val="24"/>
                <w:szCs w:val="24"/>
              </w:rPr>
              <w:t>5</w:t>
            </w:r>
            <w:r>
              <w:rPr>
                <w:rFonts w:hint="eastAsia" w:ascii="Times New Roman" w:hAnsi="Times New Roman" w:cs="Times New Roman" w:eastAsiaTheme="minorEastAsia"/>
                <w:b w:val="0"/>
                <w:sz w:val="24"/>
                <w:szCs w:val="24"/>
              </w:rPr>
              <w:t>万吨P</w:t>
            </w:r>
            <w:r>
              <w:rPr>
                <w:rFonts w:ascii="Times New Roman" w:hAnsi="Times New Roman" w:cs="Times New Roman" w:eastAsiaTheme="minorEastAsia"/>
                <w:b w:val="0"/>
                <w:sz w:val="24"/>
                <w:szCs w:val="24"/>
              </w:rPr>
              <w:t>P</w:t>
            </w:r>
            <w:r>
              <w:rPr>
                <w:rFonts w:hint="eastAsia" w:ascii="Times New Roman" w:hAnsi="Times New Roman" w:cs="Times New Roman" w:eastAsiaTheme="minorEastAsia"/>
                <w:b w:val="0"/>
                <w:sz w:val="24"/>
                <w:szCs w:val="24"/>
              </w:rPr>
              <w:t>改性一体化项目，项目当前仍在加速建设中，预计今年底逐步建成投产。改性一体化项目能缩短树脂合成到材料改性之间的生产流程，提升产品稳定性的同时帮助降低生产成本，增强改性塑料产品的竞争力，进一步强化公司一体化优势，并为石化业务板块效益的提升注入新动能</w:t>
            </w:r>
            <w:r>
              <w:rPr>
                <w:rFonts w:ascii="Times New Roman" w:hAnsi="Times New Roman" w:cs="Times New Roman" w:eastAsiaTheme="minorEastAsia"/>
                <w:b w:val="0"/>
                <w:sz w:val="24"/>
                <w:szCs w:val="24"/>
              </w:rPr>
              <w:t>。</w:t>
            </w:r>
          </w:p>
          <w:p w14:paraId="0CF169D9">
            <w:pPr>
              <w:pStyle w:val="13"/>
              <w:ind w:firstLine="480"/>
              <w:rPr>
                <w:rFonts w:ascii="Times New Roman" w:hAnsi="Times New Roman" w:cs="Times New Roman" w:eastAsiaTheme="minorEastAsia"/>
                <w:b w:val="0"/>
                <w:sz w:val="24"/>
                <w:szCs w:val="24"/>
              </w:rPr>
            </w:pPr>
          </w:p>
          <w:p w14:paraId="05FEE0DB">
            <w:pPr>
              <w:pStyle w:val="13"/>
              <w:ind w:firstLine="482"/>
              <w:rPr>
                <w:rFonts w:ascii="Times New Roman" w:hAnsi="Times New Roman" w:cs="Times New Roman" w:eastAsiaTheme="minorEastAsia"/>
                <w:b w:val="0"/>
                <w:sz w:val="24"/>
                <w:szCs w:val="24"/>
              </w:rPr>
            </w:pP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公司上半年</w:t>
            </w:r>
            <w:r>
              <w:rPr>
                <w:rFonts w:ascii="Times New Roman" w:hAnsi="Times New Roman" w:cs="Times New Roman" w:eastAsiaTheme="minorEastAsia"/>
                <w:sz w:val="24"/>
                <w:szCs w:val="24"/>
              </w:rPr>
              <w:t>新材料板块</w:t>
            </w:r>
            <w:r>
              <w:rPr>
                <w:rFonts w:hint="eastAsia" w:ascii="Times New Roman" w:hAnsi="Times New Roman" w:cs="Times New Roman" w:eastAsiaTheme="minorEastAsia"/>
                <w:sz w:val="24"/>
                <w:szCs w:val="24"/>
              </w:rPr>
              <w:t>的L</w:t>
            </w:r>
            <w:r>
              <w:rPr>
                <w:rFonts w:ascii="Times New Roman" w:hAnsi="Times New Roman" w:cs="Times New Roman" w:eastAsiaTheme="minorEastAsia"/>
                <w:sz w:val="24"/>
                <w:szCs w:val="24"/>
              </w:rPr>
              <w:t>CP</w:t>
            </w:r>
            <w:r>
              <w:rPr>
                <w:rFonts w:hint="eastAsia" w:ascii="Times New Roman" w:hAnsi="Times New Roman" w:cs="Times New Roman" w:eastAsiaTheme="minorEastAsia"/>
                <w:sz w:val="24"/>
                <w:szCs w:val="24"/>
              </w:rPr>
              <w:t>销量实现了大幅增长，</w:t>
            </w:r>
            <w:r>
              <w:rPr>
                <w:rFonts w:ascii="Times New Roman" w:hAnsi="Times New Roman" w:cs="Times New Roman" w:eastAsiaTheme="minorEastAsia"/>
                <w:sz w:val="24"/>
                <w:szCs w:val="24"/>
              </w:rPr>
              <w:t>请问LCP产品主要应用在哪些</w:t>
            </w:r>
            <w:r>
              <w:rPr>
                <w:rFonts w:hint="eastAsia" w:ascii="Times New Roman" w:hAnsi="Times New Roman" w:cs="Times New Roman" w:eastAsiaTheme="minorEastAsia"/>
                <w:sz w:val="24"/>
                <w:szCs w:val="24"/>
              </w:rPr>
              <w:t>行业和</w:t>
            </w:r>
            <w:r>
              <w:rPr>
                <w:rFonts w:ascii="Times New Roman" w:hAnsi="Times New Roman" w:cs="Times New Roman" w:eastAsiaTheme="minorEastAsia"/>
                <w:sz w:val="24"/>
                <w:szCs w:val="24"/>
              </w:rPr>
              <w:t>场景？</w:t>
            </w:r>
          </w:p>
          <w:p w14:paraId="79B578E0">
            <w:pPr>
              <w:pStyle w:val="13"/>
              <w:ind w:firstLine="480"/>
              <w:rPr>
                <w:rFonts w:ascii="Times New Roman" w:hAnsi="Times New Roman" w:cs="Times New Roman" w:eastAsiaTheme="minorEastAsia"/>
                <w:b w:val="0"/>
                <w:sz w:val="24"/>
                <w:szCs w:val="24"/>
              </w:rPr>
            </w:pPr>
            <w:r>
              <w:rPr>
                <w:rFonts w:ascii="Times New Roman" w:hAnsi="Times New Roman" w:cs="Times New Roman" w:eastAsiaTheme="minorEastAsia"/>
                <w:b w:val="0"/>
                <w:sz w:val="24"/>
                <w:szCs w:val="24"/>
              </w:rPr>
              <w:t>答:</w:t>
            </w:r>
            <w:r>
              <w:rPr>
                <w:rFonts w:hint="eastAsia" w:ascii="Times New Roman" w:hAnsi="Times New Roman" w:cs="Times New Roman" w:eastAsiaTheme="minorEastAsia"/>
                <w:b w:val="0"/>
                <w:sz w:val="24"/>
                <w:szCs w:val="24"/>
              </w:rPr>
              <w:t>公司研发的新一代低介电常数、低介电损耗</w:t>
            </w:r>
            <w:r>
              <w:rPr>
                <w:rFonts w:ascii="Times New Roman" w:hAnsi="Times New Roman" w:cs="Times New Roman" w:eastAsiaTheme="minorEastAsia"/>
                <w:b w:val="0"/>
                <w:sz w:val="24"/>
                <w:szCs w:val="24"/>
              </w:rPr>
              <w:t>LCP，大批量应用于AI服务器用高速连接器，传输速率高达224Gbps，树立了新一代信息技术行业标杆。</w:t>
            </w:r>
            <w:r>
              <w:rPr>
                <w:rFonts w:hint="eastAsia" w:ascii="Times New Roman" w:hAnsi="Times New Roman" w:cs="Times New Roman" w:eastAsiaTheme="minorEastAsia"/>
                <w:b w:val="0"/>
                <w:sz w:val="24"/>
                <w:szCs w:val="24"/>
              </w:rPr>
              <w:t>公司已建成</w:t>
            </w:r>
            <w:r>
              <w:rPr>
                <w:rFonts w:ascii="Times New Roman" w:hAnsi="Times New Roman" w:cs="Times New Roman" w:eastAsiaTheme="minorEastAsia"/>
                <w:b w:val="0"/>
                <w:sz w:val="24"/>
                <w:szCs w:val="24"/>
              </w:rPr>
              <w:t>100万㎡/年LCP薄膜生产线，产品已在高频柔性线路板领域头部客户积极验证推广；此外公司推出的纤维级LCP树脂已实现批量供应。</w:t>
            </w:r>
          </w:p>
          <w:p w14:paraId="6AEF3C7E">
            <w:pPr>
              <w:pStyle w:val="13"/>
              <w:ind w:firstLine="480"/>
              <w:rPr>
                <w:rFonts w:ascii="Times New Roman" w:hAnsi="Times New Roman" w:cs="Times New Roman" w:eastAsiaTheme="minorEastAsia"/>
                <w:b w:val="0"/>
                <w:sz w:val="24"/>
                <w:szCs w:val="24"/>
              </w:rPr>
            </w:pPr>
          </w:p>
          <w:p w14:paraId="47B95129">
            <w:pPr>
              <w:pStyle w:val="13"/>
              <w:ind w:firstLine="482"/>
              <w:rPr>
                <w:rFonts w:ascii="Times New Roman" w:hAnsi="Times New Roman" w:cs="Times New Roman" w:eastAsiaTheme="minorEastAsia"/>
                <w:b w:val="0"/>
                <w:sz w:val="24"/>
                <w:szCs w:val="24"/>
              </w:rPr>
            </w:pPr>
            <w:r>
              <w:rPr>
                <w:rFonts w:ascii="Times New Roman" w:hAnsi="Times New Roman" w:cs="Times New Roman" w:eastAsiaTheme="minorEastAsia"/>
                <w:sz w:val="24"/>
                <w:szCs w:val="24"/>
              </w:rPr>
              <w:t>3.请问</w:t>
            </w:r>
            <w:r>
              <w:rPr>
                <w:rFonts w:hint="eastAsia" w:ascii="Times New Roman" w:hAnsi="Times New Roman" w:cs="Times New Roman" w:eastAsiaTheme="minorEastAsia"/>
                <w:sz w:val="24"/>
                <w:szCs w:val="24"/>
              </w:rPr>
              <w:t>公司的P</w:t>
            </w:r>
            <w:r>
              <w:rPr>
                <w:rFonts w:ascii="Times New Roman" w:hAnsi="Times New Roman" w:cs="Times New Roman" w:eastAsiaTheme="minorEastAsia"/>
                <w:sz w:val="24"/>
                <w:szCs w:val="24"/>
              </w:rPr>
              <w:t>LA</w:t>
            </w:r>
            <w:r>
              <w:rPr>
                <w:rFonts w:hint="eastAsia" w:ascii="Times New Roman" w:hAnsi="Times New Roman" w:cs="Times New Roman" w:eastAsiaTheme="minorEastAsia"/>
                <w:sz w:val="24"/>
                <w:szCs w:val="24"/>
              </w:rPr>
              <w:t>产品是否有应用在3</w:t>
            </w:r>
            <w:r>
              <w:rPr>
                <w:rFonts w:ascii="Times New Roman" w:hAnsi="Times New Roman" w:cs="Times New Roman" w:eastAsiaTheme="minorEastAsia"/>
                <w:sz w:val="24"/>
                <w:szCs w:val="24"/>
              </w:rPr>
              <w:t>D打印</w:t>
            </w:r>
            <w:r>
              <w:rPr>
                <w:rFonts w:hint="eastAsia" w:ascii="Times New Roman" w:hAnsi="Times New Roman" w:cs="Times New Roman" w:eastAsiaTheme="minorEastAsia"/>
                <w:sz w:val="24"/>
                <w:szCs w:val="24"/>
              </w:rPr>
              <w:t>上</w:t>
            </w:r>
            <w:r>
              <w:rPr>
                <w:rFonts w:ascii="Times New Roman" w:hAnsi="Times New Roman" w:cs="Times New Roman" w:eastAsiaTheme="minorEastAsia"/>
                <w:sz w:val="24"/>
                <w:szCs w:val="24"/>
              </w:rPr>
              <w:t>，公司</w:t>
            </w:r>
            <w:r>
              <w:rPr>
                <w:rFonts w:hint="eastAsia" w:ascii="Times New Roman" w:hAnsi="Times New Roman" w:cs="Times New Roman" w:eastAsiaTheme="minorEastAsia"/>
                <w:sz w:val="24"/>
                <w:szCs w:val="24"/>
              </w:rPr>
              <w:t>如何看待其原料</w:t>
            </w:r>
            <w:r>
              <w:rPr>
                <w:rFonts w:ascii="Times New Roman" w:hAnsi="Times New Roman" w:cs="Times New Roman" w:eastAsiaTheme="minorEastAsia"/>
                <w:sz w:val="24"/>
                <w:szCs w:val="24"/>
              </w:rPr>
              <w:t>丙交酯的未来供应</w:t>
            </w:r>
            <w:r>
              <w:rPr>
                <w:rFonts w:hint="eastAsia" w:ascii="Times New Roman" w:hAnsi="Times New Roman" w:cs="Times New Roman" w:eastAsiaTheme="minorEastAsia"/>
                <w:sz w:val="24"/>
                <w:szCs w:val="24"/>
              </w:rPr>
              <w:t>？公司是否会考虑自己生产丙交酯</w:t>
            </w:r>
            <w:r>
              <w:rPr>
                <w:rFonts w:ascii="Times New Roman" w:hAnsi="Times New Roman" w:cs="Times New Roman" w:eastAsiaTheme="minorEastAsia"/>
                <w:sz w:val="24"/>
                <w:szCs w:val="24"/>
              </w:rPr>
              <w:t>？</w:t>
            </w:r>
          </w:p>
          <w:p w14:paraId="56214435">
            <w:pPr>
              <w:pStyle w:val="13"/>
              <w:ind w:firstLine="480"/>
              <w:rPr>
                <w:rFonts w:ascii="Times New Roman" w:hAnsi="Times New Roman" w:cs="Times New Roman" w:eastAsiaTheme="minorEastAsia"/>
                <w:b w:val="0"/>
                <w:sz w:val="24"/>
                <w:szCs w:val="24"/>
              </w:rPr>
            </w:pPr>
            <w:r>
              <w:rPr>
                <w:rFonts w:ascii="Times New Roman" w:hAnsi="Times New Roman" w:cs="Times New Roman" w:eastAsiaTheme="minorEastAsia"/>
                <w:b w:val="0"/>
                <w:sz w:val="24"/>
                <w:szCs w:val="24"/>
              </w:rPr>
              <w:t>答:</w:t>
            </w:r>
            <w:r>
              <w:rPr>
                <w:rFonts w:hint="eastAsia" w:ascii="Times New Roman" w:hAnsi="Times New Roman" w:cs="Times New Roman" w:eastAsiaTheme="minorEastAsia"/>
                <w:b w:val="0"/>
                <w:sz w:val="24"/>
                <w:szCs w:val="24"/>
              </w:rPr>
              <w:t>公司具备3万吨P</w:t>
            </w:r>
            <w:r>
              <w:rPr>
                <w:rFonts w:ascii="Times New Roman" w:hAnsi="Times New Roman" w:cs="Times New Roman" w:eastAsiaTheme="minorEastAsia"/>
                <w:b w:val="0"/>
                <w:sz w:val="24"/>
                <w:szCs w:val="24"/>
              </w:rPr>
              <w:t>LA</w:t>
            </w:r>
            <w:r>
              <w:rPr>
                <w:rFonts w:hint="eastAsia" w:ascii="Times New Roman" w:hAnsi="Times New Roman" w:cs="Times New Roman" w:eastAsiaTheme="minorEastAsia"/>
                <w:b w:val="0"/>
                <w:sz w:val="24"/>
                <w:szCs w:val="24"/>
              </w:rPr>
              <w:t>树脂合成及改性能力，对外销售的P</w:t>
            </w:r>
            <w:r>
              <w:rPr>
                <w:rFonts w:ascii="Times New Roman" w:hAnsi="Times New Roman" w:cs="Times New Roman" w:eastAsiaTheme="minorEastAsia"/>
                <w:b w:val="0"/>
                <w:sz w:val="24"/>
                <w:szCs w:val="24"/>
              </w:rPr>
              <w:t>LA</w:t>
            </w:r>
            <w:r>
              <w:rPr>
                <w:rFonts w:hint="eastAsia" w:ascii="Times New Roman" w:hAnsi="Times New Roman" w:cs="Times New Roman" w:eastAsiaTheme="minorEastAsia"/>
                <w:b w:val="0"/>
                <w:sz w:val="24"/>
                <w:szCs w:val="24"/>
              </w:rPr>
              <w:t>材料部分用于下游的3</w:t>
            </w:r>
            <w:r>
              <w:rPr>
                <w:rFonts w:ascii="Times New Roman" w:hAnsi="Times New Roman" w:cs="Times New Roman" w:eastAsiaTheme="minorEastAsia"/>
                <w:b w:val="0"/>
                <w:sz w:val="24"/>
                <w:szCs w:val="24"/>
              </w:rPr>
              <w:t>D打印，主要应用在玩具、</w:t>
            </w:r>
            <w:r>
              <w:rPr>
                <w:rFonts w:hint="eastAsia" w:ascii="Times New Roman" w:hAnsi="Times New Roman" w:cs="Times New Roman" w:eastAsiaTheme="minorEastAsia"/>
                <w:b w:val="0"/>
                <w:sz w:val="24"/>
                <w:szCs w:val="24"/>
              </w:rPr>
              <w:t>礼品、教学模型</w:t>
            </w:r>
            <w:r>
              <w:rPr>
                <w:rFonts w:ascii="Times New Roman" w:hAnsi="Times New Roman" w:cs="Times New Roman" w:eastAsiaTheme="minorEastAsia"/>
                <w:b w:val="0"/>
                <w:sz w:val="24"/>
                <w:szCs w:val="24"/>
              </w:rPr>
              <w:t>等领域。目前公司</w:t>
            </w:r>
            <w:r>
              <w:rPr>
                <w:rFonts w:hint="eastAsia" w:ascii="Times New Roman" w:hAnsi="Times New Roman" w:cs="Times New Roman" w:eastAsiaTheme="minorEastAsia"/>
                <w:b w:val="0"/>
                <w:sz w:val="24"/>
                <w:szCs w:val="24"/>
              </w:rPr>
              <w:t>通过外部采购</w:t>
            </w:r>
            <w:r>
              <w:rPr>
                <w:rFonts w:ascii="Times New Roman" w:hAnsi="Times New Roman" w:cs="Times New Roman" w:eastAsiaTheme="minorEastAsia"/>
                <w:b w:val="0"/>
                <w:sz w:val="24"/>
                <w:szCs w:val="24"/>
              </w:rPr>
              <w:t>丙交酯</w:t>
            </w:r>
            <w:r>
              <w:rPr>
                <w:rFonts w:hint="eastAsia" w:ascii="Times New Roman" w:hAnsi="Times New Roman" w:cs="Times New Roman" w:eastAsiaTheme="minorEastAsia"/>
                <w:b w:val="0"/>
                <w:sz w:val="24"/>
                <w:szCs w:val="24"/>
              </w:rPr>
              <w:t>合成</w:t>
            </w:r>
            <w:r>
              <w:rPr>
                <w:rFonts w:ascii="Times New Roman" w:hAnsi="Times New Roman" w:cs="Times New Roman" w:eastAsiaTheme="minorEastAsia"/>
                <w:b w:val="0"/>
                <w:sz w:val="24"/>
                <w:szCs w:val="24"/>
              </w:rPr>
              <w:t>PLA</w:t>
            </w:r>
            <w:r>
              <w:rPr>
                <w:rFonts w:hint="eastAsia" w:ascii="Times New Roman" w:hAnsi="Times New Roman" w:cs="Times New Roman" w:eastAsiaTheme="minorEastAsia"/>
                <w:b w:val="0"/>
                <w:sz w:val="24"/>
                <w:szCs w:val="24"/>
              </w:rPr>
              <w:t>树脂</w:t>
            </w:r>
            <w:r>
              <w:rPr>
                <w:rFonts w:ascii="Times New Roman" w:hAnsi="Times New Roman" w:cs="Times New Roman" w:eastAsiaTheme="minorEastAsia"/>
                <w:b w:val="0"/>
                <w:sz w:val="24"/>
                <w:szCs w:val="24"/>
              </w:rPr>
              <w:t>，</w:t>
            </w:r>
            <w:r>
              <w:rPr>
                <w:rFonts w:hint="eastAsia" w:ascii="Times New Roman" w:hAnsi="Times New Roman" w:cs="Times New Roman" w:eastAsiaTheme="minorEastAsia"/>
                <w:b w:val="0"/>
                <w:sz w:val="24"/>
                <w:szCs w:val="24"/>
              </w:rPr>
              <w:t>相关原料供应渠道稳定、保障充分。对于丙交酯的自产规划，公司后续将根据自身产能布局以及市场供应情况综合评估、审慎决策</w:t>
            </w:r>
            <w:r>
              <w:rPr>
                <w:rFonts w:ascii="Times New Roman" w:hAnsi="Times New Roman" w:cs="Times New Roman" w:eastAsiaTheme="minorEastAsia"/>
                <w:b w:val="0"/>
                <w:sz w:val="24"/>
                <w:szCs w:val="24"/>
              </w:rPr>
              <w:t>。</w:t>
            </w:r>
          </w:p>
          <w:p w14:paraId="05DCD4C9">
            <w:pPr>
              <w:pStyle w:val="13"/>
              <w:ind w:firstLine="480"/>
              <w:rPr>
                <w:rFonts w:ascii="Times New Roman" w:hAnsi="Times New Roman" w:cs="Times New Roman" w:eastAsiaTheme="minorEastAsia"/>
                <w:b w:val="0"/>
                <w:sz w:val="24"/>
                <w:szCs w:val="24"/>
              </w:rPr>
            </w:pPr>
          </w:p>
          <w:p w14:paraId="2625ACCD">
            <w:pPr>
              <w:pStyle w:val="13"/>
              <w:ind w:firstLine="482"/>
              <w:rPr>
                <w:rFonts w:ascii="Times New Roman" w:hAnsi="Times New Roman" w:cs="Times New Roman" w:eastAsiaTheme="minorEastAsia"/>
                <w:sz w:val="24"/>
                <w:szCs w:val="24"/>
              </w:rPr>
            </w:pPr>
            <w:r>
              <w:rPr>
                <w:rFonts w:ascii="Times New Roman" w:hAnsi="Times New Roman" w:cs="Times New Roman" w:eastAsiaTheme="minorEastAsia"/>
                <w:sz w:val="24"/>
                <w:szCs w:val="24"/>
              </w:rPr>
              <w:t>4.请问</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对下半年和明年的展望</w:t>
            </w:r>
            <w:r>
              <w:rPr>
                <w:rFonts w:hint="eastAsia" w:ascii="Times New Roman" w:hAnsi="Times New Roman" w:cs="Times New Roman" w:eastAsiaTheme="minorEastAsia"/>
                <w:sz w:val="24"/>
                <w:szCs w:val="24"/>
              </w:rPr>
              <w:t>如何？</w:t>
            </w:r>
            <w:r>
              <w:rPr>
                <w:rFonts w:ascii="Times New Roman" w:hAnsi="Times New Roman" w:cs="Times New Roman" w:eastAsiaTheme="minorEastAsia"/>
                <w:sz w:val="24"/>
                <w:szCs w:val="24"/>
              </w:rPr>
              <w:t>以及行业竞争格局和公司前景有何</w:t>
            </w:r>
            <w:r>
              <w:rPr>
                <w:rFonts w:hint="eastAsia" w:ascii="Times New Roman" w:hAnsi="Times New Roman" w:cs="Times New Roman" w:eastAsiaTheme="minorEastAsia"/>
                <w:sz w:val="24"/>
                <w:szCs w:val="24"/>
              </w:rPr>
              <w:t>判断</w:t>
            </w:r>
            <w:r>
              <w:rPr>
                <w:rFonts w:ascii="Times New Roman" w:hAnsi="Times New Roman" w:cs="Times New Roman" w:eastAsiaTheme="minorEastAsia"/>
                <w:sz w:val="24"/>
                <w:szCs w:val="24"/>
              </w:rPr>
              <w:t>？</w:t>
            </w:r>
          </w:p>
          <w:p w14:paraId="1A7BD7E9">
            <w:pPr>
              <w:pStyle w:val="13"/>
              <w:ind w:firstLine="480"/>
              <w:rPr>
                <w:rFonts w:ascii="Times New Roman" w:hAnsi="Times New Roman" w:cs="Times New Roman" w:eastAsiaTheme="minorEastAsia"/>
                <w:b w:val="0"/>
                <w:sz w:val="24"/>
                <w:szCs w:val="24"/>
              </w:rPr>
            </w:pPr>
            <w:r>
              <w:rPr>
                <w:rFonts w:ascii="Times New Roman" w:hAnsi="Times New Roman" w:cs="Times New Roman" w:eastAsiaTheme="minorEastAsia"/>
                <w:b w:val="0"/>
                <w:sz w:val="24"/>
                <w:szCs w:val="24"/>
              </w:rPr>
              <w:t>答:从整体来看，公司</w:t>
            </w:r>
            <w:r>
              <w:rPr>
                <w:rFonts w:hint="eastAsia" w:ascii="Times New Roman" w:hAnsi="Times New Roman" w:cs="Times New Roman" w:eastAsiaTheme="minorEastAsia"/>
                <w:b w:val="0"/>
                <w:sz w:val="24"/>
                <w:szCs w:val="24"/>
              </w:rPr>
              <w:t>改性塑料板块</w:t>
            </w:r>
            <w:r>
              <w:rPr>
                <w:rFonts w:ascii="Times New Roman" w:hAnsi="Times New Roman" w:cs="Times New Roman" w:eastAsiaTheme="minorEastAsia"/>
                <w:b w:val="0"/>
                <w:sz w:val="24"/>
                <w:szCs w:val="24"/>
              </w:rPr>
              <w:t>过去</w:t>
            </w:r>
            <w:r>
              <w:rPr>
                <w:rFonts w:hint="eastAsia" w:ascii="Times New Roman" w:hAnsi="Times New Roman" w:cs="Times New Roman" w:eastAsiaTheme="minorEastAsia"/>
                <w:b w:val="0"/>
                <w:sz w:val="24"/>
                <w:szCs w:val="24"/>
              </w:rPr>
              <w:t>两年</w:t>
            </w:r>
            <w:r>
              <w:rPr>
                <w:rFonts w:ascii="Times New Roman" w:hAnsi="Times New Roman" w:cs="Times New Roman" w:eastAsiaTheme="minorEastAsia"/>
                <w:b w:val="0"/>
                <w:sz w:val="24"/>
                <w:szCs w:val="24"/>
              </w:rPr>
              <w:t>销量增速接近20%，对未来保持</w:t>
            </w:r>
            <w:r>
              <w:rPr>
                <w:rFonts w:hint="eastAsia" w:ascii="Times New Roman" w:hAnsi="Times New Roman" w:cs="Times New Roman" w:eastAsiaTheme="minorEastAsia"/>
                <w:b w:val="0"/>
                <w:sz w:val="24"/>
                <w:szCs w:val="24"/>
              </w:rPr>
              <w:t>持续稳定的增长</w:t>
            </w:r>
            <w:r>
              <w:rPr>
                <w:rFonts w:ascii="Times New Roman" w:hAnsi="Times New Roman" w:cs="Times New Roman" w:eastAsiaTheme="minorEastAsia"/>
                <w:b w:val="0"/>
                <w:sz w:val="24"/>
                <w:szCs w:val="24"/>
              </w:rPr>
              <w:t>有信心。新兴行业如新能源汽车、电子电工、消费电子以及机器人</w:t>
            </w:r>
            <w:r>
              <w:rPr>
                <w:rFonts w:hint="eastAsia" w:ascii="Times New Roman" w:hAnsi="Times New Roman" w:cs="Times New Roman" w:eastAsiaTheme="minorEastAsia"/>
                <w:b w:val="0"/>
                <w:sz w:val="24"/>
                <w:szCs w:val="24"/>
              </w:rPr>
              <w:t>等</w:t>
            </w:r>
            <w:r>
              <w:rPr>
                <w:rFonts w:ascii="Times New Roman" w:hAnsi="Times New Roman" w:cs="Times New Roman" w:eastAsiaTheme="minorEastAsia"/>
                <w:b w:val="0"/>
                <w:sz w:val="24"/>
                <w:szCs w:val="24"/>
              </w:rPr>
              <w:t>领域</w:t>
            </w:r>
            <w:r>
              <w:rPr>
                <w:rFonts w:hint="eastAsia" w:ascii="Times New Roman" w:hAnsi="Times New Roman" w:cs="Times New Roman" w:eastAsiaTheme="minorEastAsia"/>
                <w:b w:val="0"/>
                <w:sz w:val="24"/>
                <w:szCs w:val="24"/>
              </w:rPr>
              <w:t>带来新的市场机遇</w:t>
            </w:r>
            <w:r>
              <w:rPr>
                <w:rFonts w:ascii="Times New Roman" w:hAnsi="Times New Roman" w:cs="Times New Roman" w:eastAsiaTheme="minorEastAsia"/>
                <w:b w:val="0"/>
                <w:sz w:val="24"/>
                <w:szCs w:val="24"/>
              </w:rPr>
              <w:t>。海外市场是未来重要增长</w:t>
            </w:r>
            <w:r>
              <w:rPr>
                <w:rFonts w:hint="eastAsia" w:ascii="Times New Roman" w:hAnsi="Times New Roman" w:cs="Times New Roman" w:eastAsiaTheme="minorEastAsia"/>
                <w:b w:val="0"/>
                <w:sz w:val="24"/>
                <w:szCs w:val="24"/>
              </w:rPr>
              <w:t>引擎</w:t>
            </w:r>
            <w:r>
              <w:rPr>
                <w:rFonts w:ascii="Times New Roman" w:hAnsi="Times New Roman" w:cs="Times New Roman" w:eastAsiaTheme="minorEastAsia"/>
                <w:b w:val="0"/>
                <w:sz w:val="24"/>
                <w:szCs w:val="24"/>
              </w:rPr>
              <w:t>，</w:t>
            </w:r>
            <w:r>
              <w:rPr>
                <w:rFonts w:hint="eastAsia" w:ascii="Times New Roman" w:hAnsi="Times New Roman" w:cs="Times New Roman" w:eastAsiaTheme="minorEastAsia"/>
                <w:b w:val="0"/>
                <w:sz w:val="24"/>
                <w:szCs w:val="24"/>
              </w:rPr>
              <w:t>2024年公司实现海外销量增长近30%</w:t>
            </w:r>
            <w:r>
              <w:rPr>
                <w:rFonts w:ascii="Times New Roman" w:hAnsi="Times New Roman" w:cs="Times New Roman" w:eastAsiaTheme="minorEastAsia"/>
                <w:b w:val="0"/>
                <w:sz w:val="24"/>
                <w:szCs w:val="24"/>
              </w:rPr>
              <w:t>。石化板块</w:t>
            </w:r>
            <w:r>
              <w:rPr>
                <w:rFonts w:hint="eastAsia" w:ascii="Times New Roman" w:hAnsi="Times New Roman" w:cs="Times New Roman" w:eastAsiaTheme="minorEastAsia"/>
                <w:b w:val="0"/>
                <w:sz w:val="24"/>
                <w:szCs w:val="24"/>
              </w:rPr>
              <w:t>将</w:t>
            </w:r>
            <w:r>
              <w:rPr>
                <w:rFonts w:ascii="Times New Roman" w:hAnsi="Times New Roman" w:cs="Times New Roman" w:eastAsiaTheme="minorEastAsia"/>
                <w:b w:val="0"/>
                <w:sz w:val="24"/>
                <w:szCs w:val="24"/>
              </w:rPr>
              <w:t>持续</w:t>
            </w:r>
            <w:r>
              <w:rPr>
                <w:rFonts w:hint="eastAsia" w:ascii="Times New Roman" w:hAnsi="Times New Roman" w:cs="Times New Roman" w:eastAsiaTheme="minorEastAsia"/>
                <w:b w:val="0"/>
                <w:sz w:val="24"/>
                <w:szCs w:val="24"/>
              </w:rPr>
              <w:t>推进</w:t>
            </w:r>
            <w:r>
              <w:rPr>
                <w:rFonts w:ascii="Times New Roman" w:hAnsi="Times New Roman" w:cs="Times New Roman" w:eastAsiaTheme="minorEastAsia"/>
                <w:b w:val="0"/>
                <w:sz w:val="24"/>
                <w:szCs w:val="24"/>
              </w:rPr>
              <w:t>减亏</w:t>
            </w:r>
            <w:r>
              <w:rPr>
                <w:rFonts w:hint="eastAsia" w:ascii="Times New Roman" w:hAnsi="Times New Roman" w:cs="Times New Roman" w:eastAsiaTheme="minorEastAsia"/>
                <w:b w:val="0"/>
                <w:sz w:val="24"/>
                <w:szCs w:val="24"/>
              </w:rPr>
              <w:t>增效</w:t>
            </w:r>
            <w:r>
              <w:rPr>
                <w:rFonts w:ascii="Times New Roman" w:hAnsi="Times New Roman" w:cs="Times New Roman" w:eastAsiaTheme="minorEastAsia"/>
                <w:b w:val="0"/>
                <w:sz w:val="24"/>
                <w:szCs w:val="24"/>
              </w:rPr>
              <w:t>，通过内外</w:t>
            </w:r>
            <w:r>
              <w:rPr>
                <w:rFonts w:hint="eastAsia" w:ascii="Times New Roman" w:hAnsi="Times New Roman" w:cs="Times New Roman" w:eastAsiaTheme="minorEastAsia"/>
                <w:b w:val="0"/>
                <w:sz w:val="24"/>
                <w:szCs w:val="24"/>
              </w:rPr>
              <w:t>部</w:t>
            </w:r>
            <w:r>
              <w:rPr>
                <w:rFonts w:ascii="Times New Roman" w:hAnsi="Times New Roman" w:cs="Times New Roman" w:eastAsiaTheme="minorEastAsia"/>
                <w:b w:val="0"/>
                <w:sz w:val="24"/>
                <w:szCs w:val="24"/>
              </w:rPr>
              <w:t>举措</w:t>
            </w:r>
            <w:r>
              <w:rPr>
                <w:rFonts w:hint="eastAsia" w:ascii="Times New Roman" w:hAnsi="Times New Roman" w:cs="Times New Roman" w:eastAsiaTheme="minorEastAsia"/>
                <w:b w:val="0"/>
                <w:sz w:val="24"/>
                <w:szCs w:val="24"/>
              </w:rPr>
              <w:t>努力</w:t>
            </w:r>
            <w:r>
              <w:rPr>
                <w:rFonts w:ascii="Times New Roman" w:hAnsi="Times New Roman" w:cs="Times New Roman" w:eastAsiaTheme="minorEastAsia"/>
                <w:b w:val="0"/>
                <w:sz w:val="24"/>
                <w:szCs w:val="24"/>
              </w:rPr>
              <w:t>提升经营质量。基于新行业项目开发的</w:t>
            </w:r>
            <w:r>
              <w:rPr>
                <w:rFonts w:hint="eastAsia" w:ascii="Times New Roman" w:hAnsi="Times New Roman" w:cs="Times New Roman" w:eastAsiaTheme="minorEastAsia"/>
                <w:b w:val="0"/>
                <w:sz w:val="24"/>
                <w:szCs w:val="24"/>
              </w:rPr>
              <w:t>积极进展，新材料板块有望保持快速增长，其中特种工程塑料将</w:t>
            </w:r>
            <w:r>
              <w:rPr>
                <w:rFonts w:ascii="Times New Roman" w:hAnsi="Times New Roman" w:cs="Times New Roman" w:eastAsiaTheme="minorEastAsia"/>
                <w:b w:val="0"/>
                <w:sz w:val="24"/>
                <w:szCs w:val="24"/>
              </w:rPr>
              <w:t>有新增产能</w:t>
            </w:r>
            <w:r>
              <w:rPr>
                <w:rFonts w:hint="eastAsia" w:ascii="Times New Roman" w:hAnsi="Times New Roman" w:cs="Times New Roman" w:eastAsiaTheme="minorEastAsia"/>
                <w:b w:val="0"/>
                <w:sz w:val="24"/>
                <w:szCs w:val="24"/>
              </w:rPr>
              <w:t>释放</w:t>
            </w:r>
            <w:r>
              <w:rPr>
                <w:rFonts w:ascii="Times New Roman" w:hAnsi="Times New Roman" w:cs="Times New Roman" w:eastAsiaTheme="minorEastAsia"/>
                <w:b w:val="0"/>
                <w:sz w:val="24"/>
                <w:szCs w:val="24"/>
              </w:rPr>
              <w:t>，降解塑料</w:t>
            </w:r>
            <w:r>
              <w:rPr>
                <w:rFonts w:hint="eastAsia" w:ascii="Times New Roman" w:hAnsi="Times New Roman" w:cs="Times New Roman" w:eastAsiaTheme="minorEastAsia"/>
                <w:b w:val="0"/>
                <w:sz w:val="24"/>
                <w:szCs w:val="24"/>
              </w:rPr>
              <w:t>已领先于行业</w:t>
            </w:r>
            <w:r>
              <w:rPr>
                <w:rFonts w:ascii="Times New Roman" w:hAnsi="Times New Roman" w:cs="Times New Roman" w:eastAsiaTheme="minorEastAsia"/>
                <w:b w:val="0"/>
                <w:sz w:val="24"/>
                <w:szCs w:val="24"/>
              </w:rPr>
              <w:t>逐步走出困境</w:t>
            </w:r>
            <w:r>
              <w:rPr>
                <w:rFonts w:hint="eastAsia" w:ascii="Times New Roman" w:hAnsi="Times New Roman" w:cs="Times New Roman" w:eastAsiaTheme="minorEastAsia"/>
                <w:b w:val="0"/>
                <w:sz w:val="24"/>
                <w:szCs w:val="24"/>
              </w:rPr>
              <w:t>，</w:t>
            </w:r>
            <w:r>
              <w:rPr>
                <w:rFonts w:ascii="Times New Roman" w:hAnsi="Times New Roman" w:cs="Times New Roman" w:eastAsiaTheme="minorEastAsia"/>
                <w:b w:val="0"/>
                <w:sz w:val="24"/>
                <w:szCs w:val="24"/>
              </w:rPr>
              <w:t>碳纤维</w:t>
            </w:r>
            <w:r>
              <w:rPr>
                <w:rFonts w:hint="eastAsia" w:ascii="Times New Roman" w:hAnsi="Times New Roman" w:cs="Times New Roman" w:eastAsiaTheme="minorEastAsia"/>
                <w:b w:val="0"/>
                <w:sz w:val="24"/>
                <w:szCs w:val="24"/>
              </w:rPr>
              <w:t>及复合材料的市占率</w:t>
            </w:r>
            <w:r>
              <w:rPr>
                <w:rFonts w:ascii="Times New Roman" w:hAnsi="Times New Roman" w:cs="Times New Roman" w:eastAsiaTheme="minorEastAsia"/>
                <w:b w:val="0"/>
                <w:sz w:val="24"/>
                <w:szCs w:val="24"/>
              </w:rPr>
              <w:t>和</w:t>
            </w:r>
            <w:r>
              <w:rPr>
                <w:rFonts w:hint="eastAsia" w:ascii="Times New Roman" w:hAnsi="Times New Roman" w:cs="Times New Roman" w:eastAsiaTheme="minorEastAsia"/>
                <w:b w:val="0"/>
                <w:sz w:val="24"/>
                <w:szCs w:val="24"/>
              </w:rPr>
              <w:t>业务</w:t>
            </w:r>
            <w:r>
              <w:rPr>
                <w:rFonts w:ascii="Times New Roman" w:hAnsi="Times New Roman" w:cs="Times New Roman" w:eastAsiaTheme="minorEastAsia"/>
                <w:b w:val="0"/>
                <w:sz w:val="24"/>
                <w:szCs w:val="24"/>
              </w:rPr>
              <w:t>规模</w:t>
            </w:r>
            <w:r>
              <w:rPr>
                <w:rFonts w:hint="eastAsia" w:ascii="Times New Roman" w:hAnsi="Times New Roman" w:cs="Times New Roman" w:eastAsiaTheme="minorEastAsia"/>
                <w:b w:val="0"/>
                <w:sz w:val="24"/>
                <w:szCs w:val="24"/>
              </w:rPr>
              <w:t>持续提升</w:t>
            </w:r>
            <w:r>
              <w:rPr>
                <w:rFonts w:ascii="Times New Roman" w:hAnsi="Times New Roman" w:cs="Times New Roman" w:eastAsiaTheme="minorEastAsia"/>
                <w:b w:val="0"/>
                <w:sz w:val="24"/>
                <w:szCs w:val="24"/>
              </w:rPr>
              <w:t>，</w:t>
            </w:r>
            <w:r>
              <w:rPr>
                <w:rFonts w:hint="eastAsia" w:ascii="Times New Roman" w:hAnsi="Times New Roman" w:cs="Times New Roman" w:eastAsiaTheme="minorEastAsia"/>
                <w:b w:val="0"/>
                <w:sz w:val="24"/>
                <w:szCs w:val="24"/>
              </w:rPr>
              <w:t>有望</w:t>
            </w:r>
            <w:r>
              <w:rPr>
                <w:rFonts w:ascii="Times New Roman" w:hAnsi="Times New Roman" w:cs="Times New Roman" w:eastAsiaTheme="minorEastAsia"/>
                <w:b w:val="0"/>
                <w:sz w:val="24"/>
                <w:szCs w:val="24"/>
              </w:rPr>
              <w:t>成为</w:t>
            </w:r>
            <w:r>
              <w:rPr>
                <w:rFonts w:hint="eastAsia" w:ascii="Times New Roman" w:hAnsi="Times New Roman" w:cs="Times New Roman" w:eastAsiaTheme="minorEastAsia"/>
                <w:b w:val="0"/>
                <w:sz w:val="24"/>
                <w:szCs w:val="24"/>
              </w:rPr>
              <w:t>新的</w:t>
            </w:r>
            <w:r>
              <w:rPr>
                <w:rFonts w:ascii="Times New Roman" w:hAnsi="Times New Roman" w:cs="Times New Roman" w:eastAsiaTheme="minorEastAsia"/>
                <w:b w:val="0"/>
                <w:sz w:val="24"/>
                <w:szCs w:val="24"/>
              </w:rPr>
              <w:t>利润增长点。</w:t>
            </w:r>
          </w:p>
          <w:p w14:paraId="22172AF3">
            <w:pPr>
              <w:pStyle w:val="13"/>
              <w:ind w:firstLine="480"/>
              <w:rPr>
                <w:rFonts w:ascii="Times New Roman" w:hAnsi="Times New Roman" w:cs="Times New Roman" w:eastAsiaTheme="minorEastAsia"/>
                <w:b w:val="0"/>
                <w:sz w:val="24"/>
                <w:szCs w:val="24"/>
              </w:rPr>
            </w:pPr>
          </w:p>
          <w:p w14:paraId="4EECD5E3">
            <w:pPr>
              <w:pStyle w:val="13"/>
              <w:ind w:firstLine="482"/>
              <w:rPr>
                <w:rFonts w:ascii="Times New Roman" w:hAnsi="Times New Roman" w:cs="Times New Roman" w:eastAsiaTheme="minorEastAsia"/>
                <w:b w:val="0"/>
                <w:sz w:val="24"/>
                <w:szCs w:val="24"/>
              </w:rPr>
            </w:pPr>
            <w:r>
              <w:rPr>
                <w:rFonts w:ascii="Times New Roman" w:hAnsi="Times New Roman" w:cs="Times New Roman" w:eastAsiaTheme="minorEastAsia"/>
                <w:sz w:val="24"/>
                <w:szCs w:val="24"/>
              </w:rPr>
              <w:t>5.请问关于未来机器人行业的发展趋势和潜力材料方面有何看法？公司在拥抱这些产业方面做了哪些努力？</w:t>
            </w:r>
          </w:p>
          <w:p w14:paraId="22E2CDF9">
            <w:pPr>
              <w:pStyle w:val="13"/>
              <w:ind w:firstLine="480"/>
              <w:rPr>
                <w:rFonts w:ascii="Times New Roman" w:hAnsi="Times New Roman" w:cs="Times New Roman" w:eastAsiaTheme="minorEastAsia"/>
                <w:b w:val="0"/>
                <w:sz w:val="24"/>
                <w:szCs w:val="24"/>
              </w:rPr>
            </w:pPr>
            <w:r>
              <w:rPr>
                <w:rFonts w:ascii="Times New Roman" w:hAnsi="Times New Roman" w:cs="Times New Roman" w:eastAsiaTheme="minorEastAsia"/>
                <w:b w:val="0"/>
                <w:sz w:val="24"/>
                <w:szCs w:val="24"/>
              </w:rPr>
              <w:t>答:机器人行业与汽车供应链在</w:t>
            </w:r>
            <w:r>
              <w:rPr>
                <w:rFonts w:hint="eastAsia" w:ascii="Times New Roman" w:hAnsi="Times New Roman" w:cs="Times New Roman" w:eastAsiaTheme="minorEastAsia"/>
                <w:b w:val="0"/>
                <w:sz w:val="24"/>
                <w:szCs w:val="24"/>
              </w:rPr>
              <w:t>三电系统等</w:t>
            </w:r>
            <w:r>
              <w:rPr>
                <w:rFonts w:ascii="Times New Roman" w:hAnsi="Times New Roman" w:cs="Times New Roman" w:eastAsiaTheme="minorEastAsia"/>
                <w:b w:val="0"/>
                <w:sz w:val="24"/>
                <w:szCs w:val="24"/>
              </w:rPr>
              <w:t>核心零部件及材料领域存在重叠。公司</w:t>
            </w:r>
            <w:r>
              <w:rPr>
                <w:rFonts w:hint="eastAsia" w:ascii="Times New Roman" w:hAnsi="Times New Roman" w:cs="Times New Roman" w:eastAsiaTheme="minorEastAsia"/>
                <w:b w:val="0"/>
                <w:sz w:val="24"/>
                <w:szCs w:val="24"/>
              </w:rPr>
              <w:t>重视新兴行业的发展，在产业基金上也</w:t>
            </w:r>
            <w:r>
              <w:rPr>
                <w:rFonts w:ascii="Times New Roman" w:hAnsi="Times New Roman" w:cs="Times New Roman" w:eastAsiaTheme="minorEastAsia"/>
                <w:b w:val="0"/>
                <w:sz w:val="24"/>
                <w:szCs w:val="24"/>
              </w:rPr>
              <w:t>投资了新兴行业，特别是</w:t>
            </w:r>
            <w:r>
              <w:rPr>
                <w:rFonts w:hint="eastAsia" w:ascii="Times New Roman" w:hAnsi="Times New Roman" w:cs="Times New Roman" w:eastAsiaTheme="minorEastAsia"/>
                <w:b w:val="0"/>
                <w:sz w:val="24"/>
                <w:szCs w:val="24"/>
              </w:rPr>
              <w:t>人形</w:t>
            </w:r>
            <w:r>
              <w:rPr>
                <w:rFonts w:ascii="Times New Roman" w:hAnsi="Times New Roman" w:cs="Times New Roman" w:eastAsiaTheme="minorEastAsia"/>
                <w:b w:val="0"/>
                <w:sz w:val="24"/>
                <w:szCs w:val="24"/>
              </w:rPr>
              <w:t>机器人、人工智能和新材料</w:t>
            </w:r>
            <w:r>
              <w:rPr>
                <w:rFonts w:hint="eastAsia" w:ascii="Times New Roman" w:hAnsi="Times New Roman" w:cs="Times New Roman" w:eastAsiaTheme="minorEastAsia"/>
                <w:b w:val="0"/>
                <w:sz w:val="24"/>
                <w:szCs w:val="24"/>
              </w:rPr>
              <w:t>等前沿方向</w:t>
            </w:r>
            <w:r>
              <w:rPr>
                <w:rFonts w:ascii="Times New Roman" w:hAnsi="Times New Roman" w:cs="Times New Roman" w:eastAsiaTheme="minorEastAsia"/>
                <w:b w:val="0"/>
                <w:sz w:val="24"/>
                <w:szCs w:val="24"/>
              </w:rPr>
              <w:t>，</w:t>
            </w:r>
            <w:r>
              <w:rPr>
                <w:rFonts w:hint="eastAsia" w:ascii="Times New Roman" w:hAnsi="Times New Roman" w:cs="Times New Roman" w:eastAsiaTheme="minorEastAsia"/>
                <w:b w:val="0"/>
                <w:sz w:val="24"/>
                <w:szCs w:val="24"/>
              </w:rPr>
              <w:t>实现财务回报与产业资源协同的双重目标</w:t>
            </w:r>
            <w:r>
              <w:rPr>
                <w:rFonts w:ascii="Times New Roman" w:hAnsi="Times New Roman" w:cs="Times New Roman" w:eastAsiaTheme="minorEastAsia"/>
                <w:b w:val="0"/>
                <w:sz w:val="24"/>
                <w:szCs w:val="24"/>
              </w:rPr>
              <w:t>。</w:t>
            </w:r>
            <w:r>
              <w:rPr>
                <w:rFonts w:hint="eastAsia" w:ascii="Times New Roman" w:hAnsi="Times New Roman" w:cs="Times New Roman" w:eastAsiaTheme="minorEastAsia"/>
                <w:b w:val="0"/>
                <w:sz w:val="24"/>
                <w:szCs w:val="24"/>
              </w:rPr>
              <w:t>随着人形机器人技术不断发展，轻量化已成为重要趋势</w:t>
            </w:r>
            <w:r>
              <w:rPr>
                <w:rFonts w:ascii="Times New Roman" w:hAnsi="Times New Roman" w:cs="Times New Roman" w:eastAsiaTheme="minorEastAsia"/>
                <w:b w:val="0"/>
                <w:sz w:val="24"/>
                <w:szCs w:val="24"/>
              </w:rPr>
              <w:t>，</w:t>
            </w:r>
            <w:r>
              <w:rPr>
                <w:rFonts w:hint="eastAsia" w:ascii="Times New Roman" w:hAnsi="Times New Roman" w:cs="Times New Roman" w:eastAsiaTheme="minorEastAsia"/>
                <w:b w:val="0"/>
                <w:sz w:val="24"/>
                <w:szCs w:val="24"/>
              </w:rPr>
              <w:t>以高性能高分子材料替代金属应用于肢体骨骼结构可实现人形机器人减重</w:t>
            </w:r>
            <w:r>
              <w:rPr>
                <w:rFonts w:ascii="Times New Roman" w:hAnsi="Times New Roman" w:cs="Times New Roman" w:eastAsiaTheme="minorEastAsia"/>
                <w:b w:val="0"/>
                <w:sz w:val="24"/>
                <w:szCs w:val="24"/>
              </w:rPr>
              <w:t>，不仅有助于整体性能优化，</w:t>
            </w:r>
            <w:r>
              <w:rPr>
                <w:rFonts w:hint="eastAsia" w:ascii="Times New Roman" w:hAnsi="Times New Roman" w:cs="Times New Roman" w:eastAsiaTheme="minorEastAsia"/>
                <w:b w:val="0"/>
                <w:sz w:val="24"/>
                <w:szCs w:val="24"/>
              </w:rPr>
              <w:t>也</w:t>
            </w:r>
            <w:r>
              <w:rPr>
                <w:rFonts w:ascii="Times New Roman" w:hAnsi="Times New Roman" w:cs="Times New Roman" w:eastAsiaTheme="minorEastAsia"/>
                <w:b w:val="0"/>
                <w:sz w:val="24"/>
                <w:szCs w:val="24"/>
              </w:rPr>
              <w:t>将显著带动新材料需求</w:t>
            </w:r>
            <w:r>
              <w:rPr>
                <w:rFonts w:hint="eastAsia" w:ascii="Times New Roman" w:hAnsi="Times New Roman" w:cs="Times New Roman" w:eastAsiaTheme="minorEastAsia"/>
                <w:b w:val="0"/>
                <w:sz w:val="24"/>
                <w:szCs w:val="24"/>
              </w:rPr>
              <w:t>的</w:t>
            </w:r>
            <w:r>
              <w:rPr>
                <w:rFonts w:ascii="Times New Roman" w:hAnsi="Times New Roman" w:cs="Times New Roman" w:eastAsiaTheme="minorEastAsia"/>
                <w:b w:val="0"/>
                <w:sz w:val="24"/>
                <w:szCs w:val="24"/>
              </w:rPr>
              <w:t>提升。在此背景下，改性工程塑料与特种工程塑料有望成为公司新的重要业绩增长点。</w:t>
            </w:r>
          </w:p>
          <w:p w14:paraId="0F9A1E81">
            <w:pPr>
              <w:pStyle w:val="13"/>
              <w:ind w:firstLine="480"/>
              <w:rPr>
                <w:rFonts w:ascii="Times New Roman" w:hAnsi="Times New Roman" w:cs="Times New Roman" w:eastAsiaTheme="minorEastAsia"/>
                <w:b w:val="0"/>
                <w:sz w:val="24"/>
                <w:szCs w:val="24"/>
              </w:rPr>
            </w:pPr>
          </w:p>
          <w:p w14:paraId="4AEC1727">
            <w:pPr>
              <w:pStyle w:val="13"/>
              <w:ind w:firstLine="482"/>
              <w:rPr>
                <w:rFonts w:ascii="Times New Roman" w:hAnsi="Times New Roman" w:cs="Times New Roman" w:eastAsiaTheme="minorEastAsia"/>
                <w:sz w:val="24"/>
                <w:szCs w:val="24"/>
              </w:rPr>
            </w:pPr>
            <w:r>
              <w:rPr>
                <w:rFonts w:ascii="Times New Roman" w:hAnsi="Times New Roman" w:cs="Times New Roman" w:eastAsiaTheme="minorEastAsia"/>
                <w:sz w:val="24"/>
                <w:szCs w:val="24"/>
              </w:rPr>
              <w:t>6.</w:t>
            </w:r>
            <w:r>
              <w:rPr>
                <w:rFonts w:hint="eastAsia" w:ascii="Times New Roman" w:hAnsi="Times New Roman" w:cs="Times New Roman" w:eastAsiaTheme="minorEastAsia"/>
                <w:sz w:val="24"/>
                <w:szCs w:val="24"/>
              </w:rPr>
              <w:t>公司自</w:t>
            </w:r>
            <w:r>
              <w:rPr>
                <w:rFonts w:ascii="Times New Roman" w:hAnsi="Times New Roman" w:cs="Times New Roman" w:eastAsiaTheme="minorEastAsia"/>
                <w:sz w:val="24"/>
                <w:szCs w:val="24"/>
              </w:rPr>
              <w:t>去年</w:t>
            </w:r>
            <w:r>
              <w:rPr>
                <w:rFonts w:hint="eastAsia" w:ascii="Times New Roman" w:hAnsi="Times New Roman" w:cs="Times New Roman" w:eastAsiaTheme="minorEastAsia"/>
                <w:sz w:val="24"/>
                <w:szCs w:val="24"/>
              </w:rPr>
              <w:t>管理层</w:t>
            </w:r>
            <w:r>
              <w:rPr>
                <w:rFonts w:ascii="Times New Roman" w:hAnsi="Times New Roman" w:cs="Times New Roman" w:eastAsiaTheme="minorEastAsia"/>
                <w:sz w:val="24"/>
                <w:szCs w:val="24"/>
              </w:rPr>
              <w:t>换届以来</w:t>
            </w:r>
            <w:r>
              <w:rPr>
                <w:rFonts w:hint="eastAsia" w:ascii="Times New Roman" w:hAnsi="Times New Roman" w:cs="Times New Roman" w:eastAsiaTheme="minorEastAsia"/>
                <w:sz w:val="24"/>
                <w:szCs w:val="24"/>
              </w:rPr>
              <w:t>，新管理层</w:t>
            </w:r>
            <w:r>
              <w:rPr>
                <w:rFonts w:ascii="Times New Roman" w:hAnsi="Times New Roman" w:cs="Times New Roman" w:eastAsiaTheme="minorEastAsia"/>
                <w:sz w:val="24"/>
                <w:szCs w:val="24"/>
              </w:rPr>
              <w:t>已</w:t>
            </w:r>
            <w:r>
              <w:rPr>
                <w:rFonts w:hint="eastAsia" w:ascii="Times New Roman" w:hAnsi="Times New Roman" w:cs="Times New Roman" w:eastAsiaTheme="minorEastAsia"/>
                <w:sz w:val="24"/>
                <w:szCs w:val="24"/>
              </w:rPr>
              <w:t>履职</w:t>
            </w:r>
            <w:r>
              <w:rPr>
                <w:rFonts w:ascii="Times New Roman" w:hAnsi="Times New Roman" w:cs="Times New Roman" w:eastAsiaTheme="minorEastAsia"/>
                <w:sz w:val="24"/>
                <w:szCs w:val="24"/>
              </w:rPr>
              <w:t>超过一年，目前</w:t>
            </w:r>
            <w:r>
              <w:rPr>
                <w:rFonts w:hint="eastAsia" w:ascii="Times New Roman" w:hAnsi="Times New Roman" w:cs="Times New Roman" w:eastAsiaTheme="minorEastAsia"/>
                <w:sz w:val="24"/>
                <w:szCs w:val="24"/>
              </w:rPr>
              <w:t>其</w:t>
            </w:r>
            <w:r>
              <w:rPr>
                <w:rFonts w:ascii="Times New Roman" w:hAnsi="Times New Roman" w:cs="Times New Roman" w:eastAsiaTheme="minorEastAsia"/>
                <w:sz w:val="24"/>
                <w:szCs w:val="24"/>
              </w:rPr>
              <w:t>管理思路有哪些变化吗？</w:t>
            </w:r>
          </w:p>
          <w:p w14:paraId="25D53AEF">
            <w:pPr>
              <w:pStyle w:val="13"/>
              <w:ind w:firstLine="480"/>
              <w:rPr>
                <w:rFonts w:ascii="Times New Roman" w:hAnsi="Times New Roman" w:cs="Times New Roman" w:eastAsiaTheme="minorEastAsia"/>
                <w:b w:val="0"/>
                <w:sz w:val="24"/>
                <w:szCs w:val="24"/>
              </w:rPr>
            </w:pPr>
            <w:r>
              <w:rPr>
                <w:rFonts w:ascii="Times New Roman" w:hAnsi="Times New Roman" w:cs="Times New Roman" w:eastAsiaTheme="minorEastAsia"/>
                <w:b w:val="0"/>
                <w:sz w:val="24"/>
                <w:szCs w:val="24"/>
              </w:rPr>
              <w:t>答:</w:t>
            </w:r>
            <w:r>
              <w:rPr>
                <w:rFonts w:hint="eastAsia" w:ascii="Times New Roman" w:hAnsi="Times New Roman" w:cs="Times New Roman" w:eastAsiaTheme="minorEastAsia"/>
                <w:b w:val="0"/>
                <w:sz w:val="24"/>
                <w:szCs w:val="24"/>
              </w:rPr>
              <w:t>公司的战略目标是清晰的，并坚持年度复盘机制，公司新的管理层既是战略制定的参与者，也是推动者，自公司</w:t>
            </w:r>
            <w:r>
              <w:rPr>
                <w:rFonts w:ascii="Times New Roman" w:hAnsi="Times New Roman" w:cs="Times New Roman" w:eastAsiaTheme="minorEastAsia"/>
                <w:b w:val="0"/>
                <w:sz w:val="24"/>
                <w:szCs w:val="24"/>
              </w:rPr>
              <w:t>去年5月份管理层换届以来，公司</w:t>
            </w:r>
            <w:r>
              <w:rPr>
                <w:rFonts w:hint="eastAsia" w:ascii="Times New Roman" w:hAnsi="Times New Roman" w:cs="Times New Roman" w:eastAsiaTheme="minorEastAsia"/>
                <w:b w:val="0"/>
                <w:sz w:val="24"/>
                <w:szCs w:val="24"/>
              </w:rPr>
              <w:t>仍按照既定</w:t>
            </w:r>
            <w:r>
              <w:rPr>
                <w:rFonts w:ascii="Times New Roman" w:hAnsi="Times New Roman" w:cs="Times New Roman" w:eastAsiaTheme="minorEastAsia"/>
                <w:b w:val="0"/>
                <w:sz w:val="24"/>
                <w:szCs w:val="24"/>
              </w:rPr>
              <w:t>的战略</w:t>
            </w:r>
            <w:r>
              <w:rPr>
                <w:rFonts w:hint="eastAsia" w:ascii="Times New Roman" w:hAnsi="Times New Roman" w:cs="Times New Roman" w:eastAsiaTheme="minorEastAsia"/>
                <w:b w:val="0"/>
                <w:sz w:val="24"/>
                <w:szCs w:val="24"/>
              </w:rPr>
              <w:t>稳健发展，在提升经营业绩方面取得多项成效</w:t>
            </w:r>
            <w:r>
              <w:rPr>
                <w:rFonts w:ascii="Times New Roman" w:hAnsi="Times New Roman" w:cs="Times New Roman" w:eastAsiaTheme="minorEastAsia"/>
                <w:b w:val="0"/>
                <w:sz w:val="24"/>
                <w:szCs w:val="24"/>
              </w:rPr>
              <w:t>，包括降低</w:t>
            </w:r>
            <w:r>
              <w:rPr>
                <w:rFonts w:hint="eastAsia" w:ascii="Times New Roman" w:hAnsi="Times New Roman" w:cs="Times New Roman" w:eastAsiaTheme="minorEastAsia"/>
                <w:b w:val="0"/>
                <w:sz w:val="24"/>
                <w:szCs w:val="24"/>
              </w:rPr>
              <w:t>融资成本与资产</w:t>
            </w:r>
            <w:r>
              <w:rPr>
                <w:rFonts w:ascii="Times New Roman" w:hAnsi="Times New Roman" w:cs="Times New Roman" w:eastAsiaTheme="minorEastAsia"/>
                <w:b w:val="0"/>
                <w:sz w:val="24"/>
                <w:szCs w:val="24"/>
              </w:rPr>
              <w:t>负债率</w:t>
            </w:r>
            <w:r>
              <w:rPr>
                <w:rFonts w:hint="eastAsia" w:ascii="Times New Roman" w:hAnsi="Times New Roman" w:cs="Times New Roman" w:eastAsiaTheme="minorEastAsia"/>
                <w:b w:val="0"/>
                <w:sz w:val="24"/>
                <w:szCs w:val="24"/>
              </w:rPr>
              <w:t>，增强公司的</w:t>
            </w:r>
            <w:r>
              <w:rPr>
                <w:rFonts w:ascii="Times New Roman" w:hAnsi="Times New Roman" w:cs="Times New Roman" w:eastAsiaTheme="minorEastAsia"/>
                <w:b w:val="0"/>
                <w:sz w:val="24"/>
                <w:szCs w:val="24"/>
              </w:rPr>
              <w:t>经营安全</w:t>
            </w:r>
            <w:r>
              <w:rPr>
                <w:rFonts w:hint="eastAsia" w:ascii="Times New Roman" w:hAnsi="Times New Roman" w:cs="Times New Roman" w:eastAsiaTheme="minorEastAsia"/>
                <w:b w:val="0"/>
                <w:sz w:val="24"/>
                <w:szCs w:val="24"/>
              </w:rPr>
              <w:t>性</w:t>
            </w:r>
            <w:r>
              <w:rPr>
                <w:rFonts w:ascii="Times New Roman" w:hAnsi="Times New Roman" w:cs="Times New Roman" w:eastAsiaTheme="minorEastAsia"/>
                <w:b w:val="0"/>
                <w:sz w:val="24"/>
                <w:szCs w:val="24"/>
              </w:rPr>
              <w:t>和现金流</w:t>
            </w:r>
            <w:r>
              <w:rPr>
                <w:rFonts w:hint="eastAsia" w:ascii="Times New Roman" w:hAnsi="Times New Roman" w:cs="Times New Roman" w:eastAsiaTheme="minorEastAsia"/>
                <w:b w:val="0"/>
                <w:sz w:val="24"/>
                <w:szCs w:val="24"/>
              </w:rPr>
              <w:t>水平。同时，</w:t>
            </w:r>
            <w:r>
              <w:rPr>
                <w:rFonts w:ascii="Times New Roman" w:hAnsi="Times New Roman" w:cs="Times New Roman" w:eastAsiaTheme="minorEastAsia"/>
                <w:b w:val="0"/>
                <w:sz w:val="24"/>
                <w:szCs w:val="24"/>
              </w:rPr>
              <w:t>公司的净利润和市值也</w:t>
            </w:r>
            <w:r>
              <w:rPr>
                <w:rFonts w:hint="eastAsia" w:ascii="Times New Roman" w:hAnsi="Times New Roman" w:cs="Times New Roman" w:eastAsiaTheme="minorEastAsia"/>
                <w:b w:val="0"/>
                <w:sz w:val="24"/>
                <w:szCs w:val="24"/>
              </w:rPr>
              <w:t>实现</w:t>
            </w:r>
            <w:r>
              <w:rPr>
                <w:rFonts w:ascii="Times New Roman" w:hAnsi="Times New Roman" w:cs="Times New Roman" w:eastAsiaTheme="minorEastAsia"/>
                <w:b w:val="0"/>
                <w:sz w:val="24"/>
                <w:szCs w:val="24"/>
              </w:rPr>
              <w:t>稳步提升。</w:t>
            </w:r>
            <w:r>
              <w:rPr>
                <w:rFonts w:hint="eastAsia" w:ascii="Times New Roman" w:hAnsi="Times New Roman" w:cs="Times New Roman" w:eastAsiaTheme="minorEastAsia"/>
                <w:b w:val="0"/>
                <w:sz w:val="24"/>
                <w:szCs w:val="24"/>
              </w:rPr>
              <w:t>公司后续将继续坚持“强化中间，夯实两端，创新引领，跨越发展”的千亿战略发展方针，致力于打造一流的研发、营销、供应和制造平台，成为全球倍受推崇的新材料企业，为国家战略性材料提供保障和支撑。</w:t>
            </w:r>
          </w:p>
          <w:p w14:paraId="4EBF0A14">
            <w:pPr>
              <w:pStyle w:val="13"/>
              <w:ind w:firstLine="480"/>
              <w:rPr>
                <w:rFonts w:ascii="Times New Roman" w:hAnsi="Times New Roman" w:cs="Times New Roman" w:eastAsiaTheme="minorEastAsia"/>
                <w:b w:val="0"/>
                <w:sz w:val="24"/>
                <w:szCs w:val="24"/>
              </w:rPr>
            </w:pPr>
          </w:p>
        </w:tc>
      </w:tr>
      <w:tr w14:paraId="44B68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413" w:type="dxa"/>
            <w:vAlign w:val="center"/>
          </w:tcPr>
          <w:p w14:paraId="20F32F41">
            <w:pPr>
              <w:pStyle w:val="13"/>
              <w:snapToGrid w:val="0"/>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附件清单</w:t>
            </w:r>
          </w:p>
        </w:tc>
        <w:tc>
          <w:tcPr>
            <w:tcW w:w="7112" w:type="dxa"/>
            <w:vAlign w:val="center"/>
          </w:tcPr>
          <w:p w14:paraId="15799D44">
            <w:pPr>
              <w:pStyle w:val="13"/>
              <w:spacing w:line="240" w:lineRule="auto"/>
              <w:ind w:firstLine="0" w:firstLineChars="0"/>
              <w:rPr>
                <w:rFonts w:ascii="Times New Roman" w:hAnsi="Times New Roman" w:cs="Times New Roman"/>
                <w:b w:val="0"/>
                <w:sz w:val="24"/>
                <w:szCs w:val="24"/>
              </w:rPr>
            </w:pPr>
            <w:r>
              <w:rPr>
                <w:rFonts w:ascii="Times New Roman" w:hAnsi="Times New Roman" w:cs="Times New Roman"/>
                <w:b w:val="0"/>
                <w:sz w:val="24"/>
                <w:szCs w:val="24"/>
              </w:rPr>
              <w:t>参与交流的机构及人员（排名不分先后）</w:t>
            </w:r>
          </w:p>
          <w:tbl>
            <w:tblPr>
              <w:tblStyle w:val="9"/>
              <w:tblW w:w="6546" w:type="dxa"/>
              <w:tblInd w:w="0" w:type="dxa"/>
              <w:tblLayout w:type="autofit"/>
              <w:tblCellMar>
                <w:top w:w="0" w:type="dxa"/>
                <w:left w:w="108" w:type="dxa"/>
                <w:bottom w:w="0" w:type="dxa"/>
                <w:right w:w="108" w:type="dxa"/>
              </w:tblCellMar>
            </w:tblPr>
            <w:tblGrid>
              <w:gridCol w:w="624"/>
              <w:gridCol w:w="833"/>
              <w:gridCol w:w="2059"/>
              <w:gridCol w:w="624"/>
              <w:gridCol w:w="833"/>
              <w:gridCol w:w="1573"/>
            </w:tblGrid>
            <w:tr w14:paraId="369B3069">
              <w:tblPrEx>
                <w:tblCellMar>
                  <w:top w:w="0" w:type="dxa"/>
                  <w:left w:w="108" w:type="dxa"/>
                  <w:bottom w:w="0" w:type="dxa"/>
                  <w:right w:w="108" w:type="dxa"/>
                </w:tblCellMar>
              </w:tblPrEx>
              <w:trPr>
                <w:trHeight w:val="297" w:hRule="atLeast"/>
              </w:trPr>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6251B">
                  <w:pPr>
                    <w:widowControl/>
                    <w:autoSpaceDE/>
                    <w:autoSpaceDN/>
                    <w:jc w:val="center"/>
                    <w:rPr>
                      <w:rFonts w:ascii="Times New Roman" w:hAnsi="Times New Roman" w:eastAsia="等线" w:cs="Times New Roman"/>
                      <w:b/>
                      <w:bCs/>
                      <w:color w:val="000000"/>
                      <w:sz w:val="20"/>
                      <w:szCs w:val="20"/>
                      <w:lang w:val="en-US" w:bidi="ar-SA"/>
                    </w:rPr>
                  </w:pPr>
                  <w:r>
                    <w:rPr>
                      <w:rFonts w:hint="eastAsia" w:ascii="宋体" w:hAnsi="宋体" w:eastAsia="宋体" w:cs="Times New Roman"/>
                      <w:b/>
                      <w:bCs/>
                      <w:color w:val="000000"/>
                      <w:sz w:val="20"/>
                      <w:szCs w:val="20"/>
                      <w:lang w:val="en-US" w:bidi="ar-SA"/>
                    </w:rPr>
                    <w:t>序号</w:t>
                  </w:r>
                </w:p>
              </w:tc>
              <w:tc>
                <w:tcPr>
                  <w:tcW w:w="833" w:type="dxa"/>
                  <w:tcBorders>
                    <w:top w:val="single" w:color="auto" w:sz="4" w:space="0"/>
                    <w:left w:val="nil"/>
                    <w:bottom w:val="single" w:color="auto" w:sz="4" w:space="0"/>
                    <w:right w:val="single" w:color="auto" w:sz="4" w:space="0"/>
                  </w:tcBorders>
                  <w:shd w:val="clear" w:color="auto" w:fill="auto"/>
                  <w:vAlign w:val="center"/>
                </w:tcPr>
                <w:p w14:paraId="662A4842">
                  <w:pPr>
                    <w:widowControl/>
                    <w:autoSpaceDE/>
                    <w:autoSpaceDN/>
                    <w:jc w:val="center"/>
                    <w:rPr>
                      <w:rFonts w:ascii="Times New Roman" w:hAnsi="Times New Roman" w:eastAsia="等线" w:cs="Times New Roman"/>
                      <w:b/>
                      <w:bCs/>
                      <w:sz w:val="20"/>
                      <w:szCs w:val="20"/>
                      <w:lang w:val="en-US" w:bidi="ar-SA"/>
                    </w:rPr>
                  </w:pPr>
                  <w:r>
                    <w:rPr>
                      <w:rFonts w:hint="eastAsia" w:ascii="宋体" w:hAnsi="宋体" w:eastAsia="宋体" w:cs="Times New Roman"/>
                      <w:b/>
                      <w:bCs/>
                      <w:sz w:val="20"/>
                      <w:szCs w:val="20"/>
                      <w:lang w:val="en-US" w:bidi="ar-SA"/>
                    </w:rPr>
                    <w:t>姓名</w:t>
                  </w:r>
                </w:p>
              </w:tc>
              <w:tc>
                <w:tcPr>
                  <w:tcW w:w="2059" w:type="dxa"/>
                  <w:tcBorders>
                    <w:top w:val="single" w:color="auto" w:sz="4" w:space="0"/>
                    <w:left w:val="nil"/>
                    <w:bottom w:val="single" w:color="auto" w:sz="4" w:space="0"/>
                    <w:right w:val="single" w:color="auto" w:sz="4" w:space="0"/>
                  </w:tcBorders>
                  <w:shd w:val="clear" w:color="auto" w:fill="auto"/>
                  <w:vAlign w:val="center"/>
                </w:tcPr>
                <w:p w14:paraId="7F2308CE">
                  <w:pPr>
                    <w:widowControl/>
                    <w:autoSpaceDE/>
                    <w:autoSpaceDN/>
                    <w:jc w:val="center"/>
                    <w:rPr>
                      <w:rFonts w:ascii="Times New Roman" w:hAnsi="Times New Roman" w:eastAsia="等线" w:cs="Times New Roman"/>
                      <w:b/>
                      <w:bCs/>
                      <w:sz w:val="20"/>
                      <w:szCs w:val="20"/>
                      <w:lang w:val="en-US" w:bidi="ar-SA"/>
                    </w:rPr>
                  </w:pPr>
                  <w:r>
                    <w:rPr>
                      <w:rFonts w:hint="eastAsia" w:ascii="宋体" w:hAnsi="宋体" w:eastAsia="宋体" w:cs="Times New Roman"/>
                      <w:b/>
                      <w:bCs/>
                      <w:sz w:val="20"/>
                      <w:szCs w:val="20"/>
                      <w:lang w:val="en-US" w:bidi="ar-SA"/>
                    </w:rPr>
                    <w:t>公司</w:t>
                  </w:r>
                </w:p>
              </w:tc>
              <w:tc>
                <w:tcPr>
                  <w:tcW w:w="624" w:type="dxa"/>
                  <w:tcBorders>
                    <w:top w:val="single" w:color="auto" w:sz="4" w:space="0"/>
                    <w:left w:val="nil"/>
                    <w:bottom w:val="single" w:color="auto" w:sz="4" w:space="0"/>
                    <w:right w:val="single" w:color="auto" w:sz="4" w:space="0"/>
                  </w:tcBorders>
                  <w:shd w:val="clear" w:color="auto" w:fill="auto"/>
                  <w:noWrap/>
                  <w:vAlign w:val="center"/>
                </w:tcPr>
                <w:p w14:paraId="7E15B833">
                  <w:pPr>
                    <w:widowControl/>
                    <w:autoSpaceDE/>
                    <w:autoSpaceDN/>
                    <w:jc w:val="center"/>
                    <w:rPr>
                      <w:rFonts w:ascii="Times New Roman" w:hAnsi="Times New Roman" w:eastAsia="等线" w:cs="Times New Roman"/>
                      <w:b/>
                      <w:bCs/>
                      <w:color w:val="000000"/>
                      <w:sz w:val="20"/>
                      <w:szCs w:val="20"/>
                      <w:lang w:val="en-US" w:bidi="ar-SA"/>
                    </w:rPr>
                  </w:pPr>
                  <w:r>
                    <w:rPr>
                      <w:rFonts w:hint="eastAsia" w:ascii="宋体" w:hAnsi="宋体" w:eastAsia="宋体" w:cs="Times New Roman"/>
                      <w:b/>
                      <w:bCs/>
                      <w:color w:val="000000"/>
                      <w:sz w:val="20"/>
                      <w:szCs w:val="20"/>
                      <w:lang w:val="en-US" w:bidi="ar-SA"/>
                    </w:rPr>
                    <w:t>序号</w:t>
                  </w:r>
                </w:p>
              </w:tc>
              <w:tc>
                <w:tcPr>
                  <w:tcW w:w="833" w:type="dxa"/>
                  <w:tcBorders>
                    <w:top w:val="single" w:color="auto" w:sz="4" w:space="0"/>
                    <w:left w:val="nil"/>
                    <w:bottom w:val="single" w:color="auto" w:sz="4" w:space="0"/>
                    <w:right w:val="single" w:color="auto" w:sz="4" w:space="0"/>
                  </w:tcBorders>
                  <w:shd w:val="clear" w:color="auto" w:fill="auto"/>
                  <w:vAlign w:val="center"/>
                </w:tcPr>
                <w:p w14:paraId="224875FD">
                  <w:pPr>
                    <w:widowControl/>
                    <w:autoSpaceDE/>
                    <w:autoSpaceDN/>
                    <w:jc w:val="center"/>
                    <w:rPr>
                      <w:rFonts w:ascii="Times New Roman" w:hAnsi="Times New Roman" w:eastAsia="等线" w:cs="Times New Roman"/>
                      <w:b/>
                      <w:bCs/>
                      <w:sz w:val="20"/>
                      <w:szCs w:val="20"/>
                      <w:lang w:val="en-US" w:bidi="ar-SA"/>
                    </w:rPr>
                  </w:pPr>
                  <w:r>
                    <w:rPr>
                      <w:rFonts w:hint="eastAsia" w:ascii="宋体" w:hAnsi="宋体" w:eastAsia="宋体" w:cs="Times New Roman"/>
                      <w:b/>
                      <w:bCs/>
                      <w:sz w:val="20"/>
                      <w:szCs w:val="20"/>
                      <w:lang w:val="en-US" w:bidi="ar-SA"/>
                    </w:rPr>
                    <w:t>姓名</w:t>
                  </w:r>
                </w:p>
              </w:tc>
              <w:tc>
                <w:tcPr>
                  <w:tcW w:w="1573" w:type="dxa"/>
                  <w:tcBorders>
                    <w:top w:val="single" w:color="auto" w:sz="4" w:space="0"/>
                    <w:left w:val="nil"/>
                    <w:bottom w:val="single" w:color="auto" w:sz="4" w:space="0"/>
                    <w:right w:val="single" w:color="auto" w:sz="4" w:space="0"/>
                  </w:tcBorders>
                  <w:shd w:val="clear" w:color="auto" w:fill="auto"/>
                  <w:vAlign w:val="center"/>
                </w:tcPr>
                <w:p w14:paraId="50E32F52">
                  <w:pPr>
                    <w:widowControl/>
                    <w:autoSpaceDE/>
                    <w:autoSpaceDN/>
                    <w:jc w:val="center"/>
                    <w:rPr>
                      <w:rFonts w:ascii="Times New Roman" w:hAnsi="Times New Roman" w:eastAsia="等线" w:cs="Times New Roman"/>
                      <w:b/>
                      <w:bCs/>
                      <w:sz w:val="20"/>
                      <w:szCs w:val="20"/>
                      <w:lang w:val="en-US" w:bidi="ar-SA"/>
                    </w:rPr>
                  </w:pPr>
                  <w:r>
                    <w:rPr>
                      <w:rFonts w:hint="eastAsia" w:ascii="宋体" w:hAnsi="宋体" w:eastAsia="宋体" w:cs="Times New Roman"/>
                      <w:b/>
                      <w:bCs/>
                      <w:sz w:val="20"/>
                      <w:szCs w:val="20"/>
                      <w:lang w:val="en-US" w:bidi="ar-SA"/>
                    </w:rPr>
                    <w:t>公司</w:t>
                  </w:r>
                </w:p>
              </w:tc>
            </w:tr>
            <w:tr w14:paraId="0E8045F0">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7A9CFAE4">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1</w:t>
                  </w:r>
                </w:p>
              </w:tc>
              <w:tc>
                <w:tcPr>
                  <w:tcW w:w="833" w:type="dxa"/>
                  <w:tcBorders>
                    <w:top w:val="nil"/>
                    <w:left w:val="nil"/>
                    <w:bottom w:val="single" w:color="auto" w:sz="4" w:space="0"/>
                    <w:right w:val="single" w:color="auto" w:sz="4" w:space="0"/>
                  </w:tcBorders>
                  <w:shd w:val="clear" w:color="auto" w:fill="auto"/>
                  <w:vAlign w:val="center"/>
                </w:tcPr>
                <w:p w14:paraId="7351F95B">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李炳超</w:t>
                  </w:r>
                </w:p>
              </w:tc>
              <w:tc>
                <w:tcPr>
                  <w:tcW w:w="2059" w:type="dxa"/>
                  <w:tcBorders>
                    <w:top w:val="nil"/>
                    <w:left w:val="nil"/>
                    <w:bottom w:val="single" w:color="auto" w:sz="4" w:space="0"/>
                    <w:right w:val="single" w:color="auto" w:sz="4" w:space="0"/>
                  </w:tcBorders>
                  <w:shd w:val="clear" w:color="auto" w:fill="auto"/>
                  <w:vAlign w:val="center"/>
                </w:tcPr>
                <w:p w14:paraId="2AD81411">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博时基金</w:t>
                  </w:r>
                </w:p>
              </w:tc>
              <w:tc>
                <w:tcPr>
                  <w:tcW w:w="624" w:type="dxa"/>
                  <w:tcBorders>
                    <w:top w:val="nil"/>
                    <w:left w:val="nil"/>
                    <w:bottom w:val="single" w:color="auto" w:sz="4" w:space="0"/>
                    <w:right w:val="single" w:color="auto" w:sz="4" w:space="0"/>
                  </w:tcBorders>
                  <w:shd w:val="clear" w:color="auto" w:fill="auto"/>
                  <w:vAlign w:val="center"/>
                </w:tcPr>
                <w:p w14:paraId="3E869B54">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38</w:t>
                  </w:r>
                </w:p>
              </w:tc>
              <w:tc>
                <w:tcPr>
                  <w:tcW w:w="833" w:type="dxa"/>
                  <w:tcBorders>
                    <w:top w:val="nil"/>
                    <w:left w:val="nil"/>
                    <w:bottom w:val="single" w:color="auto" w:sz="4" w:space="0"/>
                    <w:right w:val="single" w:color="auto" w:sz="4" w:space="0"/>
                  </w:tcBorders>
                  <w:shd w:val="clear" w:color="auto" w:fill="auto"/>
                  <w:vAlign w:val="center"/>
                </w:tcPr>
                <w:p w14:paraId="4D01C679">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陈慧超</w:t>
                  </w:r>
                </w:p>
              </w:tc>
              <w:tc>
                <w:tcPr>
                  <w:tcW w:w="1573" w:type="dxa"/>
                  <w:tcBorders>
                    <w:top w:val="nil"/>
                    <w:left w:val="nil"/>
                    <w:bottom w:val="single" w:color="auto" w:sz="4" w:space="0"/>
                    <w:right w:val="single" w:color="auto" w:sz="4" w:space="0"/>
                  </w:tcBorders>
                  <w:shd w:val="clear" w:color="auto" w:fill="auto"/>
                  <w:vAlign w:val="center"/>
                </w:tcPr>
                <w:p w14:paraId="5827EB71">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隆象私募基金</w:t>
                  </w:r>
                </w:p>
              </w:tc>
            </w:tr>
            <w:tr w14:paraId="2050AD47">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6A07D3A3">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2</w:t>
                  </w:r>
                </w:p>
              </w:tc>
              <w:tc>
                <w:tcPr>
                  <w:tcW w:w="833" w:type="dxa"/>
                  <w:tcBorders>
                    <w:top w:val="nil"/>
                    <w:left w:val="nil"/>
                    <w:bottom w:val="single" w:color="auto" w:sz="4" w:space="0"/>
                    <w:right w:val="single" w:color="auto" w:sz="4" w:space="0"/>
                  </w:tcBorders>
                  <w:shd w:val="clear" w:color="auto" w:fill="auto"/>
                  <w:vAlign w:val="center"/>
                </w:tcPr>
                <w:p w14:paraId="494F110C">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郝逸璇</w:t>
                  </w:r>
                </w:p>
              </w:tc>
              <w:tc>
                <w:tcPr>
                  <w:tcW w:w="2059" w:type="dxa"/>
                  <w:tcBorders>
                    <w:top w:val="nil"/>
                    <w:left w:val="nil"/>
                    <w:bottom w:val="single" w:color="auto" w:sz="4" w:space="0"/>
                    <w:right w:val="single" w:color="auto" w:sz="4" w:space="0"/>
                  </w:tcBorders>
                  <w:shd w:val="clear" w:color="auto" w:fill="auto"/>
                  <w:vAlign w:val="center"/>
                </w:tcPr>
                <w:p w14:paraId="794DC45C">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德邦证券</w:t>
                  </w:r>
                </w:p>
              </w:tc>
              <w:tc>
                <w:tcPr>
                  <w:tcW w:w="624" w:type="dxa"/>
                  <w:tcBorders>
                    <w:top w:val="nil"/>
                    <w:left w:val="nil"/>
                    <w:bottom w:val="single" w:color="auto" w:sz="4" w:space="0"/>
                    <w:right w:val="single" w:color="auto" w:sz="4" w:space="0"/>
                  </w:tcBorders>
                  <w:shd w:val="clear" w:color="auto" w:fill="auto"/>
                  <w:vAlign w:val="center"/>
                </w:tcPr>
                <w:p w14:paraId="3772F6CE">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39</w:t>
                  </w:r>
                </w:p>
              </w:tc>
              <w:tc>
                <w:tcPr>
                  <w:tcW w:w="833" w:type="dxa"/>
                  <w:tcBorders>
                    <w:top w:val="nil"/>
                    <w:left w:val="nil"/>
                    <w:bottom w:val="single" w:color="auto" w:sz="4" w:space="0"/>
                    <w:right w:val="single" w:color="auto" w:sz="4" w:space="0"/>
                  </w:tcBorders>
                  <w:shd w:val="clear" w:color="auto" w:fill="auto"/>
                  <w:vAlign w:val="center"/>
                </w:tcPr>
                <w:p w14:paraId="50732091">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费晨洪</w:t>
                  </w:r>
                </w:p>
              </w:tc>
              <w:tc>
                <w:tcPr>
                  <w:tcW w:w="1573" w:type="dxa"/>
                  <w:tcBorders>
                    <w:top w:val="nil"/>
                    <w:left w:val="nil"/>
                    <w:bottom w:val="single" w:color="auto" w:sz="4" w:space="0"/>
                    <w:right w:val="single" w:color="auto" w:sz="4" w:space="0"/>
                  </w:tcBorders>
                  <w:shd w:val="clear" w:color="auto" w:fill="auto"/>
                  <w:vAlign w:val="center"/>
                </w:tcPr>
                <w:p w14:paraId="6BB52B72">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民生证券</w:t>
                  </w:r>
                </w:p>
              </w:tc>
            </w:tr>
            <w:tr w14:paraId="35F30827">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52142FD2">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3</w:t>
                  </w:r>
                </w:p>
              </w:tc>
              <w:tc>
                <w:tcPr>
                  <w:tcW w:w="833" w:type="dxa"/>
                  <w:tcBorders>
                    <w:top w:val="nil"/>
                    <w:left w:val="nil"/>
                    <w:bottom w:val="single" w:color="auto" w:sz="4" w:space="0"/>
                    <w:right w:val="single" w:color="auto" w:sz="4" w:space="0"/>
                  </w:tcBorders>
                  <w:shd w:val="clear" w:color="auto" w:fill="auto"/>
                  <w:vAlign w:val="center"/>
                </w:tcPr>
                <w:p w14:paraId="6B7B5983">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沈露瑶</w:t>
                  </w:r>
                </w:p>
              </w:tc>
              <w:tc>
                <w:tcPr>
                  <w:tcW w:w="2059" w:type="dxa"/>
                  <w:tcBorders>
                    <w:top w:val="nil"/>
                    <w:left w:val="nil"/>
                    <w:bottom w:val="single" w:color="auto" w:sz="4" w:space="0"/>
                    <w:right w:val="single" w:color="auto" w:sz="4" w:space="0"/>
                  </w:tcBorders>
                  <w:shd w:val="clear" w:color="auto" w:fill="auto"/>
                  <w:vAlign w:val="center"/>
                </w:tcPr>
                <w:p w14:paraId="7625E8B4">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东北证券</w:t>
                  </w:r>
                </w:p>
              </w:tc>
              <w:tc>
                <w:tcPr>
                  <w:tcW w:w="624" w:type="dxa"/>
                  <w:tcBorders>
                    <w:top w:val="nil"/>
                    <w:left w:val="nil"/>
                    <w:bottom w:val="single" w:color="auto" w:sz="4" w:space="0"/>
                    <w:right w:val="single" w:color="auto" w:sz="4" w:space="0"/>
                  </w:tcBorders>
                  <w:shd w:val="clear" w:color="auto" w:fill="auto"/>
                  <w:vAlign w:val="center"/>
                </w:tcPr>
                <w:p w14:paraId="275D33CF">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40</w:t>
                  </w:r>
                </w:p>
              </w:tc>
              <w:tc>
                <w:tcPr>
                  <w:tcW w:w="833" w:type="dxa"/>
                  <w:tcBorders>
                    <w:top w:val="nil"/>
                    <w:left w:val="nil"/>
                    <w:bottom w:val="single" w:color="auto" w:sz="4" w:space="0"/>
                    <w:right w:val="single" w:color="auto" w:sz="4" w:space="0"/>
                  </w:tcBorders>
                  <w:shd w:val="clear" w:color="auto" w:fill="auto"/>
                  <w:vAlign w:val="center"/>
                </w:tcPr>
                <w:p w14:paraId="3D994DC3">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李金凤</w:t>
                  </w:r>
                </w:p>
              </w:tc>
              <w:tc>
                <w:tcPr>
                  <w:tcW w:w="1573" w:type="dxa"/>
                  <w:tcBorders>
                    <w:top w:val="nil"/>
                    <w:left w:val="nil"/>
                    <w:bottom w:val="single" w:color="auto" w:sz="4" w:space="0"/>
                    <w:right w:val="single" w:color="auto" w:sz="4" w:space="0"/>
                  </w:tcBorders>
                  <w:shd w:val="clear" w:color="auto" w:fill="auto"/>
                  <w:vAlign w:val="center"/>
                </w:tcPr>
                <w:p w14:paraId="3D490935">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民生证券</w:t>
                  </w:r>
                </w:p>
              </w:tc>
            </w:tr>
            <w:tr w14:paraId="1EF2EDEF">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478C8819">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4</w:t>
                  </w:r>
                </w:p>
              </w:tc>
              <w:tc>
                <w:tcPr>
                  <w:tcW w:w="833" w:type="dxa"/>
                  <w:tcBorders>
                    <w:top w:val="nil"/>
                    <w:left w:val="nil"/>
                    <w:bottom w:val="single" w:color="auto" w:sz="4" w:space="0"/>
                    <w:right w:val="single" w:color="auto" w:sz="4" w:space="0"/>
                  </w:tcBorders>
                  <w:shd w:val="clear" w:color="auto" w:fill="auto"/>
                  <w:vAlign w:val="center"/>
                </w:tcPr>
                <w:p w14:paraId="754E0F4E">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王家鑫</w:t>
                  </w:r>
                </w:p>
              </w:tc>
              <w:tc>
                <w:tcPr>
                  <w:tcW w:w="2059" w:type="dxa"/>
                  <w:tcBorders>
                    <w:top w:val="nil"/>
                    <w:left w:val="nil"/>
                    <w:bottom w:val="single" w:color="auto" w:sz="4" w:space="0"/>
                    <w:right w:val="single" w:color="auto" w:sz="4" w:space="0"/>
                  </w:tcBorders>
                  <w:shd w:val="clear" w:color="auto" w:fill="auto"/>
                  <w:vAlign w:val="center"/>
                </w:tcPr>
                <w:p w14:paraId="4EAE1693">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东北证券</w:t>
                  </w:r>
                </w:p>
              </w:tc>
              <w:tc>
                <w:tcPr>
                  <w:tcW w:w="624" w:type="dxa"/>
                  <w:tcBorders>
                    <w:top w:val="nil"/>
                    <w:left w:val="nil"/>
                    <w:bottom w:val="single" w:color="auto" w:sz="4" w:space="0"/>
                    <w:right w:val="single" w:color="auto" w:sz="4" w:space="0"/>
                  </w:tcBorders>
                  <w:shd w:val="clear" w:color="auto" w:fill="auto"/>
                  <w:vAlign w:val="center"/>
                </w:tcPr>
                <w:p w14:paraId="07A4ED55">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41</w:t>
                  </w:r>
                </w:p>
              </w:tc>
              <w:tc>
                <w:tcPr>
                  <w:tcW w:w="833" w:type="dxa"/>
                  <w:tcBorders>
                    <w:top w:val="nil"/>
                    <w:left w:val="nil"/>
                    <w:bottom w:val="single" w:color="auto" w:sz="4" w:space="0"/>
                    <w:right w:val="single" w:color="auto" w:sz="4" w:space="0"/>
                  </w:tcBorders>
                  <w:shd w:val="clear" w:color="auto" w:fill="auto"/>
                  <w:vAlign w:val="center"/>
                </w:tcPr>
                <w:p w14:paraId="5D3186E1">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马书蕾</w:t>
                  </w:r>
                </w:p>
              </w:tc>
              <w:tc>
                <w:tcPr>
                  <w:tcW w:w="1573" w:type="dxa"/>
                  <w:tcBorders>
                    <w:top w:val="nil"/>
                    <w:left w:val="nil"/>
                    <w:bottom w:val="single" w:color="auto" w:sz="4" w:space="0"/>
                    <w:right w:val="single" w:color="auto" w:sz="4" w:space="0"/>
                  </w:tcBorders>
                  <w:shd w:val="clear" w:color="auto" w:fill="auto"/>
                  <w:vAlign w:val="center"/>
                </w:tcPr>
                <w:p w14:paraId="50105DFF">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平安证券</w:t>
                  </w:r>
                </w:p>
              </w:tc>
            </w:tr>
            <w:tr w14:paraId="27B0126C">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689EABAF">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5</w:t>
                  </w:r>
                </w:p>
              </w:tc>
              <w:tc>
                <w:tcPr>
                  <w:tcW w:w="833" w:type="dxa"/>
                  <w:tcBorders>
                    <w:top w:val="nil"/>
                    <w:left w:val="nil"/>
                    <w:bottom w:val="single" w:color="auto" w:sz="4" w:space="0"/>
                    <w:right w:val="single" w:color="auto" w:sz="4" w:space="0"/>
                  </w:tcBorders>
                  <w:shd w:val="clear" w:color="auto" w:fill="auto"/>
                  <w:vAlign w:val="center"/>
                </w:tcPr>
                <w:p w14:paraId="2A2D4BD1">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梅宇鑫</w:t>
                  </w:r>
                </w:p>
              </w:tc>
              <w:tc>
                <w:tcPr>
                  <w:tcW w:w="2059" w:type="dxa"/>
                  <w:tcBorders>
                    <w:top w:val="nil"/>
                    <w:left w:val="nil"/>
                    <w:bottom w:val="single" w:color="auto" w:sz="4" w:space="0"/>
                    <w:right w:val="single" w:color="auto" w:sz="4" w:space="0"/>
                  </w:tcBorders>
                  <w:shd w:val="clear" w:color="auto" w:fill="auto"/>
                  <w:vAlign w:val="center"/>
                </w:tcPr>
                <w:p w14:paraId="26C25257">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东方财富证券</w:t>
                  </w:r>
                </w:p>
              </w:tc>
              <w:tc>
                <w:tcPr>
                  <w:tcW w:w="624" w:type="dxa"/>
                  <w:tcBorders>
                    <w:top w:val="nil"/>
                    <w:left w:val="nil"/>
                    <w:bottom w:val="single" w:color="auto" w:sz="4" w:space="0"/>
                    <w:right w:val="single" w:color="auto" w:sz="4" w:space="0"/>
                  </w:tcBorders>
                  <w:shd w:val="clear" w:color="auto" w:fill="auto"/>
                  <w:vAlign w:val="center"/>
                </w:tcPr>
                <w:p w14:paraId="07DD9D0A">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42</w:t>
                  </w:r>
                </w:p>
              </w:tc>
              <w:tc>
                <w:tcPr>
                  <w:tcW w:w="833" w:type="dxa"/>
                  <w:tcBorders>
                    <w:top w:val="nil"/>
                    <w:left w:val="nil"/>
                    <w:bottom w:val="single" w:color="auto" w:sz="4" w:space="0"/>
                    <w:right w:val="single" w:color="auto" w:sz="4" w:space="0"/>
                  </w:tcBorders>
                  <w:shd w:val="clear" w:color="auto" w:fill="auto"/>
                  <w:vAlign w:val="center"/>
                </w:tcPr>
                <w:p w14:paraId="5BDE3C68">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杨森</w:t>
                  </w:r>
                </w:p>
              </w:tc>
              <w:tc>
                <w:tcPr>
                  <w:tcW w:w="1573" w:type="dxa"/>
                  <w:tcBorders>
                    <w:top w:val="nil"/>
                    <w:left w:val="nil"/>
                    <w:bottom w:val="single" w:color="auto" w:sz="4" w:space="0"/>
                    <w:right w:val="single" w:color="auto" w:sz="4" w:space="0"/>
                  </w:tcBorders>
                  <w:shd w:val="clear" w:color="auto" w:fill="auto"/>
                  <w:vAlign w:val="center"/>
                </w:tcPr>
                <w:p w14:paraId="77C04F53">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瀑布资产管理</w:t>
                  </w:r>
                </w:p>
              </w:tc>
            </w:tr>
            <w:tr w14:paraId="6E0A4067">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28BF8909">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6</w:t>
                  </w:r>
                </w:p>
              </w:tc>
              <w:tc>
                <w:tcPr>
                  <w:tcW w:w="833" w:type="dxa"/>
                  <w:tcBorders>
                    <w:top w:val="nil"/>
                    <w:left w:val="nil"/>
                    <w:bottom w:val="single" w:color="auto" w:sz="4" w:space="0"/>
                    <w:right w:val="single" w:color="auto" w:sz="4" w:space="0"/>
                  </w:tcBorders>
                  <w:shd w:val="clear" w:color="auto" w:fill="auto"/>
                  <w:vAlign w:val="center"/>
                </w:tcPr>
                <w:p w14:paraId="56F8E2E7">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倪吉</w:t>
                  </w:r>
                </w:p>
              </w:tc>
              <w:tc>
                <w:tcPr>
                  <w:tcW w:w="2059" w:type="dxa"/>
                  <w:tcBorders>
                    <w:top w:val="nil"/>
                    <w:left w:val="nil"/>
                    <w:bottom w:val="single" w:color="auto" w:sz="4" w:space="0"/>
                    <w:right w:val="single" w:color="auto" w:sz="4" w:space="0"/>
                  </w:tcBorders>
                  <w:shd w:val="clear" w:color="auto" w:fill="auto"/>
                  <w:vAlign w:val="center"/>
                </w:tcPr>
                <w:p w14:paraId="2525A072">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东方证券</w:t>
                  </w:r>
                </w:p>
              </w:tc>
              <w:tc>
                <w:tcPr>
                  <w:tcW w:w="624" w:type="dxa"/>
                  <w:tcBorders>
                    <w:top w:val="nil"/>
                    <w:left w:val="nil"/>
                    <w:bottom w:val="single" w:color="auto" w:sz="4" w:space="0"/>
                    <w:right w:val="single" w:color="auto" w:sz="4" w:space="0"/>
                  </w:tcBorders>
                  <w:shd w:val="clear" w:color="auto" w:fill="auto"/>
                  <w:vAlign w:val="center"/>
                </w:tcPr>
                <w:p w14:paraId="2F88F7CD">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43</w:t>
                  </w:r>
                </w:p>
              </w:tc>
              <w:tc>
                <w:tcPr>
                  <w:tcW w:w="833" w:type="dxa"/>
                  <w:tcBorders>
                    <w:top w:val="nil"/>
                    <w:left w:val="nil"/>
                    <w:bottom w:val="single" w:color="auto" w:sz="4" w:space="0"/>
                    <w:right w:val="single" w:color="auto" w:sz="4" w:space="0"/>
                  </w:tcBorders>
                  <w:shd w:val="clear" w:color="auto" w:fill="auto"/>
                  <w:vAlign w:val="center"/>
                </w:tcPr>
                <w:p w14:paraId="34974AC4">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李伟臻</w:t>
                  </w:r>
                </w:p>
              </w:tc>
              <w:tc>
                <w:tcPr>
                  <w:tcW w:w="1573" w:type="dxa"/>
                  <w:tcBorders>
                    <w:top w:val="nil"/>
                    <w:left w:val="nil"/>
                    <w:bottom w:val="single" w:color="auto" w:sz="4" w:space="0"/>
                    <w:right w:val="single" w:color="auto" w:sz="4" w:space="0"/>
                  </w:tcBorders>
                  <w:shd w:val="clear" w:color="auto" w:fill="auto"/>
                  <w:vAlign w:val="center"/>
                </w:tcPr>
                <w:p w14:paraId="2B1C0C22">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瑞银证券</w:t>
                  </w:r>
                </w:p>
              </w:tc>
            </w:tr>
            <w:tr w14:paraId="1DF1F264">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1A559745">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7</w:t>
                  </w:r>
                </w:p>
              </w:tc>
              <w:tc>
                <w:tcPr>
                  <w:tcW w:w="833" w:type="dxa"/>
                  <w:tcBorders>
                    <w:top w:val="nil"/>
                    <w:left w:val="nil"/>
                    <w:bottom w:val="single" w:color="auto" w:sz="4" w:space="0"/>
                    <w:right w:val="single" w:color="auto" w:sz="4" w:space="0"/>
                  </w:tcBorders>
                  <w:shd w:val="clear" w:color="auto" w:fill="auto"/>
                  <w:vAlign w:val="center"/>
                </w:tcPr>
                <w:p w14:paraId="6099029D">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张晶磊</w:t>
                  </w:r>
                </w:p>
              </w:tc>
              <w:tc>
                <w:tcPr>
                  <w:tcW w:w="2059" w:type="dxa"/>
                  <w:tcBorders>
                    <w:top w:val="nil"/>
                    <w:left w:val="nil"/>
                    <w:bottom w:val="single" w:color="auto" w:sz="4" w:space="0"/>
                    <w:right w:val="single" w:color="auto" w:sz="4" w:space="0"/>
                  </w:tcBorders>
                  <w:shd w:val="clear" w:color="auto" w:fill="auto"/>
                  <w:vAlign w:val="center"/>
                </w:tcPr>
                <w:p w14:paraId="690624FD">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东海证券</w:t>
                  </w:r>
                </w:p>
              </w:tc>
              <w:tc>
                <w:tcPr>
                  <w:tcW w:w="624" w:type="dxa"/>
                  <w:tcBorders>
                    <w:top w:val="nil"/>
                    <w:left w:val="nil"/>
                    <w:bottom w:val="single" w:color="auto" w:sz="4" w:space="0"/>
                    <w:right w:val="single" w:color="auto" w:sz="4" w:space="0"/>
                  </w:tcBorders>
                  <w:shd w:val="clear" w:color="auto" w:fill="auto"/>
                  <w:vAlign w:val="center"/>
                </w:tcPr>
                <w:p w14:paraId="2BC5E397">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44</w:t>
                  </w:r>
                </w:p>
              </w:tc>
              <w:tc>
                <w:tcPr>
                  <w:tcW w:w="833" w:type="dxa"/>
                  <w:tcBorders>
                    <w:top w:val="nil"/>
                    <w:left w:val="nil"/>
                    <w:bottom w:val="single" w:color="auto" w:sz="4" w:space="0"/>
                    <w:right w:val="single" w:color="auto" w:sz="4" w:space="0"/>
                  </w:tcBorders>
                  <w:shd w:val="clear" w:color="auto" w:fill="auto"/>
                  <w:vAlign w:val="center"/>
                </w:tcPr>
                <w:p w14:paraId="61B8DDFD">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邓胜</w:t>
                  </w:r>
                </w:p>
              </w:tc>
              <w:tc>
                <w:tcPr>
                  <w:tcW w:w="1573" w:type="dxa"/>
                  <w:tcBorders>
                    <w:top w:val="nil"/>
                    <w:left w:val="nil"/>
                    <w:bottom w:val="single" w:color="auto" w:sz="4" w:space="0"/>
                    <w:right w:val="single" w:color="auto" w:sz="4" w:space="0"/>
                  </w:tcBorders>
                  <w:shd w:val="clear" w:color="auto" w:fill="auto"/>
                  <w:vAlign w:val="center"/>
                </w:tcPr>
                <w:p w14:paraId="0C290D5A">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睿诚投资</w:t>
                  </w:r>
                </w:p>
              </w:tc>
            </w:tr>
            <w:tr w14:paraId="2847D76E">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65EC9EBF">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8</w:t>
                  </w:r>
                </w:p>
              </w:tc>
              <w:tc>
                <w:tcPr>
                  <w:tcW w:w="833" w:type="dxa"/>
                  <w:tcBorders>
                    <w:top w:val="nil"/>
                    <w:left w:val="nil"/>
                    <w:bottom w:val="single" w:color="auto" w:sz="4" w:space="0"/>
                    <w:right w:val="single" w:color="auto" w:sz="4" w:space="0"/>
                  </w:tcBorders>
                  <w:shd w:val="clear" w:color="auto" w:fill="auto"/>
                  <w:vAlign w:val="center"/>
                </w:tcPr>
                <w:p w14:paraId="4192FCF9">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吴骏燕</w:t>
                  </w:r>
                </w:p>
              </w:tc>
              <w:tc>
                <w:tcPr>
                  <w:tcW w:w="2059" w:type="dxa"/>
                  <w:tcBorders>
                    <w:top w:val="nil"/>
                    <w:left w:val="nil"/>
                    <w:bottom w:val="single" w:color="auto" w:sz="4" w:space="0"/>
                    <w:right w:val="single" w:color="auto" w:sz="4" w:space="0"/>
                  </w:tcBorders>
                  <w:shd w:val="clear" w:color="auto" w:fill="auto"/>
                  <w:vAlign w:val="center"/>
                </w:tcPr>
                <w:p w14:paraId="3EFFB266">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东海证券</w:t>
                  </w:r>
                </w:p>
              </w:tc>
              <w:tc>
                <w:tcPr>
                  <w:tcW w:w="624" w:type="dxa"/>
                  <w:tcBorders>
                    <w:top w:val="nil"/>
                    <w:left w:val="nil"/>
                    <w:bottom w:val="single" w:color="auto" w:sz="4" w:space="0"/>
                    <w:right w:val="single" w:color="auto" w:sz="4" w:space="0"/>
                  </w:tcBorders>
                  <w:shd w:val="clear" w:color="auto" w:fill="auto"/>
                  <w:vAlign w:val="center"/>
                </w:tcPr>
                <w:p w14:paraId="726BDA01">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45</w:t>
                  </w:r>
                </w:p>
              </w:tc>
              <w:tc>
                <w:tcPr>
                  <w:tcW w:w="833" w:type="dxa"/>
                  <w:tcBorders>
                    <w:top w:val="nil"/>
                    <w:left w:val="nil"/>
                    <w:bottom w:val="single" w:color="auto" w:sz="4" w:space="0"/>
                    <w:right w:val="single" w:color="auto" w:sz="4" w:space="0"/>
                  </w:tcBorders>
                  <w:shd w:val="clear" w:color="auto" w:fill="auto"/>
                  <w:vAlign w:val="center"/>
                </w:tcPr>
                <w:p w14:paraId="2E97483C">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李旋坤</w:t>
                  </w:r>
                </w:p>
              </w:tc>
              <w:tc>
                <w:tcPr>
                  <w:tcW w:w="1573" w:type="dxa"/>
                  <w:tcBorders>
                    <w:top w:val="nil"/>
                    <w:left w:val="nil"/>
                    <w:bottom w:val="single" w:color="auto" w:sz="4" w:space="0"/>
                    <w:right w:val="single" w:color="auto" w:sz="4" w:space="0"/>
                  </w:tcBorders>
                  <w:shd w:val="clear" w:color="auto" w:fill="auto"/>
                  <w:vAlign w:val="center"/>
                </w:tcPr>
                <w:p w14:paraId="7CBAE09D">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山西证券</w:t>
                  </w:r>
                </w:p>
              </w:tc>
            </w:tr>
            <w:tr w14:paraId="5DC671C9">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67205C1E">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9</w:t>
                  </w:r>
                </w:p>
              </w:tc>
              <w:tc>
                <w:tcPr>
                  <w:tcW w:w="833" w:type="dxa"/>
                  <w:tcBorders>
                    <w:top w:val="nil"/>
                    <w:left w:val="nil"/>
                    <w:bottom w:val="single" w:color="auto" w:sz="4" w:space="0"/>
                    <w:right w:val="single" w:color="auto" w:sz="4" w:space="0"/>
                  </w:tcBorders>
                  <w:shd w:val="clear" w:color="auto" w:fill="auto"/>
                  <w:vAlign w:val="center"/>
                </w:tcPr>
                <w:p w14:paraId="5F7ADDD6">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周少玟</w:t>
                  </w:r>
                </w:p>
              </w:tc>
              <w:tc>
                <w:tcPr>
                  <w:tcW w:w="2059" w:type="dxa"/>
                  <w:tcBorders>
                    <w:top w:val="nil"/>
                    <w:left w:val="nil"/>
                    <w:bottom w:val="single" w:color="auto" w:sz="4" w:space="0"/>
                    <w:right w:val="single" w:color="auto" w:sz="4" w:space="0"/>
                  </w:tcBorders>
                  <w:shd w:val="clear" w:color="auto" w:fill="auto"/>
                  <w:vAlign w:val="center"/>
                </w:tcPr>
                <w:p w14:paraId="079D4D03">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东吴证券</w:t>
                  </w:r>
                </w:p>
              </w:tc>
              <w:tc>
                <w:tcPr>
                  <w:tcW w:w="624" w:type="dxa"/>
                  <w:tcBorders>
                    <w:top w:val="nil"/>
                    <w:left w:val="nil"/>
                    <w:bottom w:val="single" w:color="auto" w:sz="4" w:space="0"/>
                    <w:right w:val="single" w:color="auto" w:sz="4" w:space="0"/>
                  </w:tcBorders>
                  <w:shd w:val="clear" w:color="auto" w:fill="auto"/>
                  <w:vAlign w:val="center"/>
                </w:tcPr>
                <w:p w14:paraId="38A01FA4">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46</w:t>
                  </w:r>
                </w:p>
              </w:tc>
              <w:tc>
                <w:tcPr>
                  <w:tcW w:w="833" w:type="dxa"/>
                  <w:tcBorders>
                    <w:top w:val="nil"/>
                    <w:left w:val="nil"/>
                    <w:bottom w:val="single" w:color="auto" w:sz="4" w:space="0"/>
                    <w:right w:val="single" w:color="auto" w:sz="4" w:space="0"/>
                  </w:tcBorders>
                  <w:shd w:val="clear" w:color="auto" w:fill="auto"/>
                  <w:vAlign w:val="center"/>
                </w:tcPr>
                <w:p w14:paraId="71EAAF37">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顾宝成</w:t>
                  </w:r>
                </w:p>
              </w:tc>
              <w:tc>
                <w:tcPr>
                  <w:tcW w:w="1573" w:type="dxa"/>
                  <w:tcBorders>
                    <w:top w:val="nil"/>
                    <w:left w:val="nil"/>
                    <w:bottom w:val="single" w:color="auto" w:sz="4" w:space="0"/>
                    <w:right w:val="single" w:color="auto" w:sz="4" w:space="0"/>
                  </w:tcBorders>
                  <w:shd w:val="clear" w:color="auto" w:fill="auto"/>
                  <w:vAlign w:val="center"/>
                </w:tcPr>
                <w:p w14:paraId="5350CC9C">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上海度势投资</w:t>
                  </w:r>
                </w:p>
              </w:tc>
            </w:tr>
            <w:tr w14:paraId="36B1932A">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21080230">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10</w:t>
                  </w:r>
                </w:p>
              </w:tc>
              <w:tc>
                <w:tcPr>
                  <w:tcW w:w="833" w:type="dxa"/>
                  <w:tcBorders>
                    <w:top w:val="nil"/>
                    <w:left w:val="nil"/>
                    <w:bottom w:val="single" w:color="auto" w:sz="4" w:space="0"/>
                    <w:right w:val="single" w:color="auto" w:sz="4" w:space="0"/>
                  </w:tcBorders>
                  <w:shd w:val="clear" w:color="auto" w:fill="auto"/>
                  <w:vAlign w:val="center"/>
                </w:tcPr>
                <w:p w14:paraId="4B48C0EE">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刘宇卓</w:t>
                  </w:r>
                </w:p>
              </w:tc>
              <w:tc>
                <w:tcPr>
                  <w:tcW w:w="2059" w:type="dxa"/>
                  <w:tcBorders>
                    <w:top w:val="nil"/>
                    <w:left w:val="nil"/>
                    <w:bottom w:val="single" w:color="auto" w:sz="4" w:space="0"/>
                    <w:right w:val="single" w:color="auto" w:sz="4" w:space="0"/>
                  </w:tcBorders>
                  <w:shd w:val="clear" w:color="auto" w:fill="auto"/>
                  <w:vAlign w:val="center"/>
                </w:tcPr>
                <w:p w14:paraId="411E4DF7">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东兴证券</w:t>
                  </w:r>
                </w:p>
              </w:tc>
              <w:tc>
                <w:tcPr>
                  <w:tcW w:w="624" w:type="dxa"/>
                  <w:tcBorders>
                    <w:top w:val="nil"/>
                    <w:left w:val="nil"/>
                    <w:bottom w:val="single" w:color="auto" w:sz="4" w:space="0"/>
                    <w:right w:val="single" w:color="auto" w:sz="4" w:space="0"/>
                  </w:tcBorders>
                  <w:shd w:val="clear" w:color="auto" w:fill="auto"/>
                  <w:vAlign w:val="center"/>
                </w:tcPr>
                <w:p w14:paraId="42A1DEF6">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47</w:t>
                  </w:r>
                </w:p>
              </w:tc>
              <w:tc>
                <w:tcPr>
                  <w:tcW w:w="833" w:type="dxa"/>
                  <w:tcBorders>
                    <w:top w:val="nil"/>
                    <w:left w:val="nil"/>
                    <w:bottom w:val="single" w:color="auto" w:sz="4" w:space="0"/>
                    <w:right w:val="single" w:color="auto" w:sz="4" w:space="0"/>
                  </w:tcBorders>
                  <w:shd w:val="clear" w:color="auto" w:fill="auto"/>
                  <w:vAlign w:val="center"/>
                </w:tcPr>
                <w:p w14:paraId="56F3623A">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李绍程</w:t>
                  </w:r>
                </w:p>
              </w:tc>
              <w:tc>
                <w:tcPr>
                  <w:tcW w:w="1573" w:type="dxa"/>
                  <w:tcBorders>
                    <w:top w:val="nil"/>
                    <w:left w:val="nil"/>
                    <w:bottom w:val="single" w:color="auto" w:sz="4" w:space="0"/>
                    <w:right w:val="single" w:color="auto" w:sz="4" w:space="0"/>
                  </w:tcBorders>
                  <w:shd w:val="clear" w:color="auto" w:fill="auto"/>
                  <w:vAlign w:val="center"/>
                </w:tcPr>
                <w:p w14:paraId="520C2343">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申万宏源证券</w:t>
                  </w:r>
                </w:p>
              </w:tc>
            </w:tr>
            <w:tr w14:paraId="3E24239C">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55677338">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11</w:t>
                  </w:r>
                </w:p>
              </w:tc>
              <w:tc>
                <w:tcPr>
                  <w:tcW w:w="833" w:type="dxa"/>
                  <w:tcBorders>
                    <w:top w:val="nil"/>
                    <w:left w:val="nil"/>
                    <w:bottom w:val="single" w:color="auto" w:sz="4" w:space="0"/>
                    <w:right w:val="single" w:color="auto" w:sz="4" w:space="0"/>
                  </w:tcBorders>
                  <w:shd w:val="clear" w:color="auto" w:fill="auto"/>
                  <w:vAlign w:val="center"/>
                </w:tcPr>
                <w:p w14:paraId="7CBC17B0">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杨雨佳</w:t>
                  </w:r>
                </w:p>
              </w:tc>
              <w:tc>
                <w:tcPr>
                  <w:tcW w:w="2059" w:type="dxa"/>
                  <w:tcBorders>
                    <w:top w:val="nil"/>
                    <w:left w:val="nil"/>
                    <w:bottom w:val="single" w:color="auto" w:sz="4" w:space="0"/>
                    <w:right w:val="single" w:color="auto" w:sz="4" w:space="0"/>
                  </w:tcBorders>
                  <w:shd w:val="clear" w:color="auto" w:fill="auto"/>
                  <w:vAlign w:val="center"/>
                </w:tcPr>
                <w:p w14:paraId="56E5ADCD">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敦和资产</w:t>
                  </w:r>
                </w:p>
              </w:tc>
              <w:tc>
                <w:tcPr>
                  <w:tcW w:w="624" w:type="dxa"/>
                  <w:tcBorders>
                    <w:top w:val="nil"/>
                    <w:left w:val="nil"/>
                    <w:bottom w:val="single" w:color="auto" w:sz="4" w:space="0"/>
                    <w:right w:val="single" w:color="auto" w:sz="4" w:space="0"/>
                  </w:tcBorders>
                  <w:shd w:val="clear" w:color="auto" w:fill="auto"/>
                  <w:vAlign w:val="center"/>
                </w:tcPr>
                <w:p w14:paraId="44497CD8">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48</w:t>
                  </w:r>
                </w:p>
              </w:tc>
              <w:tc>
                <w:tcPr>
                  <w:tcW w:w="833" w:type="dxa"/>
                  <w:tcBorders>
                    <w:top w:val="nil"/>
                    <w:left w:val="nil"/>
                    <w:bottom w:val="single" w:color="auto" w:sz="4" w:space="0"/>
                    <w:right w:val="single" w:color="auto" w:sz="4" w:space="0"/>
                  </w:tcBorders>
                  <w:shd w:val="clear" w:color="auto" w:fill="auto"/>
                  <w:vAlign w:val="center"/>
                </w:tcPr>
                <w:p w14:paraId="52474F79">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钟霖</w:t>
                  </w:r>
                </w:p>
              </w:tc>
              <w:tc>
                <w:tcPr>
                  <w:tcW w:w="1573" w:type="dxa"/>
                  <w:tcBorders>
                    <w:top w:val="nil"/>
                    <w:left w:val="nil"/>
                    <w:bottom w:val="single" w:color="auto" w:sz="4" w:space="0"/>
                    <w:right w:val="single" w:color="auto" w:sz="4" w:space="0"/>
                  </w:tcBorders>
                  <w:shd w:val="clear" w:color="auto" w:fill="auto"/>
                  <w:vAlign w:val="center"/>
                </w:tcPr>
                <w:p w14:paraId="14C0A91B">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拾掇投资</w:t>
                  </w:r>
                </w:p>
              </w:tc>
            </w:tr>
            <w:tr w14:paraId="3D9F542E">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0B76F75C">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12</w:t>
                  </w:r>
                </w:p>
              </w:tc>
              <w:tc>
                <w:tcPr>
                  <w:tcW w:w="833" w:type="dxa"/>
                  <w:tcBorders>
                    <w:top w:val="nil"/>
                    <w:left w:val="nil"/>
                    <w:bottom w:val="single" w:color="auto" w:sz="4" w:space="0"/>
                    <w:right w:val="single" w:color="auto" w:sz="4" w:space="0"/>
                  </w:tcBorders>
                  <w:shd w:val="clear" w:color="auto" w:fill="auto"/>
                  <w:vAlign w:val="center"/>
                </w:tcPr>
                <w:p w14:paraId="6DFC362C">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张林晚</w:t>
                  </w:r>
                </w:p>
              </w:tc>
              <w:tc>
                <w:tcPr>
                  <w:tcW w:w="2059" w:type="dxa"/>
                  <w:tcBorders>
                    <w:top w:val="nil"/>
                    <w:left w:val="nil"/>
                    <w:bottom w:val="single" w:color="auto" w:sz="4" w:space="0"/>
                    <w:right w:val="single" w:color="auto" w:sz="4" w:space="0"/>
                  </w:tcBorders>
                  <w:shd w:val="clear" w:color="auto" w:fill="auto"/>
                  <w:vAlign w:val="center"/>
                </w:tcPr>
                <w:p w14:paraId="7FB72733">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耕霁投资</w:t>
                  </w:r>
                </w:p>
              </w:tc>
              <w:tc>
                <w:tcPr>
                  <w:tcW w:w="624" w:type="dxa"/>
                  <w:tcBorders>
                    <w:top w:val="nil"/>
                    <w:left w:val="nil"/>
                    <w:bottom w:val="single" w:color="auto" w:sz="4" w:space="0"/>
                    <w:right w:val="single" w:color="auto" w:sz="4" w:space="0"/>
                  </w:tcBorders>
                  <w:shd w:val="clear" w:color="auto" w:fill="auto"/>
                  <w:vAlign w:val="center"/>
                </w:tcPr>
                <w:p w14:paraId="3067BB0D">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49</w:t>
                  </w:r>
                </w:p>
              </w:tc>
              <w:tc>
                <w:tcPr>
                  <w:tcW w:w="833" w:type="dxa"/>
                  <w:tcBorders>
                    <w:top w:val="nil"/>
                    <w:left w:val="nil"/>
                    <w:bottom w:val="single" w:color="auto" w:sz="4" w:space="0"/>
                    <w:right w:val="single" w:color="auto" w:sz="4" w:space="0"/>
                  </w:tcBorders>
                  <w:shd w:val="clear" w:color="auto" w:fill="auto"/>
                  <w:vAlign w:val="center"/>
                </w:tcPr>
                <w:p w14:paraId="167FAE61">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王海涛</w:t>
                  </w:r>
                </w:p>
              </w:tc>
              <w:tc>
                <w:tcPr>
                  <w:tcW w:w="1573" w:type="dxa"/>
                  <w:tcBorders>
                    <w:top w:val="nil"/>
                    <w:left w:val="nil"/>
                    <w:bottom w:val="single" w:color="auto" w:sz="4" w:space="0"/>
                    <w:right w:val="single" w:color="auto" w:sz="4" w:space="0"/>
                  </w:tcBorders>
                  <w:shd w:val="clear" w:color="auto" w:fill="auto"/>
                  <w:vAlign w:val="center"/>
                </w:tcPr>
                <w:p w14:paraId="3B516BBF">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太平洋证券</w:t>
                  </w:r>
                </w:p>
              </w:tc>
            </w:tr>
            <w:tr w14:paraId="25EDD651">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246D41BA">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13</w:t>
                  </w:r>
                </w:p>
              </w:tc>
              <w:tc>
                <w:tcPr>
                  <w:tcW w:w="833" w:type="dxa"/>
                  <w:tcBorders>
                    <w:top w:val="nil"/>
                    <w:left w:val="nil"/>
                    <w:bottom w:val="single" w:color="auto" w:sz="4" w:space="0"/>
                    <w:right w:val="single" w:color="auto" w:sz="4" w:space="0"/>
                  </w:tcBorders>
                  <w:shd w:val="clear" w:color="auto" w:fill="auto"/>
                  <w:vAlign w:val="center"/>
                </w:tcPr>
                <w:p w14:paraId="0E7F4E52">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蔡嘉豪</w:t>
                  </w:r>
                </w:p>
              </w:tc>
              <w:tc>
                <w:tcPr>
                  <w:tcW w:w="2059" w:type="dxa"/>
                  <w:tcBorders>
                    <w:top w:val="nil"/>
                    <w:left w:val="nil"/>
                    <w:bottom w:val="single" w:color="auto" w:sz="4" w:space="0"/>
                    <w:right w:val="single" w:color="auto" w:sz="4" w:space="0"/>
                  </w:tcBorders>
                  <w:shd w:val="clear" w:color="auto" w:fill="auto"/>
                  <w:vAlign w:val="center"/>
                </w:tcPr>
                <w:p w14:paraId="44EC59C9">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光大证券</w:t>
                  </w:r>
                </w:p>
              </w:tc>
              <w:tc>
                <w:tcPr>
                  <w:tcW w:w="624" w:type="dxa"/>
                  <w:tcBorders>
                    <w:top w:val="nil"/>
                    <w:left w:val="nil"/>
                    <w:bottom w:val="single" w:color="auto" w:sz="4" w:space="0"/>
                    <w:right w:val="single" w:color="auto" w:sz="4" w:space="0"/>
                  </w:tcBorders>
                  <w:shd w:val="clear" w:color="auto" w:fill="auto"/>
                  <w:vAlign w:val="center"/>
                </w:tcPr>
                <w:p w14:paraId="3A3D3E20">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50</w:t>
                  </w:r>
                </w:p>
              </w:tc>
              <w:tc>
                <w:tcPr>
                  <w:tcW w:w="833" w:type="dxa"/>
                  <w:tcBorders>
                    <w:top w:val="nil"/>
                    <w:left w:val="nil"/>
                    <w:bottom w:val="single" w:color="auto" w:sz="4" w:space="0"/>
                    <w:right w:val="single" w:color="auto" w:sz="4" w:space="0"/>
                  </w:tcBorders>
                  <w:shd w:val="clear" w:color="auto" w:fill="auto"/>
                  <w:vAlign w:val="center"/>
                </w:tcPr>
                <w:p w14:paraId="5A851DC0">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王亮</w:t>
                  </w:r>
                </w:p>
              </w:tc>
              <w:tc>
                <w:tcPr>
                  <w:tcW w:w="1573" w:type="dxa"/>
                  <w:tcBorders>
                    <w:top w:val="nil"/>
                    <w:left w:val="nil"/>
                    <w:bottom w:val="single" w:color="auto" w:sz="4" w:space="0"/>
                    <w:right w:val="single" w:color="auto" w:sz="4" w:space="0"/>
                  </w:tcBorders>
                  <w:shd w:val="clear" w:color="auto" w:fill="auto"/>
                  <w:vAlign w:val="center"/>
                </w:tcPr>
                <w:p w14:paraId="3FD33D92">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太平洋证券</w:t>
                  </w:r>
                </w:p>
              </w:tc>
            </w:tr>
            <w:tr w14:paraId="23BDDE91">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3043B7D2">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14</w:t>
                  </w:r>
                </w:p>
              </w:tc>
              <w:tc>
                <w:tcPr>
                  <w:tcW w:w="833" w:type="dxa"/>
                  <w:tcBorders>
                    <w:top w:val="nil"/>
                    <w:left w:val="nil"/>
                    <w:bottom w:val="single" w:color="auto" w:sz="4" w:space="0"/>
                    <w:right w:val="single" w:color="auto" w:sz="4" w:space="0"/>
                  </w:tcBorders>
                  <w:shd w:val="clear" w:color="auto" w:fill="auto"/>
                  <w:vAlign w:val="center"/>
                </w:tcPr>
                <w:p w14:paraId="30EFB753">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王双</w:t>
                  </w:r>
                </w:p>
              </w:tc>
              <w:tc>
                <w:tcPr>
                  <w:tcW w:w="2059" w:type="dxa"/>
                  <w:tcBorders>
                    <w:top w:val="nil"/>
                    <w:left w:val="nil"/>
                    <w:bottom w:val="single" w:color="auto" w:sz="4" w:space="0"/>
                    <w:right w:val="single" w:color="auto" w:sz="4" w:space="0"/>
                  </w:tcBorders>
                  <w:shd w:val="clear" w:color="auto" w:fill="auto"/>
                  <w:vAlign w:val="center"/>
                </w:tcPr>
                <w:p w14:paraId="7758C24A">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国都证券</w:t>
                  </w:r>
                </w:p>
              </w:tc>
              <w:tc>
                <w:tcPr>
                  <w:tcW w:w="624" w:type="dxa"/>
                  <w:tcBorders>
                    <w:top w:val="nil"/>
                    <w:left w:val="nil"/>
                    <w:bottom w:val="single" w:color="auto" w:sz="4" w:space="0"/>
                    <w:right w:val="single" w:color="auto" w:sz="4" w:space="0"/>
                  </w:tcBorders>
                  <w:shd w:val="clear" w:color="auto" w:fill="auto"/>
                  <w:vAlign w:val="center"/>
                </w:tcPr>
                <w:p w14:paraId="23229A9A">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51</w:t>
                  </w:r>
                </w:p>
              </w:tc>
              <w:tc>
                <w:tcPr>
                  <w:tcW w:w="833" w:type="dxa"/>
                  <w:tcBorders>
                    <w:top w:val="nil"/>
                    <w:left w:val="nil"/>
                    <w:bottom w:val="single" w:color="auto" w:sz="4" w:space="0"/>
                    <w:right w:val="single" w:color="auto" w:sz="4" w:space="0"/>
                  </w:tcBorders>
                  <w:shd w:val="clear" w:color="auto" w:fill="auto"/>
                  <w:vAlign w:val="center"/>
                </w:tcPr>
                <w:p w14:paraId="0191DA65">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邢颜凝</w:t>
                  </w:r>
                </w:p>
              </w:tc>
              <w:tc>
                <w:tcPr>
                  <w:tcW w:w="1573" w:type="dxa"/>
                  <w:tcBorders>
                    <w:top w:val="nil"/>
                    <w:left w:val="nil"/>
                    <w:bottom w:val="single" w:color="auto" w:sz="4" w:space="0"/>
                    <w:right w:val="single" w:color="auto" w:sz="4" w:space="0"/>
                  </w:tcBorders>
                  <w:shd w:val="clear" w:color="auto" w:fill="auto"/>
                  <w:vAlign w:val="center"/>
                </w:tcPr>
                <w:p w14:paraId="5373FD01">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天风证券</w:t>
                  </w:r>
                </w:p>
              </w:tc>
            </w:tr>
            <w:tr w14:paraId="417C9780">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46101F64">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15</w:t>
                  </w:r>
                </w:p>
              </w:tc>
              <w:tc>
                <w:tcPr>
                  <w:tcW w:w="833" w:type="dxa"/>
                  <w:tcBorders>
                    <w:top w:val="nil"/>
                    <w:left w:val="nil"/>
                    <w:bottom w:val="single" w:color="auto" w:sz="4" w:space="0"/>
                    <w:right w:val="single" w:color="auto" w:sz="4" w:space="0"/>
                  </w:tcBorders>
                  <w:shd w:val="clear" w:color="auto" w:fill="auto"/>
                  <w:vAlign w:val="center"/>
                </w:tcPr>
                <w:p w14:paraId="73911A70">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李永磊</w:t>
                  </w:r>
                </w:p>
              </w:tc>
              <w:tc>
                <w:tcPr>
                  <w:tcW w:w="2059" w:type="dxa"/>
                  <w:tcBorders>
                    <w:top w:val="nil"/>
                    <w:left w:val="nil"/>
                    <w:bottom w:val="single" w:color="auto" w:sz="4" w:space="0"/>
                    <w:right w:val="single" w:color="auto" w:sz="4" w:space="0"/>
                  </w:tcBorders>
                  <w:shd w:val="clear" w:color="auto" w:fill="auto"/>
                  <w:vAlign w:val="center"/>
                </w:tcPr>
                <w:p w14:paraId="20B03619">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国海证券</w:t>
                  </w:r>
                </w:p>
              </w:tc>
              <w:tc>
                <w:tcPr>
                  <w:tcW w:w="624" w:type="dxa"/>
                  <w:tcBorders>
                    <w:top w:val="nil"/>
                    <w:left w:val="nil"/>
                    <w:bottom w:val="single" w:color="auto" w:sz="4" w:space="0"/>
                    <w:right w:val="single" w:color="auto" w:sz="4" w:space="0"/>
                  </w:tcBorders>
                  <w:shd w:val="clear" w:color="auto" w:fill="auto"/>
                  <w:vAlign w:val="center"/>
                </w:tcPr>
                <w:p w14:paraId="231816DB">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52</w:t>
                  </w:r>
                </w:p>
              </w:tc>
              <w:tc>
                <w:tcPr>
                  <w:tcW w:w="833" w:type="dxa"/>
                  <w:tcBorders>
                    <w:top w:val="nil"/>
                    <w:left w:val="nil"/>
                    <w:bottom w:val="single" w:color="auto" w:sz="4" w:space="0"/>
                    <w:right w:val="single" w:color="auto" w:sz="4" w:space="0"/>
                  </w:tcBorders>
                  <w:shd w:val="clear" w:color="auto" w:fill="auto"/>
                  <w:vAlign w:val="center"/>
                </w:tcPr>
                <w:p w14:paraId="6E3184C1">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张姜</w:t>
                  </w:r>
                </w:p>
              </w:tc>
              <w:tc>
                <w:tcPr>
                  <w:tcW w:w="1573" w:type="dxa"/>
                  <w:tcBorders>
                    <w:top w:val="nil"/>
                    <w:left w:val="nil"/>
                    <w:bottom w:val="single" w:color="auto" w:sz="4" w:space="0"/>
                    <w:right w:val="single" w:color="auto" w:sz="4" w:space="0"/>
                  </w:tcBorders>
                  <w:shd w:val="clear" w:color="auto" w:fill="auto"/>
                  <w:vAlign w:val="center"/>
                </w:tcPr>
                <w:p w14:paraId="7CBEDEF7">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驼铃资产</w:t>
                  </w:r>
                </w:p>
              </w:tc>
            </w:tr>
            <w:tr w14:paraId="4A1F7F95">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63CCE762">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16</w:t>
                  </w:r>
                </w:p>
              </w:tc>
              <w:tc>
                <w:tcPr>
                  <w:tcW w:w="833" w:type="dxa"/>
                  <w:tcBorders>
                    <w:top w:val="nil"/>
                    <w:left w:val="nil"/>
                    <w:bottom w:val="single" w:color="auto" w:sz="4" w:space="0"/>
                    <w:right w:val="single" w:color="auto" w:sz="4" w:space="0"/>
                  </w:tcBorders>
                  <w:shd w:val="clear" w:color="auto" w:fill="auto"/>
                  <w:vAlign w:val="center"/>
                </w:tcPr>
                <w:p w14:paraId="46D58B4B">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杨丽蓉</w:t>
                  </w:r>
                </w:p>
              </w:tc>
              <w:tc>
                <w:tcPr>
                  <w:tcW w:w="2059" w:type="dxa"/>
                  <w:tcBorders>
                    <w:top w:val="nil"/>
                    <w:left w:val="nil"/>
                    <w:bottom w:val="single" w:color="auto" w:sz="4" w:space="0"/>
                    <w:right w:val="single" w:color="auto" w:sz="4" w:space="0"/>
                  </w:tcBorders>
                  <w:shd w:val="clear" w:color="auto" w:fill="auto"/>
                  <w:vAlign w:val="center"/>
                </w:tcPr>
                <w:p w14:paraId="094D9D48">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国海证券</w:t>
                  </w:r>
                </w:p>
              </w:tc>
              <w:tc>
                <w:tcPr>
                  <w:tcW w:w="624" w:type="dxa"/>
                  <w:tcBorders>
                    <w:top w:val="nil"/>
                    <w:left w:val="nil"/>
                    <w:bottom w:val="single" w:color="auto" w:sz="4" w:space="0"/>
                    <w:right w:val="single" w:color="auto" w:sz="4" w:space="0"/>
                  </w:tcBorders>
                  <w:shd w:val="clear" w:color="auto" w:fill="auto"/>
                  <w:vAlign w:val="center"/>
                </w:tcPr>
                <w:p w14:paraId="01978F41">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53</w:t>
                  </w:r>
                </w:p>
              </w:tc>
              <w:tc>
                <w:tcPr>
                  <w:tcW w:w="833" w:type="dxa"/>
                  <w:tcBorders>
                    <w:top w:val="nil"/>
                    <w:left w:val="nil"/>
                    <w:bottom w:val="single" w:color="auto" w:sz="4" w:space="0"/>
                    <w:right w:val="single" w:color="auto" w:sz="4" w:space="0"/>
                  </w:tcBorders>
                  <w:shd w:val="clear" w:color="auto" w:fill="auto"/>
                  <w:vAlign w:val="center"/>
                </w:tcPr>
                <w:p w14:paraId="2E5F57A7">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李妍</w:t>
                  </w:r>
                </w:p>
              </w:tc>
              <w:tc>
                <w:tcPr>
                  <w:tcW w:w="1573" w:type="dxa"/>
                  <w:tcBorders>
                    <w:top w:val="nil"/>
                    <w:left w:val="nil"/>
                    <w:bottom w:val="single" w:color="auto" w:sz="4" w:space="0"/>
                    <w:right w:val="single" w:color="auto" w:sz="4" w:space="0"/>
                  </w:tcBorders>
                  <w:shd w:val="clear" w:color="auto" w:fill="auto"/>
                  <w:vAlign w:val="center"/>
                </w:tcPr>
                <w:p w14:paraId="1AB26D80">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西部证券</w:t>
                  </w:r>
                </w:p>
              </w:tc>
            </w:tr>
            <w:tr w14:paraId="508C331A">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356E628A">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17</w:t>
                  </w:r>
                </w:p>
              </w:tc>
              <w:tc>
                <w:tcPr>
                  <w:tcW w:w="833" w:type="dxa"/>
                  <w:tcBorders>
                    <w:top w:val="nil"/>
                    <w:left w:val="nil"/>
                    <w:bottom w:val="single" w:color="auto" w:sz="4" w:space="0"/>
                    <w:right w:val="single" w:color="auto" w:sz="4" w:space="0"/>
                  </w:tcBorders>
                  <w:shd w:val="clear" w:color="auto" w:fill="auto"/>
                  <w:vAlign w:val="center"/>
                </w:tcPr>
                <w:p w14:paraId="66C71D66">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曾奕阳</w:t>
                  </w:r>
                </w:p>
              </w:tc>
              <w:tc>
                <w:tcPr>
                  <w:tcW w:w="2059" w:type="dxa"/>
                  <w:tcBorders>
                    <w:top w:val="nil"/>
                    <w:left w:val="nil"/>
                    <w:bottom w:val="single" w:color="auto" w:sz="4" w:space="0"/>
                    <w:right w:val="single" w:color="auto" w:sz="4" w:space="0"/>
                  </w:tcBorders>
                  <w:shd w:val="clear" w:color="auto" w:fill="auto"/>
                  <w:vAlign w:val="center"/>
                </w:tcPr>
                <w:p w14:paraId="7FBFC704">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国金证券</w:t>
                  </w:r>
                </w:p>
              </w:tc>
              <w:tc>
                <w:tcPr>
                  <w:tcW w:w="624" w:type="dxa"/>
                  <w:tcBorders>
                    <w:top w:val="nil"/>
                    <w:left w:val="nil"/>
                    <w:bottom w:val="single" w:color="auto" w:sz="4" w:space="0"/>
                    <w:right w:val="single" w:color="auto" w:sz="4" w:space="0"/>
                  </w:tcBorders>
                  <w:shd w:val="clear" w:color="auto" w:fill="auto"/>
                  <w:vAlign w:val="center"/>
                </w:tcPr>
                <w:p w14:paraId="7B42D30B">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54</w:t>
                  </w:r>
                </w:p>
              </w:tc>
              <w:tc>
                <w:tcPr>
                  <w:tcW w:w="833" w:type="dxa"/>
                  <w:tcBorders>
                    <w:top w:val="nil"/>
                    <w:left w:val="nil"/>
                    <w:bottom w:val="single" w:color="auto" w:sz="4" w:space="0"/>
                    <w:right w:val="single" w:color="auto" w:sz="4" w:space="0"/>
                  </w:tcBorders>
                  <w:shd w:val="clear" w:color="auto" w:fill="auto"/>
                  <w:vAlign w:val="center"/>
                </w:tcPr>
                <w:p w14:paraId="4DA75118">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王瑞健</w:t>
                  </w:r>
                </w:p>
              </w:tc>
              <w:tc>
                <w:tcPr>
                  <w:tcW w:w="1573" w:type="dxa"/>
                  <w:tcBorders>
                    <w:top w:val="nil"/>
                    <w:left w:val="nil"/>
                    <w:bottom w:val="single" w:color="auto" w:sz="4" w:space="0"/>
                    <w:right w:val="single" w:color="auto" w:sz="4" w:space="0"/>
                  </w:tcBorders>
                  <w:shd w:val="clear" w:color="auto" w:fill="auto"/>
                  <w:vAlign w:val="center"/>
                </w:tcPr>
                <w:p w14:paraId="26DEE88D">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西部证券</w:t>
                  </w:r>
                </w:p>
              </w:tc>
            </w:tr>
            <w:tr w14:paraId="6218BD18">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2D914A08">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18</w:t>
                  </w:r>
                </w:p>
              </w:tc>
              <w:tc>
                <w:tcPr>
                  <w:tcW w:w="833" w:type="dxa"/>
                  <w:tcBorders>
                    <w:top w:val="nil"/>
                    <w:left w:val="nil"/>
                    <w:bottom w:val="single" w:color="auto" w:sz="4" w:space="0"/>
                    <w:right w:val="single" w:color="auto" w:sz="4" w:space="0"/>
                  </w:tcBorders>
                  <w:shd w:val="clear" w:color="auto" w:fill="auto"/>
                  <w:vAlign w:val="center"/>
                </w:tcPr>
                <w:p w14:paraId="39D1E9BA">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杨大志</w:t>
                  </w:r>
                </w:p>
              </w:tc>
              <w:tc>
                <w:tcPr>
                  <w:tcW w:w="2059" w:type="dxa"/>
                  <w:tcBorders>
                    <w:top w:val="nil"/>
                    <w:left w:val="nil"/>
                    <w:bottom w:val="single" w:color="auto" w:sz="4" w:space="0"/>
                    <w:right w:val="single" w:color="auto" w:sz="4" w:space="0"/>
                  </w:tcBorders>
                  <w:shd w:val="clear" w:color="auto" w:fill="auto"/>
                  <w:vAlign w:val="center"/>
                </w:tcPr>
                <w:p w14:paraId="45004FB9">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国联基金</w:t>
                  </w:r>
                </w:p>
              </w:tc>
              <w:tc>
                <w:tcPr>
                  <w:tcW w:w="624" w:type="dxa"/>
                  <w:tcBorders>
                    <w:top w:val="nil"/>
                    <w:left w:val="nil"/>
                    <w:bottom w:val="single" w:color="auto" w:sz="4" w:space="0"/>
                    <w:right w:val="single" w:color="auto" w:sz="4" w:space="0"/>
                  </w:tcBorders>
                  <w:shd w:val="clear" w:color="auto" w:fill="auto"/>
                  <w:vAlign w:val="center"/>
                </w:tcPr>
                <w:p w14:paraId="37FF4D2A">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55</w:t>
                  </w:r>
                </w:p>
              </w:tc>
              <w:tc>
                <w:tcPr>
                  <w:tcW w:w="833" w:type="dxa"/>
                  <w:tcBorders>
                    <w:top w:val="nil"/>
                    <w:left w:val="nil"/>
                    <w:bottom w:val="single" w:color="auto" w:sz="4" w:space="0"/>
                    <w:right w:val="single" w:color="auto" w:sz="4" w:space="0"/>
                  </w:tcBorders>
                  <w:shd w:val="clear" w:color="auto" w:fill="auto"/>
                  <w:vAlign w:val="center"/>
                </w:tcPr>
                <w:p w14:paraId="58401FBE">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顾华昊</w:t>
                  </w:r>
                </w:p>
              </w:tc>
              <w:tc>
                <w:tcPr>
                  <w:tcW w:w="1573" w:type="dxa"/>
                  <w:tcBorders>
                    <w:top w:val="nil"/>
                    <w:left w:val="nil"/>
                    <w:bottom w:val="single" w:color="auto" w:sz="4" w:space="0"/>
                    <w:right w:val="single" w:color="auto" w:sz="4" w:space="0"/>
                  </w:tcBorders>
                  <w:shd w:val="clear" w:color="auto" w:fill="auto"/>
                  <w:vAlign w:val="center"/>
                </w:tcPr>
                <w:p w14:paraId="2F0EB3E9">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湘财证券</w:t>
                  </w:r>
                </w:p>
              </w:tc>
            </w:tr>
            <w:tr w14:paraId="5B027157">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6A1B3E8C">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19</w:t>
                  </w:r>
                </w:p>
              </w:tc>
              <w:tc>
                <w:tcPr>
                  <w:tcW w:w="833" w:type="dxa"/>
                  <w:tcBorders>
                    <w:top w:val="nil"/>
                    <w:left w:val="nil"/>
                    <w:bottom w:val="single" w:color="auto" w:sz="4" w:space="0"/>
                    <w:right w:val="single" w:color="auto" w:sz="4" w:space="0"/>
                  </w:tcBorders>
                  <w:shd w:val="clear" w:color="auto" w:fill="auto"/>
                  <w:vAlign w:val="center"/>
                </w:tcPr>
                <w:p w14:paraId="323B723A">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黄楷</w:t>
                  </w:r>
                </w:p>
              </w:tc>
              <w:tc>
                <w:tcPr>
                  <w:tcW w:w="2059" w:type="dxa"/>
                  <w:tcBorders>
                    <w:top w:val="nil"/>
                    <w:left w:val="nil"/>
                    <w:bottom w:val="single" w:color="auto" w:sz="4" w:space="0"/>
                    <w:right w:val="single" w:color="auto" w:sz="4" w:space="0"/>
                  </w:tcBorders>
                  <w:shd w:val="clear" w:color="auto" w:fill="auto"/>
                  <w:vAlign w:val="center"/>
                </w:tcPr>
                <w:p w14:paraId="2D99EE18">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国联民生证券</w:t>
                  </w:r>
                </w:p>
              </w:tc>
              <w:tc>
                <w:tcPr>
                  <w:tcW w:w="624" w:type="dxa"/>
                  <w:tcBorders>
                    <w:top w:val="nil"/>
                    <w:left w:val="nil"/>
                    <w:bottom w:val="single" w:color="auto" w:sz="4" w:space="0"/>
                    <w:right w:val="single" w:color="auto" w:sz="4" w:space="0"/>
                  </w:tcBorders>
                  <w:shd w:val="clear" w:color="auto" w:fill="auto"/>
                  <w:vAlign w:val="center"/>
                </w:tcPr>
                <w:p w14:paraId="054FCC17">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56</w:t>
                  </w:r>
                </w:p>
              </w:tc>
              <w:tc>
                <w:tcPr>
                  <w:tcW w:w="833" w:type="dxa"/>
                  <w:tcBorders>
                    <w:top w:val="nil"/>
                    <w:left w:val="nil"/>
                    <w:bottom w:val="single" w:color="auto" w:sz="4" w:space="0"/>
                    <w:right w:val="single" w:color="auto" w:sz="4" w:space="0"/>
                  </w:tcBorders>
                  <w:shd w:val="clear" w:color="auto" w:fill="auto"/>
                  <w:vAlign w:val="center"/>
                </w:tcPr>
                <w:p w14:paraId="615538C3">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胡晓艺</w:t>
                  </w:r>
                </w:p>
              </w:tc>
              <w:tc>
                <w:tcPr>
                  <w:tcW w:w="1573" w:type="dxa"/>
                  <w:tcBorders>
                    <w:top w:val="nil"/>
                    <w:left w:val="nil"/>
                    <w:bottom w:val="single" w:color="auto" w:sz="4" w:space="0"/>
                    <w:right w:val="single" w:color="auto" w:sz="4" w:space="0"/>
                  </w:tcBorders>
                  <w:shd w:val="clear" w:color="auto" w:fill="auto"/>
                  <w:vAlign w:val="center"/>
                </w:tcPr>
                <w:p w14:paraId="1D6F89B4">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信达证券</w:t>
                  </w:r>
                </w:p>
              </w:tc>
            </w:tr>
            <w:tr w14:paraId="01D94C29">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07C3043B">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20</w:t>
                  </w:r>
                </w:p>
              </w:tc>
              <w:tc>
                <w:tcPr>
                  <w:tcW w:w="833" w:type="dxa"/>
                  <w:tcBorders>
                    <w:top w:val="nil"/>
                    <w:left w:val="nil"/>
                    <w:bottom w:val="single" w:color="auto" w:sz="4" w:space="0"/>
                    <w:right w:val="single" w:color="auto" w:sz="4" w:space="0"/>
                  </w:tcBorders>
                  <w:shd w:val="clear" w:color="auto" w:fill="auto"/>
                  <w:vAlign w:val="center"/>
                </w:tcPr>
                <w:p w14:paraId="5F85F4F1">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赵文龙</w:t>
                  </w:r>
                </w:p>
              </w:tc>
              <w:tc>
                <w:tcPr>
                  <w:tcW w:w="2059" w:type="dxa"/>
                  <w:tcBorders>
                    <w:top w:val="nil"/>
                    <w:left w:val="nil"/>
                    <w:bottom w:val="single" w:color="auto" w:sz="4" w:space="0"/>
                    <w:right w:val="single" w:color="auto" w:sz="4" w:space="0"/>
                  </w:tcBorders>
                  <w:shd w:val="clear" w:color="auto" w:fill="auto"/>
                  <w:vAlign w:val="center"/>
                </w:tcPr>
                <w:p w14:paraId="3112B385">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国寿资产</w:t>
                  </w:r>
                </w:p>
              </w:tc>
              <w:tc>
                <w:tcPr>
                  <w:tcW w:w="624" w:type="dxa"/>
                  <w:tcBorders>
                    <w:top w:val="nil"/>
                    <w:left w:val="nil"/>
                    <w:bottom w:val="single" w:color="auto" w:sz="4" w:space="0"/>
                    <w:right w:val="single" w:color="auto" w:sz="4" w:space="0"/>
                  </w:tcBorders>
                  <w:shd w:val="clear" w:color="auto" w:fill="auto"/>
                  <w:vAlign w:val="center"/>
                </w:tcPr>
                <w:p w14:paraId="357DB35C">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57</w:t>
                  </w:r>
                </w:p>
              </w:tc>
              <w:tc>
                <w:tcPr>
                  <w:tcW w:w="833" w:type="dxa"/>
                  <w:tcBorders>
                    <w:top w:val="nil"/>
                    <w:left w:val="nil"/>
                    <w:bottom w:val="single" w:color="auto" w:sz="4" w:space="0"/>
                    <w:right w:val="single" w:color="auto" w:sz="4" w:space="0"/>
                  </w:tcBorders>
                  <w:shd w:val="clear" w:color="auto" w:fill="auto"/>
                  <w:vAlign w:val="center"/>
                </w:tcPr>
                <w:p w14:paraId="3256932F">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孙思源</w:t>
                  </w:r>
                </w:p>
              </w:tc>
              <w:tc>
                <w:tcPr>
                  <w:tcW w:w="1573" w:type="dxa"/>
                  <w:tcBorders>
                    <w:top w:val="nil"/>
                    <w:left w:val="nil"/>
                    <w:bottom w:val="single" w:color="auto" w:sz="4" w:space="0"/>
                    <w:right w:val="single" w:color="auto" w:sz="4" w:space="0"/>
                  </w:tcBorders>
                  <w:shd w:val="clear" w:color="auto" w:fill="auto"/>
                  <w:vAlign w:val="center"/>
                </w:tcPr>
                <w:p w14:paraId="3E5945D8">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银河证券</w:t>
                  </w:r>
                </w:p>
              </w:tc>
            </w:tr>
            <w:tr w14:paraId="2207CA67">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084B6876">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21</w:t>
                  </w:r>
                </w:p>
              </w:tc>
              <w:tc>
                <w:tcPr>
                  <w:tcW w:w="833" w:type="dxa"/>
                  <w:tcBorders>
                    <w:top w:val="nil"/>
                    <w:left w:val="nil"/>
                    <w:bottom w:val="single" w:color="auto" w:sz="4" w:space="0"/>
                    <w:right w:val="single" w:color="auto" w:sz="4" w:space="0"/>
                  </w:tcBorders>
                  <w:shd w:val="clear" w:color="auto" w:fill="auto"/>
                  <w:vAlign w:val="center"/>
                </w:tcPr>
                <w:p w14:paraId="4FF326C0">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李彬</w:t>
                  </w:r>
                </w:p>
              </w:tc>
              <w:tc>
                <w:tcPr>
                  <w:tcW w:w="2059" w:type="dxa"/>
                  <w:tcBorders>
                    <w:top w:val="nil"/>
                    <w:left w:val="nil"/>
                    <w:bottom w:val="single" w:color="auto" w:sz="4" w:space="0"/>
                    <w:right w:val="single" w:color="auto" w:sz="4" w:space="0"/>
                  </w:tcBorders>
                  <w:shd w:val="clear" w:color="auto" w:fill="auto"/>
                  <w:vAlign w:val="center"/>
                </w:tcPr>
                <w:p w14:paraId="3E2260D8">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国新证券</w:t>
                  </w:r>
                </w:p>
              </w:tc>
              <w:tc>
                <w:tcPr>
                  <w:tcW w:w="624" w:type="dxa"/>
                  <w:tcBorders>
                    <w:top w:val="nil"/>
                    <w:left w:val="nil"/>
                    <w:bottom w:val="single" w:color="auto" w:sz="4" w:space="0"/>
                    <w:right w:val="single" w:color="auto" w:sz="4" w:space="0"/>
                  </w:tcBorders>
                  <w:shd w:val="clear" w:color="auto" w:fill="auto"/>
                  <w:vAlign w:val="center"/>
                </w:tcPr>
                <w:p w14:paraId="47EA0580">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58</w:t>
                  </w:r>
                </w:p>
              </w:tc>
              <w:tc>
                <w:tcPr>
                  <w:tcW w:w="833" w:type="dxa"/>
                  <w:tcBorders>
                    <w:top w:val="nil"/>
                    <w:left w:val="nil"/>
                    <w:bottom w:val="single" w:color="auto" w:sz="4" w:space="0"/>
                    <w:right w:val="single" w:color="auto" w:sz="4" w:space="0"/>
                  </w:tcBorders>
                  <w:shd w:val="clear" w:color="auto" w:fill="auto"/>
                  <w:vAlign w:val="center"/>
                </w:tcPr>
                <w:p w14:paraId="77E1E0D4">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翟启迪</w:t>
                  </w:r>
                </w:p>
              </w:tc>
              <w:tc>
                <w:tcPr>
                  <w:tcW w:w="1573" w:type="dxa"/>
                  <w:tcBorders>
                    <w:top w:val="nil"/>
                    <w:left w:val="nil"/>
                    <w:bottom w:val="single" w:color="auto" w:sz="4" w:space="0"/>
                    <w:right w:val="single" w:color="auto" w:sz="4" w:space="0"/>
                  </w:tcBorders>
                  <w:shd w:val="clear" w:color="auto" w:fill="auto"/>
                  <w:vAlign w:val="center"/>
                </w:tcPr>
                <w:p w14:paraId="2F7B2359">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银河证券</w:t>
                  </w:r>
                </w:p>
              </w:tc>
            </w:tr>
            <w:tr w14:paraId="1F69558C">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1FEC8652">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22</w:t>
                  </w:r>
                </w:p>
              </w:tc>
              <w:tc>
                <w:tcPr>
                  <w:tcW w:w="833" w:type="dxa"/>
                  <w:tcBorders>
                    <w:top w:val="nil"/>
                    <w:left w:val="nil"/>
                    <w:bottom w:val="single" w:color="auto" w:sz="4" w:space="0"/>
                    <w:right w:val="single" w:color="auto" w:sz="4" w:space="0"/>
                  </w:tcBorders>
                  <w:shd w:val="clear" w:color="auto" w:fill="auto"/>
                  <w:vAlign w:val="center"/>
                </w:tcPr>
                <w:p w14:paraId="4FE9B468">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董丙旭</w:t>
                  </w:r>
                </w:p>
              </w:tc>
              <w:tc>
                <w:tcPr>
                  <w:tcW w:w="2059" w:type="dxa"/>
                  <w:tcBorders>
                    <w:top w:val="nil"/>
                    <w:left w:val="nil"/>
                    <w:bottom w:val="single" w:color="auto" w:sz="4" w:space="0"/>
                    <w:right w:val="single" w:color="auto" w:sz="4" w:space="0"/>
                  </w:tcBorders>
                  <w:shd w:val="clear" w:color="auto" w:fill="auto"/>
                  <w:vAlign w:val="center"/>
                </w:tcPr>
                <w:p w14:paraId="53BAD199">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国信证券</w:t>
                  </w:r>
                </w:p>
              </w:tc>
              <w:tc>
                <w:tcPr>
                  <w:tcW w:w="624" w:type="dxa"/>
                  <w:tcBorders>
                    <w:top w:val="nil"/>
                    <w:left w:val="nil"/>
                    <w:bottom w:val="single" w:color="auto" w:sz="4" w:space="0"/>
                    <w:right w:val="single" w:color="auto" w:sz="4" w:space="0"/>
                  </w:tcBorders>
                  <w:shd w:val="clear" w:color="auto" w:fill="auto"/>
                  <w:vAlign w:val="center"/>
                </w:tcPr>
                <w:p w14:paraId="4107AFED">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59</w:t>
                  </w:r>
                </w:p>
              </w:tc>
              <w:tc>
                <w:tcPr>
                  <w:tcW w:w="833" w:type="dxa"/>
                  <w:tcBorders>
                    <w:top w:val="nil"/>
                    <w:left w:val="nil"/>
                    <w:bottom w:val="single" w:color="auto" w:sz="4" w:space="0"/>
                    <w:right w:val="single" w:color="auto" w:sz="4" w:space="0"/>
                  </w:tcBorders>
                  <w:shd w:val="clear" w:color="auto" w:fill="auto"/>
                  <w:vAlign w:val="center"/>
                </w:tcPr>
                <w:p w14:paraId="5EF4ECAA">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彭波</w:t>
                  </w:r>
                </w:p>
              </w:tc>
              <w:tc>
                <w:tcPr>
                  <w:tcW w:w="1573" w:type="dxa"/>
                  <w:tcBorders>
                    <w:top w:val="nil"/>
                    <w:left w:val="nil"/>
                    <w:bottom w:val="single" w:color="auto" w:sz="4" w:space="0"/>
                    <w:right w:val="single" w:color="auto" w:sz="4" w:space="0"/>
                  </w:tcBorders>
                  <w:shd w:val="clear" w:color="auto" w:fill="auto"/>
                  <w:vAlign w:val="center"/>
                </w:tcPr>
                <w:p w14:paraId="7528203A">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甬兴证券</w:t>
                  </w:r>
                </w:p>
              </w:tc>
            </w:tr>
            <w:tr w14:paraId="7D28D2B5">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270394BB">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23</w:t>
                  </w:r>
                </w:p>
              </w:tc>
              <w:tc>
                <w:tcPr>
                  <w:tcW w:w="833" w:type="dxa"/>
                  <w:tcBorders>
                    <w:top w:val="nil"/>
                    <w:left w:val="nil"/>
                    <w:bottom w:val="single" w:color="auto" w:sz="4" w:space="0"/>
                    <w:right w:val="single" w:color="auto" w:sz="4" w:space="0"/>
                  </w:tcBorders>
                  <w:shd w:val="clear" w:color="auto" w:fill="auto"/>
                  <w:vAlign w:val="center"/>
                </w:tcPr>
                <w:p w14:paraId="4F6D9E9A">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蔡红辉</w:t>
                  </w:r>
                </w:p>
              </w:tc>
              <w:tc>
                <w:tcPr>
                  <w:tcW w:w="2059" w:type="dxa"/>
                  <w:tcBorders>
                    <w:top w:val="nil"/>
                    <w:left w:val="nil"/>
                    <w:bottom w:val="single" w:color="auto" w:sz="4" w:space="0"/>
                    <w:right w:val="single" w:color="auto" w:sz="4" w:space="0"/>
                  </w:tcBorders>
                  <w:shd w:val="clear" w:color="auto" w:fill="auto"/>
                  <w:vAlign w:val="center"/>
                </w:tcPr>
                <w:p w14:paraId="3B6A5D87">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果实私募基金</w:t>
                  </w:r>
                </w:p>
              </w:tc>
              <w:tc>
                <w:tcPr>
                  <w:tcW w:w="624" w:type="dxa"/>
                  <w:tcBorders>
                    <w:top w:val="nil"/>
                    <w:left w:val="nil"/>
                    <w:bottom w:val="single" w:color="auto" w:sz="4" w:space="0"/>
                    <w:right w:val="single" w:color="auto" w:sz="4" w:space="0"/>
                  </w:tcBorders>
                  <w:shd w:val="clear" w:color="auto" w:fill="auto"/>
                  <w:vAlign w:val="center"/>
                </w:tcPr>
                <w:p w14:paraId="7A92C6E0">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60</w:t>
                  </w:r>
                </w:p>
              </w:tc>
              <w:tc>
                <w:tcPr>
                  <w:tcW w:w="833" w:type="dxa"/>
                  <w:tcBorders>
                    <w:top w:val="nil"/>
                    <w:left w:val="nil"/>
                    <w:bottom w:val="single" w:color="auto" w:sz="4" w:space="0"/>
                    <w:right w:val="single" w:color="auto" w:sz="4" w:space="0"/>
                  </w:tcBorders>
                  <w:shd w:val="clear" w:color="auto" w:fill="auto"/>
                  <w:vAlign w:val="center"/>
                </w:tcPr>
                <w:p w14:paraId="6BE48079">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黄垲锐</w:t>
                  </w:r>
                </w:p>
              </w:tc>
              <w:tc>
                <w:tcPr>
                  <w:tcW w:w="1573" w:type="dxa"/>
                  <w:tcBorders>
                    <w:top w:val="nil"/>
                    <w:left w:val="nil"/>
                    <w:bottom w:val="single" w:color="auto" w:sz="4" w:space="0"/>
                    <w:right w:val="single" w:color="auto" w:sz="4" w:space="0"/>
                  </w:tcBorders>
                  <w:shd w:val="clear" w:color="auto" w:fill="auto"/>
                  <w:vAlign w:val="center"/>
                </w:tcPr>
                <w:p w14:paraId="3821A0F6">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远信私募基金</w:t>
                  </w:r>
                </w:p>
              </w:tc>
            </w:tr>
            <w:tr w14:paraId="07C42A9E">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222865B0">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24</w:t>
                  </w:r>
                </w:p>
              </w:tc>
              <w:tc>
                <w:tcPr>
                  <w:tcW w:w="833" w:type="dxa"/>
                  <w:tcBorders>
                    <w:top w:val="nil"/>
                    <w:left w:val="nil"/>
                    <w:bottom w:val="single" w:color="auto" w:sz="4" w:space="0"/>
                    <w:right w:val="single" w:color="auto" w:sz="4" w:space="0"/>
                  </w:tcBorders>
                  <w:shd w:val="clear" w:color="auto" w:fill="auto"/>
                  <w:vAlign w:val="center"/>
                </w:tcPr>
                <w:p w14:paraId="02D1D534">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王强峰</w:t>
                  </w:r>
                </w:p>
              </w:tc>
              <w:tc>
                <w:tcPr>
                  <w:tcW w:w="2059" w:type="dxa"/>
                  <w:tcBorders>
                    <w:top w:val="nil"/>
                    <w:left w:val="nil"/>
                    <w:bottom w:val="single" w:color="auto" w:sz="4" w:space="0"/>
                    <w:right w:val="single" w:color="auto" w:sz="4" w:space="0"/>
                  </w:tcBorders>
                  <w:shd w:val="clear" w:color="auto" w:fill="auto"/>
                  <w:vAlign w:val="center"/>
                </w:tcPr>
                <w:p w14:paraId="46ECCB36">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华安证券</w:t>
                  </w:r>
                </w:p>
              </w:tc>
              <w:tc>
                <w:tcPr>
                  <w:tcW w:w="624" w:type="dxa"/>
                  <w:tcBorders>
                    <w:top w:val="nil"/>
                    <w:left w:val="nil"/>
                    <w:bottom w:val="single" w:color="auto" w:sz="4" w:space="0"/>
                    <w:right w:val="single" w:color="auto" w:sz="4" w:space="0"/>
                  </w:tcBorders>
                  <w:shd w:val="clear" w:color="auto" w:fill="auto"/>
                  <w:vAlign w:val="center"/>
                </w:tcPr>
                <w:p w14:paraId="053CAD9D">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61</w:t>
                  </w:r>
                </w:p>
              </w:tc>
              <w:tc>
                <w:tcPr>
                  <w:tcW w:w="833" w:type="dxa"/>
                  <w:tcBorders>
                    <w:top w:val="nil"/>
                    <w:left w:val="nil"/>
                    <w:bottom w:val="single" w:color="auto" w:sz="4" w:space="0"/>
                    <w:right w:val="single" w:color="auto" w:sz="4" w:space="0"/>
                  </w:tcBorders>
                  <w:shd w:val="clear" w:color="auto" w:fill="auto"/>
                  <w:vAlign w:val="center"/>
                </w:tcPr>
                <w:p w14:paraId="03DD2619">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曹志平</w:t>
                  </w:r>
                </w:p>
              </w:tc>
              <w:tc>
                <w:tcPr>
                  <w:tcW w:w="1573" w:type="dxa"/>
                  <w:tcBorders>
                    <w:top w:val="nil"/>
                    <w:left w:val="nil"/>
                    <w:bottom w:val="single" w:color="auto" w:sz="4" w:space="0"/>
                    <w:right w:val="single" w:color="auto" w:sz="4" w:space="0"/>
                  </w:tcBorders>
                  <w:shd w:val="clear" w:color="auto" w:fill="auto"/>
                  <w:vAlign w:val="center"/>
                </w:tcPr>
                <w:p w14:paraId="560B3A30">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eastAsia="zh-CN" w:bidi="ar-SA"/>
                    </w:rPr>
                    <w:t>粤</w:t>
                  </w:r>
                  <w:bookmarkStart w:id="0" w:name="_GoBack"/>
                  <w:bookmarkEnd w:id="0"/>
                  <w:r>
                    <w:rPr>
                      <w:rFonts w:hint="eastAsia" w:ascii="宋体" w:hAnsi="宋体" w:eastAsia="宋体" w:cs="Times New Roman"/>
                      <w:color w:val="000000"/>
                      <w:sz w:val="20"/>
                      <w:szCs w:val="20"/>
                      <w:lang w:val="en-US" w:bidi="ar-SA"/>
                    </w:rPr>
                    <w:t>佛私募基金</w:t>
                  </w:r>
                </w:p>
              </w:tc>
            </w:tr>
            <w:tr w14:paraId="23BF034E">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0BA3A773">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25</w:t>
                  </w:r>
                </w:p>
              </w:tc>
              <w:tc>
                <w:tcPr>
                  <w:tcW w:w="833" w:type="dxa"/>
                  <w:tcBorders>
                    <w:top w:val="nil"/>
                    <w:left w:val="nil"/>
                    <w:bottom w:val="single" w:color="auto" w:sz="4" w:space="0"/>
                    <w:right w:val="single" w:color="auto" w:sz="4" w:space="0"/>
                  </w:tcBorders>
                  <w:shd w:val="clear" w:color="auto" w:fill="auto"/>
                  <w:vAlign w:val="center"/>
                </w:tcPr>
                <w:p w14:paraId="205B9529">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王鹏飞</w:t>
                  </w:r>
                </w:p>
              </w:tc>
              <w:tc>
                <w:tcPr>
                  <w:tcW w:w="2059" w:type="dxa"/>
                  <w:tcBorders>
                    <w:top w:val="nil"/>
                    <w:left w:val="nil"/>
                    <w:bottom w:val="single" w:color="auto" w:sz="4" w:space="0"/>
                    <w:right w:val="single" w:color="auto" w:sz="4" w:space="0"/>
                  </w:tcBorders>
                  <w:shd w:val="clear" w:color="auto" w:fill="auto"/>
                  <w:vAlign w:val="center"/>
                </w:tcPr>
                <w:p w14:paraId="74760A14">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华宝信托</w:t>
                  </w:r>
                </w:p>
              </w:tc>
              <w:tc>
                <w:tcPr>
                  <w:tcW w:w="624" w:type="dxa"/>
                  <w:tcBorders>
                    <w:top w:val="nil"/>
                    <w:left w:val="nil"/>
                    <w:bottom w:val="single" w:color="auto" w:sz="4" w:space="0"/>
                    <w:right w:val="single" w:color="auto" w:sz="4" w:space="0"/>
                  </w:tcBorders>
                  <w:shd w:val="clear" w:color="auto" w:fill="auto"/>
                  <w:vAlign w:val="center"/>
                </w:tcPr>
                <w:p w14:paraId="6F6D8657">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62</w:t>
                  </w:r>
                </w:p>
              </w:tc>
              <w:tc>
                <w:tcPr>
                  <w:tcW w:w="833" w:type="dxa"/>
                  <w:tcBorders>
                    <w:top w:val="nil"/>
                    <w:left w:val="nil"/>
                    <w:bottom w:val="single" w:color="auto" w:sz="4" w:space="0"/>
                    <w:right w:val="single" w:color="auto" w:sz="4" w:space="0"/>
                  </w:tcBorders>
                  <w:shd w:val="clear" w:color="auto" w:fill="auto"/>
                  <w:vAlign w:val="center"/>
                </w:tcPr>
                <w:p w14:paraId="57C7B928">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王彤</w:t>
                  </w:r>
                </w:p>
              </w:tc>
              <w:tc>
                <w:tcPr>
                  <w:tcW w:w="1573" w:type="dxa"/>
                  <w:tcBorders>
                    <w:top w:val="nil"/>
                    <w:left w:val="nil"/>
                    <w:bottom w:val="single" w:color="auto" w:sz="4" w:space="0"/>
                    <w:right w:val="single" w:color="auto" w:sz="4" w:space="0"/>
                  </w:tcBorders>
                  <w:shd w:val="clear" w:color="auto" w:fill="auto"/>
                  <w:vAlign w:val="center"/>
                </w:tcPr>
                <w:p w14:paraId="24170F9F">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长城证券</w:t>
                  </w:r>
                </w:p>
              </w:tc>
            </w:tr>
            <w:tr w14:paraId="22FDF1D8">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71EE982E">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26</w:t>
                  </w:r>
                </w:p>
              </w:tc>
              <w:tc>
                <w:tcPr>
                  <w:tcW w:w="833" w:type="dxa"/>
                  <w:tcBorders>
                    <w:top w:val="nil"/>
                    <w:left w:val="nil"/>
                    <w:bottom w:val="single" w:color="auto" w:sz="4" w:space="0"/>
                    <w:right w:val="single" w:color="auto" w:sz="4" w:space="0"/>
                  </w:tcBorders>
                  <w:shd w:val="clear" w:color="auto" w:fill="auto"/>
                  <w:vAlign w:val="center"/>
                </w:tcPr>
                <w:p w14:paraId="69511C89">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吴宇</w:t>
                  </w:r>
                </w:p>
              </w:tc>
              <w:tc>
                <w:tcPr>
                  <w:tcW w:w="2059" w:type="dxa"/>
                  <w:tcBorders>
                    <w:top w:val="nil"/>
                    <w:left w:val="nil"/>
                    <w:bottom w:val="single" w:color="auto" w:sz="4" w:space="0"/>
                    <w:right w:val="single" w:color="auto" w:sz="4" w:space="0"/>
                  </w:tcBorders>
                  <w:shd w:val="clear" w:color="auto" w:fill="auto"/>
                  <w:vAlign w:val="center"/>
                </w:tcPr>
                <w:p w14:paraId="67C0AF79">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华创证券</w:t>
                  </w:r>
                </w:p>
              </w:tc>
              <w:tc>
                <w:tcPr>
                  <w:tcW w:w="624" w:type="dxa"/>
                  <w:tcBorders>
                    <w:top w:val="nil"/>
                    <w:left w:val="nil"/>
                    <w:bottom w:val="single" w:color="auto" w:sz="4" w:space="0"/>
                    <w:right w:val="single" w:color="auto" w:sz="4" w:space="0"/>
                  </w:tcBorders>
                  <w:shd w:val="clear" w:color="auto" w:fill="auto"/>
                  <w:vAlign w:val="center"/>
                </w:tcPr>
                <w:p w14:paraId="6618B0E3">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63</w:t>
                  </w:r>
                </w:p>
              </w:tc>
              <w:tc>
                <w:tcPr>
                  <w:tcW w:w="833" w:type="dxa"/>
                  <w:tcBorders>
                    <w:top w:val="nil"/>
                    <w:left w:val="nil"/>
                    <w:bottom w:val="single" w:color="auto" w:sz="4" w:space="0"/>
                    <w:right w:val="single" w:color="auto" w:sz="4" w:space="0"/>
                  </w:tcBorders>
                  <w:shd w:val="clear" w:color="auto" w:fill="auto"/>
                  <w:vAlign w:val="center"/>
                </w:tcPr>
                <w:p w14:paraId="5C46DEF0">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魏邈</w:t>
                  </w:r>
                </w:p>
              </w:tc>
              <w:tc>
                <w:tcPr>
                  <w:tcW w:w="1573" w:type="dxa"/>
                  <w:tcBorders>
                    <w:top w:val="nil"/>
                    <w:left w:val="nil"/>
                    <w:bottom w:val="single" w:color="auto" w:sz="4" w:space="0"/>
                    <w:right w:val="single" w:color="auto" w:sz="4" w:space="0"/>
                  </w:tcBorders>
                  <w:shd w:val="clear" w:color="auto" w:fill="auto"/>
                  <w:vAlign w:val="center"/>
                </w:tcPr>
                <w:p w14:paraId="25E37B4D">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长江证券</w:t>
                  </w:r>
                </w:p>
              </w:tc>
            </w:tr>
            <w:tr w14:paraId="4D7530C1">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0333C024">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27</w:t>
                  </w:r>
                </w:p>
              </w:tc>
              <w:tc>
                <w:tcPr>
                  <w:tcW w:w="833" w:type="dxa"/>
                  <w:tcBorders>
                    <w:top w:val="nil"/>
                    <w:left w:val="nil"/>
                    <w:bottom w:val="single" w:color="auto" w:sz="4" w:space="0"/>
                    <w:right w:val="single" w:color="auto" w:sz="4" w:space="0"/>
                  </w:tcBorders>
                  <w:shd w:val="clear" w:color="auto" w:fill="auto"/>
                  <w:vAlign w:val="center"/>
                </w:tcPr>
                <w:p w14:paraId="735EE24B">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景丹阳</w:t>
                  </w:r>
                </w:p>
              </w:tc>
              <w:tc>
                <w:tcPr>
                  <w:tcW w:w="2059" w:type="dxa"/>
                  <w:tcBorders>
                    <w:top w:val="nil"/>
                    <w:left w:val="nil"/>
                    <w:bottom w:val="single" w:color="auto" w:sz="4" w:space="0"/>
                    <w:right w:val="single" w:color="auto" w:sz="4" w:space="0"/>
                  </w:tcBorders>
                  <w:shd w:val="clear" w:color="auto" w:fill="auto"/>
                  <w:vAlign w:val="center"/>
                </w:tcPr>
                <w:p w14:paraId="1A1C4073">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华龙证券</w:t>
                  </w:r>
                </w:p>
              </w:tc>
              <w:tc>
                <w:tcPr>
                  <w:tcW w:w="624" w:type="dxa"/>
                  <w:tcBorders>
                    <w:top w:val="nil"/>
                    <w:left w:val="nil"/>
                    <w:bottom w:val="single" w:color="auto" w:sz="4" w:space="0"/>
                    <w:right w:val="single" w:color="auto" w:sz="4" w:space="0"/>
                  </w:tcBorders>
                  <w:shd w:val="clear" w:color="auto" w:fill="auto"/>
                  <w:vAlign w:val="center"/>
                </w:tcPr>
                <w:p w14:paraId="48E1473B">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64</w:t>
                  </w:r>
                </w:p>
              </w:tc>
              <w:tc>
                <w:tcPr>
                  <w:tcW w:w="833" w:type="dxa"/>
                  <w:tcBorders>
                    <w:top w:val="nil"/>
                    <w:left w:val="nil"/>
                    <w:bottom w:val="single" w:color="auto" w:sz="4" w:space="0"/>
                    <w:right w:val="single" w:color="auto" w:sz="4" w:space="0"/>
                  </w:tcBorders>
                  <w:shd w:val="clear" w:color="auto" w:fill="auto"/>
                  <w:vAlign w:val="center"/>
                </w:tcPr>
                <w:p w14:paraId="057678E8">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秦丝桐</w:t>
                  </w:r>
                </w:p>
              </w:tc>
              <w:tc>
                <w:tcPr>
                  <w:tcW w:w="1573" w:type="dxa"/>
                  <w:tcBorders>
                    <w:top w:val="nil"/>
                    <w:left w:val="nil"/>
                    <w:bottom w:val="single" w:color="auto" w:sz="4" w:space="0"/>
                    <w:right w:val="single" w:color="auto" w:sz="4" w:space="0"/>
                  </w:tcBorders>
                  <w:shd w:val="clear" w:color="auto" w:fill="auto"/>
                  <w:vAlign w:val="center"/>
                </w:tcPr>
                <w:p w14:paraId="2D0900EC">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长江证券</w:t>
                  </w:r>
                </w:p>
              </w:tc>
            </w:tr>
            <w:tr w14:paraId="06A1A177">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23DC3FD8">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28</w:t>
                  </w:r>
                </w:p>
              </w:tc>
              <w:tc>
                <w:tcPr>
                  <w:tcW w:w="833" w:type="dxa"/>
                  <w:tcBorders>
                    <w:top w:val="nil"/>
                    <w:left w:val="nil"/>
                    <w:bottom w:val="single" w:color="auto" w:sz="4" w:space="0"/>
                    <w:right w:val="single" w:color="auto" w:sz="4" w:space="0"/>
                  </w:tcBorders>
                  <w:shd w:val="clear" w:color="auto" w:fill="auto"/>
                  <w:vAlign w:val="center"/>
                </w:tcPr>
                <w:p w14:paraId="538A123E">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杨文韬</w:t>
                  </w:r>
                </w:p>
              </w:tc>
              <w:tc>
                <w:tcPr>
                  <w:tcW w:w="2059" w:type="dxa"/>
                  <w:tcBorders>
                    <w:top w:val="nil"/>
                    <w:left w:val="nil"/>
                    <w:bottom w:val="single" w:color="auto" w:sz="4" w:space="0"/>
                    <w:right w:val="single" w:color="auto" w:sz="4" w:space="0"/>
                  </w:tcBorders>
                  <w:shd w:val="clear" w:color="auto" w:fill="auto"/>
                  <w:vAlign w:val="center"/>
                </w:tcPr>
                <w:p w14:paraId="72EAA704">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华泰证券</w:t>
                  </w:r>
                </w:p>
              </w:tc>
              <w:tc>
                <w:tcPr>
                  <w:tcW w:w="624" w:type="dxa"/>
                  <w:tcBorders>
                    <w:top w:val="nil"/>
                    <w:left w:val="nil"/>
                    <w:bottom w:val="single" w:color="auto" w:sz="4" w:space="0"/>
                    <w:right w:val="single" w:color="auto" w:sz="4" w:space="0"/>
                  </w:tcBorders>
                  <w:shd w:val="clear" w:color="auto" w:fill="auto"/>
                  <w:vAlign w:val="center"/>
                </w:tcPr>
                <w:p w14:paraId="2F164422">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65</w:t>
                  </w:r>
                </w:p>
              </w:tc>
              <w:tc>
                <w:tcPr>
                  <w:tcW w:w="833" w:type="dxa"/>
                  <w:tcBorders>
                    <w:top w:val="nil"/>
                    <w:left w:val="nil"/>
                    <w:bottom w:val="single" w:color="auto" w:sz="4" w:space="0"/>
                    <w:right w:val="single" w:color="auto" w:sz="4" w:space="0"/>
                  </w:tcBorders>
                  <w:shd w:val="clear" w:color="auto" w:fill="auto"/>
                  <w:vAlign w:val="center"/>
                </w:tcPr>
                <w:p w14:paraId="0440939D">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汤永俊</w:t>
                  </w:r>
                </w:p>
              </w:tc>
              <w:tc>
                <w:tcPr>
                  <w:tcW w:w="1573" w:type="dxa"/>
                  <w:tcBorders>
                    <w:top w:val="nil"/>
                    <w:left w:val="nil"/>
                    <w:bottom w:val="single" w:color="auto" w:sz="4" w:space="0"/>
                    <w:right w:val="single" w:color="auto" w:sz="4" w:space="0"/>
                  </w:tcBorders>
                  <w:shd w:val="clear" w:color="auto" w:fill="auto"/>
                  <w:vAlign w:val="center"/>
                </w:tcPr>
                <w:p w14:paraId="3C6B978C">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浙商证券</w:t>
                  </w:r>
                </w:p>
              </w:tc>
            </w:tr>
            <w:tr w14:paraId="0DCDAAF4">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01BC1046">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29</w:t>
                  </w:r>
                </w:p>
              </w:tc>
              <w:tc>
                <w:tcPr>
                  <w:tcW w:w="833" w:type="dxa"/>
                  <w:tcBorders>
                    <w:top w:val="nil"/>
                    <w:left w:val="nil"/>
                    <w:bottom w:val="single" w:color="auto" w:sz="4" w:space="0"/>
                    <w:right w:val="single" w:color="auto" w:sz="4" w:space="0"/>
                  </w:tcBorders>
                  <w:shd w:val="clear" w:color="auto" w:fill="auto"/>
                  <w:vAlign w:val="center"/>
                </w:tcPr>
                <w:p w14:paraId="26C91031">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王丽丽</w:t>
                  </w:r>
                </w:p>
              </w:tc>
              <w:tc>
                <w:tcPr>
                  <w:tcW w:w="2059" w:type="dxa"/>
                  <w:tcBorders>
                    <w:top w:val="nil"/>
                    <w:left w:val="nil"/>
                    <w:bottom w:val="single" w:color="auto" w:sz="4" w:space="0"/>
                    <w:right w:val="single" w:color="auto" w:sz="4" w:space="0"/>
                  </w:tcBorders>
                  <w:shd w:val="clear" w:color="auto" w:fill="auto"/>
                  <w:vAlign w:val="center"/>
                </w:tcPr>
                <w:p w14:paraId="0A7EFB94">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华西证券</w:t>
                  </w:r>
                </w:p>
              </w:tc>
              <w:tc>
                <w:tcPr>
                  <w:tcW w:w="624" w:type="dxa"/>
                  <w:tcBorders>
                    <w:top w:val="nil"/>
                    <w:left w:val="nil"/>
                    <w:bottom w:val="single" w:color="auto" w:sz="4" w:space="0"/>
                    <w:right w:val="single" w:color="auto" w:sz="4" w:space="0"/>
                  </w:tcBorders>
                  <w:shd w:val="clear" w:color="auto" w:fill="auto"/>
                  <w:vAlign w:val="center"/>
                </w:tcPr>
                <w:p w14:paraId="448603BA">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66</w:t>
                  </w:r>
                </w:p>
              </w:tc>
              <w:tc>
                <w:tcPr>
                  <w:tcW w:w="833" w:type="dxa"/>
                  <w:tcBorders>
                    <w:top w:val="nil"/>
                    <w:left w:val="nil"/>
                    <w:bottom w:val="single" w:color="auto" w:sz="4" w:space="0"/>
                    <w:right w:val="single" w:color="auto" w:sz="4" w:space="0"/>
                  </w:tcBorders>
                  <w:shd w:val="clear" w:color="auto" w:fill="auto"/>
                  <w:vAlign w:val="center"/>
                </w:tcPr>
                <w:p w14:paraId="6449E1CA">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李辉</w:t>
                  </w:r>
                </w:p>
              </w:tc>
              <w:tc>
                <w:tcPr>
                  <w:tcW w:w="1573" w:type="dxa"/>
                  <w:tcBorders>
                    <w:top w:val="nil"/>
                    <w:left w:val="nil"/>
                    <w:bottom w:val="single" w:color="auto" w:sz="4" w:space="0"/>
                    <w:right w:val="single" w:color="auto" w:sz="4" w:space="0"/>
                  </w:tcBorders>
                  <w:shd w:val="clear" w:color="auto" w:fill="auto"/>
                  <w:vAlign w:val="center"/>
                </w:tcPr>
                <w:p w14:paraId="0167FFD1">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浙商证券</w:t>
                  </w:r>
                </w:p>
              </w:tc>
            </w:tr>
            <w:tr w14:paraId="4506B447">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262404B2">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30</w:t>
                  </w:r>
                </w:p>
              </w:tc>
              <w:tc>
                <w:tcPr>
                  <w:tcW w:w="833" w:type="dxa"/>
                  <w:tcBorders>
                    <w:top w:val="nil"/>
                    <w:left w:val="nil"/>
                    <w:bottom w:val="single" w:color="auto" w:sz="4" w:space="0"/>
                    <w:right w:val="single" w:color="auto" w:sz="4" w:space="0"/>
                  </w:tcBorders>
                  <w:shd w:val="clear" w:color="auto" w:fill="auto"/>
                  <w:vAlign w:val="center"/>
                </w:tcPr>
                <w:p w14:paraId="4ED4EC87">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庄佳伟</w:t>
                  </w:r>
                </w:p>
              </w:tc>
              <w:tc>
                <w:tcPr>
                  <w:tcW w:w="2059" w:type="dxa"/>
                  <w:tcBorders>
                    <w:top w:val="nil"/>
                    <w:left w:val="nil"/>
                    <w:bottom w:val="single" w:color="auto" w:sz="4" w:space="0"/>
                    <w:right w:val="single" w:color="auto" w:sz="4" w:space="0"/>
                  </w:tcBorders>
                  <w:shd w:val="clear" w:color="auto" w:fill="auto"/>
                  <w:vAlign w:val="center"/>
                </w:tcPr>
                <w:p w14:paraId="5982E0A7">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华夏复利私募基金</w:t>
                  </w:r>
                </w:p>
              </w:tc>
              <w:tc>
                <w:tcPr>
                  <w:tcW w:w="624" w:type="dxa"/>
                  <w:tcBorders>
                    <w:top w:val="nil"/>
                    <w:left w:val="nil"/>
                    <w:bottom w:val="single" w:color="auto" w:sz="4" w:space="0"/>
                    <w:right w:val="single" w:color="auto" w:sz="4" w:space="0"/>
                  </w:tcBorders>
                  <w:shd w:val="clear" w:color="auto" w:fill="auto"/>
                  <w:vAlign w:val="center"/>
                </w:tcPr>
                <w:p w14:paraId="0CF15484">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67</w:t>
                  </w:r>
                </w:p>
              </w:tc>
              <w:tc>
                <w:tcPr>
                  <w:tcW w:w="833" w:type="dxa"/>
                  <w:tcBorders>
                    <w:top w:val="nil"/>
                    <w:left w:val="nil"/>
                    <w:bottom w:val="single" w:color="auto" w:sz="4" w:space="0"/>
                    <w:right w:val="single" w:color="auto" w:sz="4" w:space="0"/>
                  </w:tcBorders>
                  <w:shd w:val="clear" w:color="auto" w:fill="auto"/>
                  <w:vAlign w:val="center"/>
                </w:tcPr>
                <w:p w14:paraId="21440A5F">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徐啸天</w:t>
                  </w:r>
                </w:p>
              </w:tc>
              <w:tc>
                <w:tcPr>
                  <w:tcW w:w="1573" w:type="dxa"/>
                  <w:tcBorders>
                    <w:top w:val="nil"/>
                    <w:left w:val="nil"/>
                    <w:bottom w:val="single" w:color="auto" w:sz="4" w:space="0"/>
                    <w:right w:val="single" w:color="auto" w:sz="4" w:space="0"/>
                  </w:tcBorders>
                  <w:shd w:val="clear" w:color="auto" w:fill="auto"/>
                  <w:vAlign w:val="center"/>
                </w:tcPr>
                <w:p w14:paraId="4A4E9DC0">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中金公司</w:t>
                  </w:r>
                </w:p>
              </w:tc>
            </w:tr>
            <w:tr w14:paraId="37D664B0">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2D3EE65B">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31</w:t>
                  </w:r>
                </w:p>
              </w:tc>
              <w:tc>
                <w:tcPr>
                  <w:tcW w:w="833" w:type="dxa"/>
                  <w:tcBorders>
                    <w:top w:val="nil"/>
                    <w:left w:val="nil"/>
                    <w:bottom w:val="single" w:color="auto" w:sz="4" w:space="0"/>
                    <w:right w:val="single" w:color="auto" w:sz="4" w:space="0"/>
                  </w:tcBorders>
                  <w:shd w:val="clear" w:color="auto" w:fill="auto"/>
                  <w:vAlign w:val="center"/>
                </w:tcPr>
                <w:p w14:paraId="6117ED60">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叶繁</w:t>
                  </w:r>
                </w:p>
              </w:tc>
              <w:tc>
                <w:tcPr>
                  <w:tcW w:w="2059" w:type="dxa"/>
                  <w:tcBorders>
                    <w:top w:val="nil"/>
                    <w:left w:val="nil"/>
                    <w:bottom w:val="single" w:color="auto" w:sz="4" w:space="0"/>
                    <w:right w:val="single" w:color="auto" w:sz="4" w:space="0"/>
                  </w:tcBorders>
                  <w:shd w:val="clear" w:color="auto" w:fill="auto"/>
                  <w:vAlign w:val="center"/>
                </w:tcPr>
                <w:p w14:paraId="6DFA5E2E">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汇丰晋信基金</w:t>
                  </w:r>
                </w:p>
              </w:tc>
              <w:tc>
                <w:tcPr>
                  <w:tcW w:w="624" w:type="dxa"/>
                  <w:tcBorders>
                    <w:top w:val="nil"/>
                    <w:left w:val="nil"/>
                    <w:bottom w:val="single" w:color="auto" w:sz="4" w:space="0"/>
                    <w:right w:val="single" w:color="auto" w:sz="4" w:space="0"/>
                  </w:tcBorders>
                  <w:shd w:val="clear" w:color="auto" w:fill="auto"/>
                  <w:vAlign w:val="center"/>
                </w:tcPr>
                <w:p w14:paraId="38FBF08A">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68</w:t>
                  </w:r>
                </w:p>
              </w:tc>
              <w:tc>
                <w:tcPr>
                  <w:tcW w:w="833" w:type="dxa"/>
                  <w:tcBorders>
                    <w:top w:val="nil"/>
                    <w:left w:val="nil"/>
                    <w:bottom w:val="single" w:color="auto" w:sz="4" w:space="0"/>
                    <w:right w:val="single" w:color="auto" w:sz="4" w:space="0"/>
                  </w:tcBorders>
                  <w:shd w:val="clear" w:color="auto" w:fill="auto"/>
                  <w:vAlign w:val="center"/>
                </w:tcPr>
                <w:p w14:paraId="3447B247">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傅锴铭</w:t>
                  </w:r>
                </w:p>
              </w:tc>
              <w:tc>
                <w:tcPr>
                  <w:tcW w:w="1573" w:type="dxa"/>
                  <w:tcBorders>
                    <w:top w:val="nil"/>
                    <w:left w:val="nil"/>
                    <w:bottom w:val="single" w:color="auto" w:sz="4" w:space="0"/>
                    <w:right w:val="single" w:color="auto" w:sz="4" w:space="0"/>
                  </w:tcBorders>
                  <w:shd w:val="clear" w:color="auto" w:fill="auto"/>
                  <w:vAlign w:val="center"/>
                </w:tcPr>
                <w:p w14:paraId="3D8F26F5">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中金公司</w:t>
                  </w:r>
                </w:p>
              </w:tc>
            </w:tr>
            <w:tr w14:paraId="78916420">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36E18C0E">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32</w:t>
                  </w:r>
                </w:p>
              </w:tc>
              <w:tc>
                <w:tcPr>
                  <w:tcW w:w="833" w:type="dxa"/>
                  <w:tcBorders>
                    <w:top w:val="nil"/>
                    <w:left w:val="nil"/>
                    <w:bottom w:val="single" w:color="auto" w:sz="4" w:space="0"/>
                    <w:right w:val="single" w:color="auto" w:sz="4" w:space="0"/>
                  </w:tcBorders>
                  <w:shd w:val="clear" w:color="auto" w:fill="auto"/>
                  <w:vAlign w:val="center"/>
                </w:tcPr>
                <w:p w14:paraId="05C6BFF1">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茹艺</w:t>
                  </w:r>
                </w:p>
              </w:tc>
              <w:tc>
                <w:tcPr>
                  <w:tcW w:w="2059" w:type="dxa"/>
                  <w:tcBorders>
                    <w:top w:val="nil"/>
                    <w:left w:val="nil"/>
                    <w:bottom w:val="single" w:color="auto" w:sz="4" w:space="0"/>
                    <w:right w:val="single" w:color="auto" w:sz="4" w:space="0"/>
                  </w:tcBorders>
                  <w:shd w:val="clear" w:color="auto" w:fill="auto"/>
                  <w:vAlign w:val="center"/>
                </w:tcPr>
                <w:p w14:paraId="34BE45A3">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汇丰前海证券</w:t>
                  </w:r>
                </w:p>
              </w:tc>
              <w:tc>
                <w:tcPr>
                  <w:tcW w:w="624" w:type="dxa"/>
                  <w:tcBorders>
                    <w:top w:val="nil"/>
                    <w:left w:val="nil"/>
                    <w:bottom w:val="single" w:color="auto" w:sz="4" w:space="0"/>
                    <w:right w:val="single" w:color="auto" w:sz="4" w:space="0"/>
                  </w:tcBorders>
                  <w:shd w:val="clear" w:color="auto" w:fill="auto"/>
                  <w:vAlign w:val="center"/>
                </w:tcPr>
                <w:p w14:paraId="028243D4">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69</w:t>
                  </w:r>
                </w:p>
              </w:tc>
              <w:tc>
                <w:tcPr>
                  <w:tcW w:w="833" w:type="dxa"/>
                  <w:tcBorders>
                    <w:top w:val="nil"/>
                    <w:left w:val="nil"/>
                    <w:bottom w:val="single" w:color="auto" w:sz="4" w:space="0"/>
                    <w:right w:val="single" w:color="auto" w:sz="4" w:space="0"/>
                  </w:tcBorders>
                  <w:shd w:val="clear" w:color="auto" w:fill="auto"/>
                  <w:vAlign w:val="center"/>
                </w:tcPr>
                <w:p w14:paraId="5A70C5AD">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吴頔</w:t>
                  </w:r>
                </w:p>
              </w:tc>
              <w:tc>
                <w:tcPr>
                  <w:tcW w:w="1573" w:type="dxa"/>
                  <w:tcBorders>
                    <w:top w:val="nil"/>
                    <w:left w:val="nil"/>
                    <w:bottom w:val="single" w:color="auto" w:sz="4" w:space="0"/>
                    <w:right w:val="single" w:color="auto" w:sz="4" w:space="0"/>
                  </w:tcBorders>
                  <w:shd w:val="clear" w:color="auto" w:fill="auto"/>
                  <w:vAlign w:val="center"/>
                </w:tcPr>
                <w:p w14:paraId="335C5764">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中金公司</w:t>
                  </w:r>
                </w:p>
              </w:tc>
            </w:tr>
            <w:tr w14:paraId="1A4409AF">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7CBB26CB">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33</w:t>
                  </w:r>
                </w:p>
              </w:tc>
              <w:tc>
                <w:tcPr>
                  <w:tcW w:w="833" w:type="dxa"/>
                  <w:tcBorders>
                    <w:top w:val="nil"/>
                    <w:left w:val="nil"/>
                    <w:bottom w:val="single" w:color="auto" w:sz="4" w:space="0"/>
                    <w:right w:val="single" w:color="auto" w:sz="4" w:space="0"/>
                  </w:tcBorders>
                  <w:shd w:val="clear" w:color="auto" w:fill="auto"/>
                  <w:vAlign w:val="center"/>
                </w:tcPr>
                <w:p w14:paraId="32CC2DA9">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刘高晓</w:t>
                  </w:r>
                </w:p>
              </w:tc>
              <w:tc>
                <w:tcPr>
                  <w:tcW w:w="2059" w:type="dxa"/>
                  <w:tcBorders>
                    <w:top w:val="nil"/>
                    <w:left w:val="nil"/>
                    <w:bottom w:val="single" w:color="auto" w:sz="4" w:space="0"/>
                    <w:right w:val="single" w:color="auto" w:sz="4" w:space="0"/>
                  </w:tcBorders>
                  <w:shd w:val="clear" w:color="auto" w:fill="auto"/>
                  <w:vAlign w:val="center"/>
                </w:tcPr>
                <w:p w14:paraId="5E00863B">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汇添富基金</w:t>
                  </w:r>
                </w:p>
              </w:tc>
              <w:tc>
                <w:tcPr>
                  <w:tcW w:w="624" w:type="dxa"/>
                  <w:tcBorders>
                    <w:top w:val="nil"/>
                    <w:left w:val="nil"/>
                    <w:bottom w:val="single" w:color="auto" w:sz="4" w:space="0"/>
                    <w:right w:val="single" w:color="auto" w:sz="4" w:space="0"/>
                  </w:tcBorders>
                  <w:shd w:val="clear" w:color="auto" w:fill="auto"/>
                  <w:vAlign w:val="center"/>
                </w:tcPr>
                <w:p w14:paraId="552A7D78">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70</w:t>
                  </w:r>
                </w:p>
              </w:tc>
              <w:tc>
                <w:tcPr>
                  <w:tcW w:w="833" w:type="dxa"/>
                  <w:tcBorders>
                    <w:top w:val="nil"/>
                    <w:left w:val="nil"/>
                    <w:bottom w:val="single" w:color="auto" w:sz="4" w:space="0"/>
                    <w:right w:val="single" w:color="auto" w:sz="4" w:space="0"/>
                  </w:tcBorders>
                  <w:shd w:val="clear" w:color="auto" w:fill="auto"/>
                  <w:vAlign w:val="center"/>
                </w:tcPr>
                <w:p w14:paraId="5A1C3DFB">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农誉</w:t>
                  </w:r>
                </w:p>
              </w:tc>
              <w:tc>
                <w:tcPr>
                  <w:tcW w:w="1573" w:type="dxa"/>
                  <w:tcBorders>
                    <w:top w:val="nil"/>
                    <w:left w:val="nil"/>
                    <w:bottom w:val="single" w:color="auto" w:sz="4" w:space="0"/>
                    <w:right w:val="single" w:color="auto" w:sz="4" w:space="0"/>
                  </w:tcBorders>
                  <w:shd w:val="clear" w:color="auto" w:fill="auto"/>
                  <w:vAlign w:val="center"/>
                </w:tcPr>
                <w:p w14:paraId="0882BAC7">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中泰证券</w:t>
                  </w:r>
                </w:p>
              </w:tc>
            </w:tr>
            <w:tr w14:paraId="432237C9">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3F344A8D">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34</w:t>
                  </w:r>
                </w:p>
              </w:tc>
              <w:tc>
                <w:tcPr>
                  <w:tcW w:w="833" w:type="dxa"/>
                  <w:tcBorders>
                    <w:top w:val="nil"/>
                    <w:left w:val="nil"/>
                    <w:bottom w:val="single" w:color="auto" w:sz="4" w:space="0"/>
                    <w:right w:val="single" w:color="auto" w:sz="4" w:space="0"/>
                  </w:tcBorders>
                  <w:shd w:val="clear" w:color="auto" w:fill="auto"/>
                  <w:vAlign w:val="center"/>
                </w:tcPr>
                <w:p w14:paraId="541CE41B">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张诗瑶</w:t>
                  </w:r>
                </w:p>
              </w:tc>
              <w:tc>
                <w:tcPr>
                  <w:tcW w:w="2059" w:type="dxa"/>
                  <w:tcBorders>
                    <w:top w:val="nil"/>
                    <w:left w:val="nil"/>
                    <w:bottom w:val="single" w:color="auto" w:sz="4" w:space="0"/>
                    <w:right w:val="single" w:color="auto" w:sz="4" w:space="0"/>
                  </w:tcBorders>
                  <w:shd w:val="clear" w:color="auto" w:fill="auto"/>
                  <w:vAlign w:val="center"/>
                </w:tcPr>
                <w:p w14:paraId="7367B453">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江海证券</w:t>
                  </w:r>
                </w:p>
              </w:tc>
              <w:tc>
                <w:tcPr>
                  <w:tcW w:w="624" w:type="dxa"/>
                  <w:tcBorders>
                    <w:top w:val="nil"/>
                    <w:left w:val="nil"/>
                    <w:bottom w:val="single" w:color="auto" w:sz="4" w:space="0"/>
                    <w:right w:val="single" w:color="auto" w:sz="4" w:space="0"/>
                  </w:tcBorders>
                  <w:shd w:val="clear" w:color="auto" w:fill="auto"/>
                  <w:vAlign w:val="center"/>
                </w:tcPr>
                <w:p w14:paraId="6C7DD028">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71</w:t>
                  </w:r>
                </w:p>
              </w:tc>
              <w:tc>
                <w:tcPr>
                  <w:tcW w:w="833" w:type="dxa"/>
                  <w:tcBorders>
                    <w:top w:val="nil"/>
                    <w:left w:val="nil"/>
                    <w:bottom w:val="single" w:color="auto" w:sz="4" w:space="0"/>
                    <w:right w:val="single" w:color="auto" w:sz="4" w:space="0"/>
                  </w:tcBorders>
                  <w:shd w:val="clear" w:color="auto" w:fill="auto"/>
                  <w:vAlign w:val="center"/>
                </w:tcPr>
                <w:p w14:paraId="31A7800C">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王鹏</w:t>
                  </w:r>
                </w:p>
              </w:tc>
              <w:tc>
                <w:tcPr>
                  <w:tcW w:w="1573" w:type="dxa"/>
                  <w:tcBorders>
                    <w:top w:val="nil"/>
                    <w:left w:val="nil"/>
                    <w:bottom w:val="single" w:color="auto" w:sz="4" w:space="0"/>
                    <w:right w:val="single" w:color="auto" w:sz="4" w:space="0"/>
                  </w:tcBorders>
                  <w:shd w:val="clear" w:color="auto" w:fill="auto"/>
                  <w:vAlign w:val="center"/>
                </w:tcPr>
                <w:p w14:paraId="01E82D65">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中泰证券</w:t>
                  </w:r>
                </w:p>
              </w:tc>
            </w:tr>
            <w:tr w14:paraId="6B793B5D">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12C2E76D">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35</w:t>
                  </w:r>
                </w:p>
              </w:tc>
              <w:tc>
                <w:tcPr>
                  <w:tcW w:w="833" w:type="dxa"/>
                  <w:tcBorders>
                    <w:top w:val="nil"/>
                    <w:left w:val="nil"/>
                    <w:bottom w:val="single" w:color="auto" w:sz="4" w:space="0"/>
                    <w:right w:val="single" w:color="auto" w:sz="4" w:space="0"/>
                  </w:tcBorders>
                  <w:shd w:val="clear" w:color="auto" w:fill="auto"/>
                  <w:vAlign w:val="center"/>
                </w:tcPr>
                <w:p w14:paraId="5A34FD10">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金搏扬</w:t>
                  </w:r>
                </w:p>
              </w:tc>
              <w:tc>
                <w:tcPr>
                  <w:tcW w:w="2059" w:type="dxa"/>
                  <w:tcBorders>
                    <w:top w:val="nil"/>
                    <w:left w:val="nil"/>
                    <w:bottom w:val="single" w:color="auto" w:sz="4" w:space="0"/>
                    <w:right w:val="single" w:color="auto" w:sz="4" w:space="0"/>
                  </w:tcBorders>
                  <w:shd w:val="clear" w:color="auto" w:fill="auto"/>
                  <w:vAlign w:val="center"/>
                </w:tcPr>
                <w:p w14:paraId="3DDD3F0E">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君和资本</w:t>
                  </w:r>
                </w:p>
              </w:tc>
              <w:tc>
                <w:tcPr>
                  <w:tcW w:w="624" w:type="dxa"/>
                  <w:tcBorders>
                    <w:top w:val="nil"/>
                    <w:left w:val="nil"/>
                    <w:bottom w:val="single" w:color="auto" w:sz="4" w:space="0"/>
                    <w:right w:val="single" w:color="auto" w:sz="4" w:space="0"/>
                  </w:tcBorders>
                  <w:shd w:val="clear" w:color="auto" w:fill="auto"/>
                  <w:vAlign w:val="center"/>
                </w:tcPr>
                <w:p w14:paraId="6BC8D9AB">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72</w:t>
                  </w:r>
                </w:p>
              </w:tc>
              <w:tc>
                <w:tcPr>
                  <w:tcW w:w="833" w:type="dxa"/>
                  <w:tcBorders>
                    <w:top w:val="nil"/>
                    <w:left w:val="nil"/>
                    <w:bottom w:val="single" w:color="auto" w:sz="4" w:space="0"/>
                    <w:right w:val="single" w:color="auto" w:sz="4" w:space="0"/>
                  </w:tcBorders>
                  <w:shd w:val="clear" w:color="auto" w:fill="auto"/>
                  <w:vAlign w:val="center"/>
                </w:tcPr>
                <w:p w14:paraId="1353704E">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曹惠</w:t>
                  </w:r>
                </w:p>
              </w:tc>
              <w:tc>
                <w:tcPr>
                  <w:tcW w:w="1573" w:type="dxa"/>
                  <w:tcBorders>
                    <w:top w:val="nil"/>
                    <w:left w:val="nil"/>
                    <w:bottom w:val="single" w:color="auto" w:sz="4" w:space="0"/>
                    <w:right w:val="single" w:color="auto" w:sz="4" w:space="0"/>
                  </w:tcBorders>
                  <w:shd w:val="clear" w:color="auto" w:fill="auto"/>
                  <w:vAlign w:val="center"/>
                </w:tcPr>
                <w:p w14:paraId="03082B7E">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中泰证券</w:t>
                  </w:r>
                </w:p>
              </w:tc>
            </w:tr>
            <w:tr w14:paraId="0DBDE878">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24E760A4">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36</w:t>
                  </w:r>
                </w:p>
              </w:tc>
              <w:tc>
                <w:tcPr>
                  <w:tcW w:w="833" w:type="dxa"/>
                  <w:tcBorders>
                    <w:top w:val="nil"/>
                    <w:left w:val="nil"/>
                    <w:bottom w:val="single" w:color="auto" w:sz="4" w:space="0"/>
                    <w:right w:val="single" w:color="auto" w:sz="4" w:space="0"/>
                  </w:tcBorders>
                  <w:shd w:val="clear" w:color="auto" w:fill="auto"/>
                  <w:vAlign w:val="center"/>
                </w:tcPr>
                <w:p w14:paraId="5B7335BD">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宋梓荣</w:t>
                  </w:r>
                </w:p>
              </w:tc>
              <w:tc>
                <w:tcPr>
                  <w:tcW w:w="2059" w:type="dxa"/>
                  <w:tcBorders>
                    <w:top w:val="nil"/>
                    <w:left w:val="nil"/>
                    <w:bottom w:val="single" w:color="auto" w:sz="4" w:space="0"/>
                    <w:right w:val="single" w:color="auto" w:sz="4" w:space="0"/>
                  </w:tcBorders>
                  <w:shd w:val="clear" w:color="auto" w:fill="auto"/>
                  <w:vAlign w:val="center"/>
                </w:tcPr>
                <w:p w14:paraId="6DE17C68">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开源证券</w:t>
                  </w:r>
                </w:p>
              </w:tc>
              <w:tc>
                <w:tcPr>
                  <w:tcW w:w="624" w:type="dxa"/>
                  <w:tcBorders>
                    <w:top w:val="nil"/>
                    <w:left w:val="nil"/>
                    <w:bottom w:val="single" w:color="auto" w:sz="4" w:space="0"/>
                    <w:right w:val="single" w:color="auto" w:sz="4" w:space="0"/>
                  </w:tcBorders>
                  <w:shd w:val="clear" w:color="auto" w:fill="auto"/>
                  <w:vAlign w:val="center"/>
                </w:tcPr>
                <w:p w14:paraId="7E6E9F6F">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73</w:t>
                  </w:r>
                </w:p>
              </w:tc>
              <w:tc>
                <w:tcPr>
                  <w:tcW w:w="833" w:type="dxa"/>
                  <w:tcBorders>
                    <w:top w:val="nil"/>
                    <w:left w:val="nil"/>
                    <w:bottom w:val="single" w:color="auto" w:sz="4" w:space="0"/>
                    <w:right w:val="single" w:color="auto" w:sz="4" w:space="0"/>
                  </w:tcBorders>
                  <w:shd w:val="clear" w:color="auto" w:fill="auto"/>
                  <w:vAlign w:val="center"/>
                </w:tcPr>
                <w:p w14:paraId="74E756B0">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赵宇航</w:t>
                  </w:r>
                </w:p>
              </w:tc>
              <w:tc>
                <w:tcPr>
                  <w:tcW w:w="1573" w:type="dxa"/>
                  <w:tcBorders>
                    <w:top w:val="nil"/>
                    <w:left w:val="nil"/>
                    <w:bottom w:val="single" w:color="auto" w:sz="4" w:space="0"/>
                    <w:right w:val="single" w:color="auto" w:sz="4" w:space="0"/>
                  </w:tcBorders>
                  <w:shd w:val="clear" w:color="auto" w:fill="auto"/>
                  <w:vAlign w:val="center"/>
                </w:tcPr>
                <w:p w14:paraId="69F59765">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中信证券</w:t>
                  </w:r>
                </w:p>
              </w:tc>
            </w:tr>
            <w:tr w14:paraId="5FDC7C42">
              <w:tblPrEx>
                <w:tblCellMar>
                  <w:top w:w="0" w:type="dxa"/>
                  <w:left w:w="108" w:type="dxa"/>
                  <w:bottom w:w="0" w:type="dxa"/>
                  <w:right w:w="108" w:type="dxa"/>
                </w:tblCellMar>
              </w:tblPrEx>
              <w:trPr>
                <w:trHeight w:val="305" w:hRule="atLeast"/>
              </w:trPr>
              <w:tc>
                <w:tcPr>
                  <w:tcW w:w="624" w:type="dxa"/>
                  <w:tcBorders>
                    <w:top w:val="nil"/>
                    <w:left w:val="single" w:color="auto" w:sz="4" w:space="0"/>
                    <w:bottom w:val="single" w:color="auto" w:sz="4" w:space="0"/>
                    <w:right w:val="single" w:color="auto" w:sz="4" w:space="0"/>
                  </w:tcBorders>
                  <w:shd w:val="clear" w:color="auto" w:fill="auto"/>
                  <w:noWrap/>
                  <w:vAlign w:val="center"/>
                </w:tcPr>
                <w:p w14:paraId="498BF0DA">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37</w:t>
                  </w:r>
                </w:p>
              </w:tc>
              <w:tc>
                <w:tcPr>
                  <w:tcW w:w="833" w:type="dxa"/>
                  <w:tcBorders>
                    <w:top w:val="nil"/>
                    <w:left w:val="nil"/>
                    <w:bottom w:val="single" w:color="auto" w:sz="4" w:space="0"/>
                    <w:right w:val="single" w:color="auto" w:sz="4" w:space="0"/>
                  </w:tcBorders>
                  <w:shd w:val="clear" w:color="auto" w:fill="auto"/>
                  <w:vAlign w:val="center"/>
                </w:tcPr>
                <w:p w14:paraId="18A3A9F3">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张晓锋</w:t>
                  </w:r>
                </w:p>
              </w:tc>
              <w:tc>
                <w:tcPr>
                  <w:tcW w:w="2059" w:type="dxa"/>
                  <w:tcBorders>
                    <w:top w:val="nil"/>
                    <w:left w:val="nil"/>
                    <w:bottom w:val="single" w:color="auto" w:sz="4" w:space="0"/>
                    <w:right w:val="single" w:color="auto" w:sz="4" w:space="0"/>
                  </w:tcBorders>
                  <w:shd w:val="clear" w:color="auto" w:fill="auto"/>
                  <w:vAlign w:val="center"/>
                </w:tcPr>
                <w:p w14:paraId="59BB7F15">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开源证券</w:t>
                  </w:r>
                </w:p>
              </w:tc>
              <w:tc>
                <w:tcPr>
                  <w:tcW w:w="624" w:type="dxa"/>
                  <w:tcBorders>
                    <w:top w:val="nil"/>
                    <w:left w:val="nil"/>
                    <w:bottom w:val="single" w:color="auto" w:sz="4" w:space="0"/>
                    <w:right w:val="single" w:color="auto" w:sz="4" w:space="0"/>
                  </w:tcBorders>
                  <w:shd w:val="clear" w:color="auto" w:fill="auto"/>
                  <w:vAlign w:val="center"/>
                </w:tcPr>
                <w:p w14:paraId="09071E20">
                  <w:pPr>
                    <w:widowControl/>
                    <w:autoSpaceDE/>
                    <w:autoSpaceDN/>
                    <w:jc w:val="center"/>
                    <w:rPr>
                      <w:rFonts w:ascii="Times New Roman" w:hAnsi="Times New Roman" w:eastAsia="等线" w:cs="Times New Roman"/>
                      <w:color w:val="000000"/>
                      <w:sz w:val="20"/>
                      <w:szCs w:val="20"/>
                      <w:lang w:val="en-US" w:bidi="ar-SA"/>
                    </w:rPr>
                  </w:pPr>
                  <w:r>
                    <w:rPr>
                      <w:rFonts w:ascii="Times New Roman" w:hAnsi="Times New Roman" w:eastAsia="等线" w:cs="Times New Roman"/>
                      <w:color w:val="000000"/>
                      <w:sz w:val="20"/>
                      <w:szCs w:val="20"/>
                      <w:lang w:val="en-US" w:bidi="ar-SA"/>
                    </w:rPr>
                    <w:t>74</w:t>
                  </w:r>
                </w:p>
              </w:tc>
              <w:tc>
                <w:tcPr>
                  <w:tcW w:w="833" w:type="dxa"/>
                  <w:tcBorders>
                    <w:top w:val="nil"/>
                    <w:left w:val="nil"/>
                    <w:bottom w:val="single" w:color="auto" w:sz="4" w:space="0"/>
                    <w:right w:val="single" w:color="auto" w:sz="4" w:space="0"/>
                  </w:tcBorders>
                  <w:shd w:val="clear" w:color="auto" w:fill="auto"/>
                  <w:vAlign w:val="center"/>
                </w:tcPr>
                <w:p w14:paraId="711B6EC4">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徐中良</w:t>
                  </w:r>
                </w:p>
              </w:tc>
              <w:tc>
                <w:tcPr>
                  <w:tcW w:w="1573" w:type="dxa"/>
                  <w:tcBorders>
                    <w:top w:val="nil"/>
                    <w:left w:val="nil"/>
                    <w:bottom w:val="single" w:color="auto" w:sz="4" w:space="0"/>
                    <w:right w:val="single" w:color="auto" w:sz="4" w:space="0"/>
                  </w:tcBorders>
                  <w:shd w:val="clear" w:color="auto" w:fill="auto"/>
                  <w:vAlign w:val="center"/>
                </w:tcPr>
                <w:p w14:paraId="4475376F">
                  <w:pPr>
                    <w:widowControl/>
                    <w:autoSpaceDE/>
                    <w:autoSpaceDN/>
                    <w:jc w:val="center"/>
                    <w:rPr>
                      <w:rFonts w:ascii="Times New Roman" w:hAnsi="Times New Roman" w:eastAsia="等线" w:cs="Times New Roman"/>
                      <w:color w:val="000000"/>
                      <w:sz w:val="20"/>
                      <w:szCs w:val="20"/>
                      <w:lang w:val="en-US" w:bidi="ar-SA"/>
                    </w:rPr>
                  </w:pPr>
                  <w:r>
                    <w:rPr>
                      <w:rFonts w:hint="eastAsia" w:ascii="宋体" w:hAnsi="宋体" w:eastAsia="宋体" w:cs="Times New Roman"/>
                      <w:color w:val="000000"/>
                      <w:sz w:val="20"/>
                      <w:szCs w:val="20"/>
                      <w:lang w:val="en-US" w:bidi="ar-SA"/>
                    </w:rPr>
                    <w:t>中银国际证券</w:t>
                  </w:r>
                </w:p>
              </w:tc>
            </w:tr>
          </w:tbl>
          <w:p w14:paraId="2C689F5D">
            <w:pPr>
              <w:pStyle w:val="13"/>
              <w:spacing w:line="240" w:lineRule="auto"/>
              <w:ind w:firstLine="0" w:firstLineChars="0"/>
              <w:rPr>
                <w:rFonts w:ascii="Times New Roman" w:hAnsi="Times New Roman" w:cs="Times New Roman"/>
                <w:b w:val="0"/>
                <w:sz w:val="24"/>
                <w:szCs w:val="24"/>
              </w:rPr>
            </w:pPr>
          </w:p>
        </w:tc>
      </w:tr>
    </w:tbl>
    <w:p w14:paraId="4B284451">
      <w:pPr>
        <w:spacing w:before="120" w:beforeLines="50" w:line="360" w:lineRule="auto"/>
        <w:rPr>
          <w:rFonts w:ascii="Times New Roman" w:hAnsi="Times New Roman" w:eastAsia="宋体" w:cs="Times New Roman"/>
          <w:color w:val="000000" w:themeColor="text1"/>
          <w:sz w:val="20"/>
          <w14:textFill>
            <w14:solidFill>
              <w14:schemeClr w14:val="tx1"/>
            </w14:solidFill>
          </w14:textFill>
        </w:rPr>
      </w:pPr>
    </w:p>
    <w:sectPr>
      <w:footerReference r:id="rId3" w:type="default"/>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7688960"/>
    </w:sdtPr>
    <w:sdtContent>
      <w:sdt>
        <w:sdtPr>
          <w:id w:val="1728636285"/>
        </w:sdtPr>
        <w:sdtContent>
          <w:p w14:paraId="1AE690BD">
            <w:pPr>
              <w:pStyle w:val="6"/>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14:paraId="6169CAD0">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1YTZjNTZkZWVlYjQyNDg3MTIxZmE5N2ViNGM5ZmQifQ=="/>
  </w:docVars>
  <w:rsids>
    <w:rsidRoot w:val="00301D32"/>
    <w:rsid w:val="00001C36"/>
    <w:rsid w:val="000031FF"/>
    <w:rsid w:val="00005FDF"/>
    <w:rsid w:val="000110A5"/>
    <w:rsid w:val="00015683"/>
    <w:rsid w:val="00016EFA"/>
    <w:rsid w:val="0002579A"/>
    <w:rsid w:val="00026B4A"/>
    <w:rsid w:val="00026CC3"/>
    <w:rsid w:val="00030733"/>
    <w:rsid w:val="00033BA4"/>
    <w:rsid w:val="00034192"/>
    <w:rsid w:val="00036089"/>
    <w:rsid w:val="00046891"/>
    <w:rsid w:val="00046DBD"/>
    <w:rsid w:val="000473E5"/>
    <w:rsid w:val="00050D42"/>
    <w:rsid w:val="00050E81"/>
    <w:rsid w:val="00051504"/>
    <w:rsid w:val="00051995"/>
    <w:rsid w:val="00053129"/>
    <w:rsid w:val="00053CFA"/>
    <w:rsid w:val="000548CE"/>
    <w:rsid w:val="00057003"/>
    <w:rsid w:val="000629F1"/>
    <w:rsid w:val="000633EC"/>
    <w:rsid w:val="00063804"/>
    <w:rsid w:val="00065536"/>
    <w:rsid w:val="000665A2"/>
    <w:rsid w:val="00067204"/>
    <w:rsid w:val="0006761B"/>
    <w:rsid w:val="00070037"/>
    <w:rsid w:val="00070A21"/>
    <w:rsid w:val="000724CE"/>
    <w:rsid w:val="00077C57"/>
    <w:rsid w:val="000809FC"/>
    <w:rsid w:val="00081187"/>
    <w:rsid w:val="00081511"/>
    <w:rsid w:val="00084F59"/>
    <w:rsid w:val="00085EEB"/>
    <w:rsid w:val="000861AC"/>
    <w:rsid w:val="000877AB"/>
    <w:rsid w:val="00092ED6"/>
    <w:rsid w:val="00093D17"/>
    <w:rsid w:val="000A049A"/>
    <w:rsid w:val="000A4B85"/>
    <w:rsid w:val="000A5464"/>
    <w:rsid w:val="000A5F76"/>
    <w:rsid w:val="000B0BE7"/>
    <w:rsid w:val="000B4C21"/>
    <w:rsid w:val="000B6628"/>
    <w:rsid w:val="000B7C08"/>
    <w:rsid w:val="000C0EB6"/>
    <w:rsid w:val="000C0F33"/>
    <w:rsid w:val="000C1DC4"/>
    <w:rsid w:val="000C4B12"/>
    <w:rsid w:val="000C564C"/>
    <w:rsid w:val="000C6A45"/>
    <w:rsid w:val="000D12CF"/>
    <w:rsid w:val="000D2C64"/>
    <w:rsid w:val="000D2D88"/>
    <w:rsid w:val="000D4BCA"/>
    <w:rsid w:val="000D4E20"/>
    <w:rsid w:val="000D704A"/>
    <w:rsid w:val="000D7617"/>
    <w:rsid w:val="000E0774"/>
    <w:rsid w:val="000E117A"/>
    <w:rsid w:val="000E3437"/>
    <w:rsid w:val="000E448A"/>
    <w:rsid w:val="000E4B20"/>
    <w:rsid w:val="000E6DCF"/>
    <w:rsid w:val="000E7871"/>
    <w:rsid w:val="000F047C"/>
    <w:rsid w:val="000F30FD"/>
    <w:rsid w:val="001025FF"/>
    <w:rsid w:val="001057BB"/>
    <w:rsid w:val="0010640F"/>
    <w:rsid w:val="0010711D"/>
    <w:rsid w:val="00111026"/>
    <w:rsid w:val="00111248"/>
    <w:rsid w:val="0011178B"/>
    <w:rsid w:val="00111BDB"/>
    <w:rsid w:val="00111EE9"/>
    <w:rsid w:val="00113A52"/>
    <w:rsid w:val="0011418F"/>
    <w:rsid w:val="001152C0"/>
    <w:rsid w:val="00115A83"/>
    <w:rsid w:val="00116C15"/>
    <w:rsid w:val="00117F56"/>
    <w:rsid w:val="00121418"/>
    <w:rsid w:val="001226A8"/>
    <w:rsid w:val="00124A42"/>
    <w:rsid w:val="00124F99"/>
    <w:rsid w:val="00125132"/>
    <w:rsid w:val="001312CC"/>
    <w:rsid w:val="00131ECB"/>
    <w:rsid w:val="00132E99"/>
    <w:rsid w:val="001347F8"/>
    <w:rsid w:val="001409A7"/>
    <w:rsid w:val="001413BA"/>
    <w:rsid w:val="00144AE8"/>
    <w:rsid w:val="001477B8"/>
    <w:rsid w:val="00147CDA"/>
    <w:rsid w:val="001530C0"/>
    <w:rsid w:val="00153CCD"/>
    <w:rsid w:val="001542AC"/>
    <w:rsid w:val="00155820"/>
    <w:rsid w:val="001602DA"/>
    <w:rsid w:val="00161468"/>
    <w:rsid w:val="0016200F"/>
    <w:rsid w:val="0016380B"/>
    <w:rsid w:val="0016438A"/>
    <w:rsid w:val="001649B0"/>
    <w:rsid w:val="001652A2"/>
    <w:rsid w:val="00165EBC"/>
    <w:rsid w:val="00171EEB"/>
    <w:rsid w:val="00172270"/>
    <w:rsid w:val="001723B7"/>
    <w:rsid w:val="00172C24"/>
    <w:rsid w:val="001772AC"/>
    <w:rsid w:val="00177B05"/>
    <w:rsid w:val="001840D2"/>
    <w:rsid w:val="00186D98"/>
    <w:rsid w:val="00190C40"/>
    <w:rsid w:val="001933EC"/>
    <w:rsid w:val="00196BE8"/>
    <w:rsid w:val="00197867"/>
    <w:rsid w:val="001A0FDA"/>
    <w:rsid w:val="001A5C17"/>
    <w:rsid w:val="001A6688"/>
    <w:rsid w:val="001A6C6A"/>
    <w:rsid w:val="001B01D8"/>
    <w:rsid w:val="001B0277"/>
    <w:rsid w:val="001B0D11"/>
    <w:rsid w:val="001B0ED7"/>
    <w:rsid w:val="001B2E4B"/>
    <w:rsid w:val="001B3867"/>
    <w:rsid w:val="001B66E1"/>
    <w:rsid w:val="001B6C89"/>
    <w:rsid w:val="001B726D"/>
    <w:rsid w:val="001B7978"/>
    <w:rsid w:val="001C10B2"/>
    <w:rsid w:val="001C12A7"/>
    <w:rsid w:val="001C247C"/>
    <w:rsid w:val="001C5A3B"/>
    <w:rsid w:val="001C5C98"/>
    <w:rsid w:val="001C619A"/>
    <w:rsid w:val="001D34C2"/>
    <w:rsid w:val="001D34F5"/>
    <w:rsid w:val="001D62EB"/>
    <w:rsid w:val="001D7162"/>
    <w:rsid w:val="001D7196"/>
    <w:rsid w:val="001E3182"/>
    <w:rsid w:val="001E42C3"/>
    <w:rsid w:val="001E4707"/>
    <w:rsid w:val="001E59D1"/>
    <w:rsid w:val="001E5EA4"/>
    <w:rsid w:val="0020215B"/>
    <w:rsid w:val="002042A7"/>
    <w:rsid w:val="00204AEB"/>
    <w:rsid w:val="00204E41"/>
    <w:rsid w:val="00205911"/>
    <w:rsid w:val="002063CA"/>
    <w:rsid w:val="00206AE1"/>
    <w:rsid w:val="002070EF"/>
    <w:rsid w:val="00211637"/>
    <w:rsid w:val="0021206E"/>
    <w:rsid w:val="00212127"/>
    <w:rsid w:val="00212A0E"/>
    <w:rsid w:val="002146AD"/>
    <w:rsid w:val="00215AC9"/>
    <w:rsid w:val="00217246"/>
    <w:rsid w:val="002201A5"/>
    <w:rsid w:val="00220BBC"/>
    <w:rsid w:val="00221D76"/>
    <w:rsid w:val="00222E61"/>
    <w:rsid w:val="00224202"/>
    <w:rsid w:val="00225813"/>
    <w:rsid w:val="00226BBC"/>
    <w:rsid w:val="0023082D"/>
    <w:rsid w:val="002354BE"/>
    <w:rsid w:val="00243F61"/>
    <w:rsid w:val="0024475B"/>
    <w:rsid w:val="00244BE6"/>
    <w:rsid w:val="00246D39"/>
    <w:rsid w:val="00247260"/>
    <w:rsid w:val="00247739"/>
    <w:rsid w:val="00247C15"/>
    <w:rsid w:val="00250556"/>
    <w:rsid w:val="002526EE"/>
    <w:rsid w:val="00252C6A"/>
    <w:rsid w:val="0025311B"/>
    <w:rsid w:val="00254300"/>
    <w:rsid w:val="0025486C"/>
    <w:rsid w:val="00257700"/>
    <w:rsid w:val="00257C67"/>
    <w:rsid w:val="0026167C"/>
    <w:rsid w:val="0026268B"/>
    <w:rsid w:val="00262E3F"/>
    <w:rsid w:val="00265067"/>
    <w:rsid w:val="002651D7"/>
    <w:rsid w:val="00265339"/>
    <w:rsid w:val="00266A2E"/>
    <w:rsid w:val="00270076"/>
    <w:rsid w:val="00271433"/>
    <w:rsid w:val="00271C21"/>
    <w:rsid w:val="00273841"/>
    <w:rsid w:val="00274EB5"/>
    <w:rsid w:val="00275CB6"/>
    <w:rsid w:val="002800B5"/>
    <w:rsid w:val="00282F34"/>
    <w:rsid w:val="002835BD"/>
    <w:rsid w:val="002878E3"/>
    <w:rsid w:val="00293370"/>
    <w:rsid w:val="002946C6"/>
    <w:rsid w:val="00294AF8"/>
    <w:rsid w:val="00295B29"/>
    <w:rsid w:val="0029766C"/>
    <w:rsid w:val="002A168F"/>
    <w:rsid w:val="002A1E57"/>
    <w:rsid w:val="002A3226"/>
    <w:rsid w:val="002B0E4C"/>
    <w:rsid w:val="002B17D6"/>
    <w:rsid w:val="002B227F"/>
    <w:rsid w:val="002B3833"/>
    <w:rsid w:val="002B3C29"/>
    <w:rsid w:val="002B4010"/>
    <w:rsid w:val="002B413D"/>
    <w:rsid w:val="002B548F"/>
    <w:rsid w:val="002B55D4"/>
    <w:rsid w:val="002C00C1"/>
    <w:rsid w:val="002C2E9E"/>
    <w:rsid w:val="002C6DC3"/>
    <w:rsid w:val="002C772C"/>
    <w:rsid w:val="002D1AE4"/>
    <w:rsid w:val="002D4073"/>
    <w:rsid w:val="002D4412"/>
    <w:rsid w:val="002D45E7"/>
    <w:rsid w:val="002D4DF5"/>
    <w:rsid w:val="002D4FBA"/>
    <w:rsid w:val="002D5D49"/>
    <w:rsid w:val="002E4CA6"/>
    <w:rsid w:val="002E566F"/>
    <w:rsid w:val="002E7098"/>
    <w:rsid w:val="002E7863"/>
    <w:rsid w:val="002F0FCE"/>
    <w:rsid w:val="002F194F"/>
    <w:rsid w:val="002F2889"/>
    <w:rsid w:val="002F2998"/>
    <w:rsid w:val="002F4A02"/>
    <w:rsid w:val="002F581C"/>
    <w:rsid w:val="002F650A"/>
    <w:rsid w:val="002F71F9"/>
    <w:rsid w:val="00301859"/>
    <w:rsid w:val="00301D24"/>
    <w:rsid w:val="00301D32"/>
    <w:rsid w:val="00301E47"/>
    <w:rsid w:val="00302C6C"/>
    <w:rsid w:val="003034BC"/>
    <w:rsid w:val="00306C04"/>
    <w:rsid w:val="0031119C"/>
    <w:rsid w:val="00312BF0"/>
    <w:rsid w:val="003144A6"/>
    <w:rsid w:val="003156EB"/>
    <w:rsid w:val="0031606E"/>
    <w:rsid w:val="00322245"/>
    <w:rsid w:val="00322ACF"/>
    <w:rsid w:val="00323DEA"/>
    <w:rsid w:val="0032431E"/>
    <w:rsid w:val="003243B1"/>
    <w:rsid w:val="00326014"/>
    <w:rsid w:val="00326C23"/>
    <w:rsid w:val="003274A0"/>
    <w:rsid w:val="00331C8C"/>
    <w:rsid w:val="003327AE"/>
    <w:rsid w:val="003327F2"/>
    <w:rsid w:val="003345D4"/>
    <w:rsid w:val="00334C67"/>
    <w:rsid w:val="0033767C"/>
    <w:rsid w:val="00340F0E"/>
    <w:rsid w:val="00341F7A"/>
    <w:rsid w:val="0034220A"/>
    <w:rsid w:val="00347147"/>
    <w:rsid w:val="00351387"/>
    <w:rsid w:val="0035166A"/>
    <w:rsid w:val="003517E2"/>
    <w:rsid w:val="00351A71"/>
    <w:rsid w:val="00353A02"/>
    <w:rsid w:val="00353DD9"/>
    <w:rsid w:val="00354A7C"/>
    <w:rsid w:val="00354C87"/>
    <w:rsid w:val="00354CDA"/>
    <w:rsid w:val="00356A77"/>
    <w:rsid w:val="00357965"/>
    <w:rsid w:val="00362905"/>
    <w:rsid w:val="0036352C"/>
    <w:rsid w:val="00366FAD"/>
    <w:rsid w:val="00367895"/>
    <w:rsid w:val="00370A5D"/>
    <w:rsid w:val="0037105B"/>
    <w:rsid w:val="0037338D"/>
    <w:rsid w:val="0037372E"/>
    <w:rsid w:val="00374AE2"/>
    <w:rsid w:val="00380C94"/>
    <w:rsid w:val="00381D5A"/>
    <w:rsid w:val="003823B4"/>
    <w:rsid w:val="00391F1E"/>
    <w:rsid w:val="0039722E"/>
    <w:rsid w:val="003975BA"/>
    <w:rsid w:val="003A6785"/>
    <w:rsid w:val="003A74E6"/>
    <w:rsid w:val="003B1587"/>
    <w:rsid w:val="003B33F9"/>
    <w:rsid w:val="003B3E2E"/>
    <w:rsid w:val="003B49E3"/>
    <w:rsid w:val="003B5312"/>
    <w:rsid w:val="003B5FC2"/>
    <w:rsid w:val="003B6B40"/>
    <w:rsid w:val="003B6EA8"/>
    <w:rsid w:val="003B73DD"/>
    <w:rsid w:val="003C04DB"/>
    <w:rsid w:val="003C2682"/>
    <w:rsid w:val="003C5505"/>
    <w:rsid w:val="003C7764"/>
    <w:rsid w:val="003D011C"/>
    <w:rsid w:val="003D07D2"/>
    <w:rsid w:val="003D09EB"/>
    <w:rsid w:val="003D2B89"/>
    <w:rsid w:val="003D3BB6"/>
    <w:rsid w:val="003D4878"/>
    <w:rsid w:val="003D62EF"/>
    <w:rsid w:val="003E3C61"/>
    <w:rsid w:val="003E65A6"/>
    <w:rsid w:val="003E7F7F"/>
    <w:rsid w:val="003F06C9"/>
    <w:rsid w:val="003F40A3"/>
    <w:rsid w:val="003F5173"/>
    <w:rsid w:val="003F5580"/>
    <w:rsid w:val="003F5641"/>
    <w:rsid w:val="004053B5"/>
    <w:rsid w:val="004108C7"/>
    <w:rsid w:val="00410C56"/>
    <w:rsid w:val="004128BA"/>
    <w:rsid w:val="00412DC2"/>
    <w:rsid w:val="0041321B"/>
    <w:rsid w:val="0041331A"/>
    <w:rsid w:val="00413A01"/>
    <w:rsid w:val="00415378"/>
    <w:rsid w:val="00417BD7"/>
    <w:rsid w:val="004237C2"/>
    <w:rsid w:val="0042566C"/>
    <w:rsid w:val="004259E2"/>
    <w:rsid w:val="0042644B"/>
    <w:rsid w:val="004274E7"/>
    <w:rsid w:val="00431CBF"/>
    <w:rsid w:val="00432791"/>
    <w:rsid w:val="004328E0"/>
    <w:rsid w:val="00435057"/>
    <w:rsid w:val="004351A5"/>
    <w:rsid w:val="00435481"/>
    <w:rsid w:val="00436411"/>
    <w:rsid w:val="004370EB"/>
    <w:rsid w:val="00437B17"/>
    <w:rsid w:val="00440041"/>
    <w:rsid w:val="00445A60"/>
    <w:rsid w:val="00445DED"/>
    <w:rsid w:val="004462A8"/>
    <w:rsid w:val="00451268"/>
    <w:rsid w:val="004512D5"/>
    <w:rsid w:val="004515AD"/>
    <w:rsid w:val="00451857"/>
    <w:rsid w:val="00451CB9"/>
    <w:rsid w:val="004522D5"/>
    <w:rsid w:val="0045300A"/>
    <w:rsid w:val="00453516"/>
    <w:rsid w:val="0045385F"/>
    <w:rsid w:val="00456E88"/>
    <w:rsid w:val="00457548"/>
    <w:rsid w:val="0046136E"/>
    <w:rsid w:val="00462E7F"/>
    <w:rsid w:val="0046353B"/>
    <w:rsid w:val="00464489"/>
    <w:rsid w:val="00467A0B"/>
    <w:rsid w:val="00470DB2"/>
    <w:rsid w:val="00471E3D"/>
    <w:rsid w:val="004731A4"/>
    <w:rsid w:val="00474237"/>
    <w:rsid w:val="00474E22"/>
    <w:rsid w:val="00477FD7"/>
    <w:rsid w:val="004803E1"/>
    <w:rsid w:val="00481661"/>
    <w:rsid w:val="004837A5"/>
    <w:rsid w:val="00484692"/>
    <w:rsid w:val="00484740"/>
    <w:rsid w:val="00490C82"/>
    <w:rsid w:val="004911DF"/>
    <w:rsid w:val="004911EB"/>
    <w:rsid w:val="00491677"/>
    <w:rsid w:val="004925E7"/>
    <w:rsid w:val="00495355"/>
    <w:rsid w:val="00495B11"/>
    <w:rsid w:val="00496CB5"/>
    <w:rsid w:val="00497750"/>
    <w:rsid w:val="004A0BF9"/>
    <w:rsid w:val="004A1918"/>
    <w:rsid w:val="004A223B"/>
    <w:rsid w:val="004A3471"/>
    <w:rsid w:val="004B17FC"/>
    <w:rsid w:val="004B216A"/>
    <w:rsid w:val="004B4C91"/>
    <w:rsid w:val="004B7F24"/>
    <w:rsid w:val="004C0006"/>
    <w:rsid w:val="004C027A"/>
    <w:rsid w:val="004C027E"/>
    <w:rsid w:val="004C03E7"/>
    <w:rsid w:val="004D0E59"/>
    <w:rsid w:val="004D2E5D"/>
    <w:rsid w:val="004D6FB1"/>
    <w:rsid w:val="004D7235"/>
    <w:rsid w:val="004E59EA"/>
    <w:rsid w:val="004F0190"/>
    <w:rsid w:val="004F115C"/>
    <w:rsid w:val="004F4F31"/>
    <w:rsid w:val="004F6198"/>
    <w:rsid w:val="004F6318"/>
    <w:rsid w:val="004F6785"/>
    <w:rsid w:val="004F6FF3"/>
    <w:rsid w:val="004F711F"/>
    <w:rsid w:val="004F7EE5"/>
    <w:rsid w:val="00500F23"/>
    <w:rsid w:val="0050220F"/>
    <w:rsid w:val="00510458"/>
    <w:rsid w:val="005116C1"/>
    <w:rsid w:val="00513366"/>
    <w:rsid w:val="00515AC2"/>
    <w:rsid w:val="0052064F"/>
    <w:rsid w:val="005214A7"/>
    <w:rsid w:val="0052381D"/>
    <w:rsid w:val="005254EB"/>
    <w:rsid w:val="00530FCE"/>
    <w:rsid w:val="00531F09"/>
    <w:rsid w:val="0053559B"/>
    <w:rsid w:val="00542FCB"/>
    <w:rsid w:val="0054339B"/>
    <w:rsid w:val="00544C54"/>
    <w:rsid w:val="00545231"/>
    <w:rsid w:val="00546BFC"/>
    <w:rsid w:val="00547167"/>
    <w:rsid w:val="005500F2"/>
    <w:rsid w:val="00551704"/>
    <w:rsid w:val="0055404F"/>
    <w:rsid w:val="005557BC"/>
    <w:rsid w:val="00561A27"/>
    <w:rsid w:val="00561A55"/>
    <w:rsid w:val="005627C5"/>
    <w:rsid w:val="00563B42"/>
    <w:rsid w:val="00564743"/>
    <w:rsid w:val="00564F96"/>
    <w:rsid w:val="005654CD"/>
    <w:rsid w:val="005661B0"/>
    <w:rsid w:val="005707ED"/>
    <w:rsid w:val="00570E7B"/>
    <w:rsid w:val="00571B49"/>
    <w:rsid w:val="005726EB"/>
    <w:rsid w:val="00573CDD"/>
    <w:rsid w:val="005743AE"/>
    <w:rsid w:val="00574649"/>
    <w:rsid w:val="00576B86"/>
    <w:rsid w:val="005818E3"/>
    <w:rsid w:val="00587659"/>
    <w:rsid w:val="005877C3"/>
    <w:rsid w:val="00587FB6"/>
    <w:rsid w:val="005902BC"/>
    <w:rsid w:val="00594182"/>
    <w:rsid w:val="0059434A"/>
    <w:rsid w:val="00594648"/>
    <w:rsid w:val="005966E6"/>
    <w:rsid w:val="005A02F5"/>
    <w:rsid w:val="005A1A5E"/>
    <w:rsid w:val="005A69F3"/>
    <w:rsid w:val="005A7046"/>
    <w:rsid w:val="005B0185"/>
    <w:rsid w:val="005B06D5"/>
    <w:rsid w:val="005B1A12"/>
    <w:rsid w:val="005B3831"/>
    <w:rsid w:val="005B4362"/>
    <w:rsid w:val="005B4E32"/>
    <w:rsid w:val="005B50E0"/>
    <w:rsid w:val="005B5111"/>
    <w:rsid w:val="005B6F77"/>
    <w:rsid w:val="005B7030"/>
    <w:rsid w:val="005B7348"/>
    <w:rsid w:val="005B7EBD"/>
    <w:rsid w:val="005C2254"/>
    <w:rsid w:val="005C304B"/>
    <w:rsid w:val="005C3729"/>
    <w:rsid w:val="005C4B4A"/>
    <w:rsid w:val="005C6C13"/>
    <w:rsid w:val="005C7F55"/>
    <w:rsid w:val="005D0137"/>
    <w:rsid w:val="005D20C0"/>
    <w:rsid w:val="005D3A92"/>
    <w:rsid w:val="005D64CA"/>
    <w:rsid w:val="005E1CE0"/>
    <w:rsid w:val="005E30BE"/>
    <w:rsid w:val="005E5717"/>
    <w:rsid w:val="005E6DB2"/>
    <w:rsid w:val="005E7652"/>
    <w:rsid w:val="005F2FC8"/>
    <w:rsid w:val="005F3508"/>
    <w:rsid w:val="005F47B5"/>
    <w:rsid w:val="005F6044"/>
    <w:rsid w:val="005F6961"/>
    <w:rsid w:val="0060003C"/>
    <w:rsid w:val="00601F24"/>
    <w:rsid w:val="00602F38"/>
    <w:rsid w:val="00603B29"/>
    <w:rsid w:val="006047FF"/>
    <w:rsid w:val="00604F96"/>
    <w:rsid w:val="00611E28"/>
    <w:rsid w:val="00612110"/>
    <w:rsid w:val="006121A4"/>
    <w:rsid w:val="0061433E"/>
    <w:rsid w:val="00614AFD"/>
    <w:rsid w:val="00617B46"/>
    <w:rsid w:val="00623386"/>
    <w:rsid w:val="0062457B"/>
    <w:rsid w:val="0062751D"/>
    <w:rsid w:val="00627E59"/>
    <w:rsid w:val="00632E09"/>
    <w:rsid w:val="00634CD0"/>
    <w:rsid w:val="006354AA"/>
    <w:rsid w:val="00635CDA"/>
    <w:rsid w:val="00637FE8"/>
    <w:rsid w:val="00640ED2"/>
    <w:rsid w:val="00643E98"/>
    <w:rsid w:val="0064495B"/>
    <w:rsid w:val="00644D9D"/>
    <w:rsid w:val="00645F3C"/>
    <w:rsid w:val="0064626D"/>
    <w:rsid w:val="00646932"/>
    <w:rsid w:val="00650499"/>
    <w:rsid w:val="00650F56"/>
    <w:rsid w:val="006518E2"/>
    <w:rsid w:val="0065266E"/>
    <w:rsid w:val="006610BE"/>
    <w:rsid w:val="00661AFA"/>
    <w:rsid w:val="006623E2"/>
    <w:rsid w:val="00666199"/>
    <w:rsid w:val="0067235A"/>
    <w:rsid w:val="006726BF"/>
    <w:rsid w:val="00672FA1"/>
    <w:rsid w:val="00677B77"/>
    <w:rsid w:val="00682589"/>
    <w:rsid w:val="00683FC3"/>
    <w:rsid w:val="00685125"/>
    <w:rsid w:val="0068557D"/>
    <w:rsid w:val="0068718A"/>
    <w:rsid w:val="00687B17"/>
    <w:rsid w:val="00687CBC"/>
    <w:rsid w:val="00690D9F"/>
    <w:rsid w:val="00692FDF"/>
    <w:rsid w:val="00695BF4"/>
    <w:rsid w:val="006A2739"/>
    <w:rsid w:val="006A36E8"/>
    <w:rsid w:val="006A3EBE"/>
    <w:rsid w:val="006A44A1"/>
    <w:rsid w:val="006A6990"/>
    <w:rsid w:val="006A77DC"/>
    <w:rsid w:val="006A7A2A"/>
    <w:rsid w:val="006B0AFE"/>
    <w:rsid w:val="006B0D81"/>
    <w:rsid w:val="006B1B20"/>
    <w:rsid w:val="006B1DB5"/>
    <w:rsid w:val="006B3CF5"/>
    <w:rsid w:val="006B5C95"/>
    <w:rsid w:val="006B637E"/>
    <w:rsid w:val="006B71D5"/>
    <w:rsid w:val="006C0A63"/>
    <w:rsid w:val="006C1023"/>
    <w:rsid w:val="006C2D83"/>
    <w:rsid w:val="006C4BF6"/>
    <w:rsid w:val="006C5623"/>
    <w:rsid w:val="006C7113"/>
    <w:rsid w:val="006C73F6"/>
    <w:rsid w:val="006C79F0"/>
    <w:rsid w:val="006D0306"/>
    <w:rsid w:val="006D164B"/>
    <w:rsid w:val="006D1C34"/>
    <w:rsid w:val="006D2441"/>
    <w:rsid w:val="006D2A3A"/>
    <w:rsid w:val="006D2C1F"/>
    <w:rsid w:val="006D3316"/>
    <w:rsid w:val="006D6E67"/>
    <w:rsid w:val="006D731E"/>
    <w:rsid w:val="006E14B0"/>
    <w:rsid w:val="006E1CC5"/>
    <w:rsid w:val="006E5EE7"/>
    <w:rsid w:val="006F0108"/>
    <w:rsid w:val="006F3D84"/>
    <w:rsid w:val="006F68CA"/>
    <w:rsid w:val="006F71CE"/>
    <w:rsid w:val="007019A0"/>
    <w:rsid w:val="00704AE6"/>
    <w:rsid w:val="00707709"/>
    <w:rsid w:val="00707EAC"/>
    <w:rsid w:val="007108EB"/>
    <w:rsid w:val="00710A23"/>
    <w:rsid w:val="00713F24"/>
    <w:rsid w:val="007153A2"/>
    <w:rsid w:val="00715FAB"/>
    <w:rsid w:val="00716B29"/>
    <w:rsid w:val="00716CF7"/>
    <w:rsid w:val="00716D04"/>
    <w:rsid w:val="007172CE"/>
    <w:rsid w:val="00723CC4"/>
    <w:rsid w:val="00724A68"/>
    <w:rsid w:val="00724D51"/>
    <w:rsid w:val="0072696D"/>
    <w:rsid w:val="007271BF"/>
    <w:rsid w:val="0073022B"/>
    <w:rsid w:val="00730DD3"/>
    <w:rsid w:val="00733224"/>
    <w:rsid w:val="0073376F"/>
    <w:rsid w:val="007338E6"/>
    <w:rsid w:val="007348F8"/>
    <w:rsid w:val="00735656"/>
    <w:rsid w:val="00735CB6"/>
    <w:rsid w:val="00737DEC"/>
    <w:rsid w:val="00737F22"/>
    <w:rsid w:val="00740F49"/>
    <w:rsid w:val="007411DA"/>
    <w:rsid w:val="00741BD9"/>
    <w:rsid w:val="007424A3"/>
    <w:rsid w:val="007424F7"/>
    <w:rsid w:val="00743948"/>
    <w:rsid w:val="00744C26"/>
    <w:rsid w:val="007457F2"/>
    <w:rsid w:val="00745958"/>
    <w:rsid w:val="00750841"/>
    <w:rsid w:val="0075168F"/>
    <w:rsid w:val="00752419"/>
    <w:rsid w:val="0075265E"/>
    <w:rsid w:val="00753A8C"/>
    <w:rsid w:val="00755138"/>
    <w:rsid w:val="007556E1"/>
    <w:rsid w:val="00764128"/>
    <w:rsid w:val="00765363"/>
    <w:rsid w:val="007655C0"/>
    <w:rsid w:val="0077096D"/>
    <w:rsid w:val="00774FC1"/>
    <w:rsid w:val="007751AC"/>
    <w:rsid w:val="007753AF"/>
    <w:rsid w:val="00775B12"/>
    <w:rsid w:val="00780867"/>
    <w:rsid w:val="007824B8"/>
    <w:rsid w:val="00782FF9"/>
    <w:rsid w:val="00783E9A"/>
    <w:rsid w:val="0078430E"/>
    <w:rsid w:val="007910DD"/>
    <w:rsid w:val="00791D65"/>
    <w:rsid w:val="00793963"/>
    <w:rsid w:val="00794B94"/>
    <w:rsid w:val="00794D7E"/>
    <w:rsid w:val="00794DB1"/>
    <w:rsid w:val="0079524B"/>
    <w:rsid w:val="007A18B7"/>
    <w:rsid w:val="007A19D0"/>
    <w:rsid w:val="007A2560"/>
    <w:rsid w:val="007A3EC1"/>
    <w:rsid w:val="007A419B"/>
    <w:rsid w:val="007B3368"/>
    <w:rsid w:val="007B78D8"/>
    <w:rsid w:val="007B7F99"/>
    <w:rsid w:val="007C2C2F"/>
    <w:rsid w:val="007C3C1D"/>
    <w:rsid w:val="007C4E09"/>
    <w:rsid w:val="007C4EFF"/>
    <w:rsid w:val="007C62BD"/>
    <w:rsid w:val="007C6398"/>
    <w:rsid w:val="007C7E0A"/>
    <w:rsid w:val="007D0A69"/>
    <w:rsid w:val="007D1046"/>
    <w:rsid w:val="007D196E"/>
    <w:rsid w:val="007D1F15"/>
    <w:rsid w:val="007D3199"/>
    <w:rsid w:val="007D4A70"/>
    <w:rsid w:val="007D6607"/>
    <w:rsid w:val="007D6DC4"/>
    <w:rsid w:val="007E14F9"/>
    <w:rsid w:val="007E285E"/>
    <w:rsid w:val="007E428E"/>
    <w:rsid w:val="007E5C03"/>
    <w:rsid w:val="007F1C02"/>
    <w:rsid w:val="007F31B3"/>
    <w:rsid w:val="007F790E"/>
    <w:rsid w:val="007F7C67"/>
    <w:rsid w:val="0080031F"/>
    <w:rsid w:val="00803317"/>
    <w:rsid w:val="00803652"/>
    <w:rsid w:val="00804765"/>
    <w:rsid w:val="008047C3"/>
    <w:rsid w:val="00804D77"/>
    <w:rsid w:val="00805CA4"/>
    <w:rsid w:val="00816235"/>
    <w:rsid w:val="008162CE"/>
    <w:rsid w:val="008173EF"/>
    <w:rsid w:val="008207B4"/>
    <w:rsid w:val="008210BE"/>
    <w:rsid w:val="00821675"/>
    <w:rsid w:val="00821B2F"/>
    <w:rsid w:val="00823F1C"/>
    <w:rsid w:val="0082585C"/>
    <w:rsid w:val="00825F7F"/>
    <w:rsid w:val="008268D9"/>
    <w:rsid w:val="00830C89"/>
    <w:rsid w:val="0083155E"/>
    <w:rsid w:val="008321DE"/>
    <w:rsid w:val="008335C0"/>
    <w:rsid w:val="00833762"/>
    <w:rsid w:val="008347EB"/>
    <w:rsid w:val="008371F1"/>
    <w:rsid w:val="00840AAE"/>
    <w:rsid w:val="008410D7"/>
    <w:rsid w:val="008411B9"/>
    <w:rsid w:val="00843BE9"/>
    <w:rsid w:val="00843C29"/>
    <w:rsid w:val="00843C51"/>
    <w:rsid w:val="00844212"/>
    <w:rsid w:val="00845007"/>
    <w:rsid w:val="008451EC"/>
    <w:rsid w:val="00846164"/>
    <w:rsid w:val="00847ADB"/>
    <w:rsid w:val="008505B3"/>
    <w:rsid w:val="008522EE"/>
    <w:rsid w:val="00853463"/>
    <w:rsid w:val="00853914"/>
    <w:rsid w:val="00853EFB"/>
    <w:rsid w:val="00860ADF"/>
    <w:rsid w:val="008619E5"/>
    <w:rsid w:val="00861BF4"/>
    <w:rsid w:val="00863DE1"/>
    <w:rsid w:val="0086555A"/>
    <w:rsid w:val="00865E19"/>
    <w:rsid w:val="00866F9C"/>
    <w:rsid w:val="008721EC"/>
    <w:rsid w:val="0087226A"/>
    <w:rsid w:val="008726EF"/>
    <w:rsid w:val="00872CDB"/>
    <w:rsid w:val="00872F20"/>
    <w:rsid w:val="00874B17"/>
    <w:rsid w:val="00874C6B"/>
    <w:rsid w:val="008750CF"/>
    <w:rsid w:val="0087739B"/>
    <w:rsid w:val="00877A1F"/>
    <w:rsid w:val="00877B5B"/>
    <w:rsid w:val="00880100"/>
    <w:rsid w:val="00885494"/>
    <w:rsid w:val="0088608F"/>
    <w:rsid w:val="0088676B"/>
    <w:rsid w:val="00886AAC"/>
    <w:rsid w:val="00886BC6"/>
    <w:rsid w:val="00887D52"/>
    <w:rsid w:val="00887ECE"/>
    <w:rsid w:val="0089091E"/>
    <w:rsid w:val="0089368E"/>
    <w:rsid w:val="00893F25"/>
    <w:rsid w:val="00894A10"/>
    <w:rsid w:val="00895035"/>
    <w:rsid w:val="008950D6"/>
    <w:rsid w:val="008A3800"/>
    <w:rsid w:val="008A381F"/>
    <w:rsid w:val="008A39BF"/>
    <w:rsid w:val="008A5E3B"/>
    <w:rsid w:val="008A78F1"/>
    <w:rsid w:val="008B1646"/>
    <w:rsid w:val="008B2B14"/>
    <w:rsid w:val="008B40BE"/>
    <w:rsid w:val="008B43FF"/>
    <w:rsid w:val="008B5D04"/>
    <w:rsid w:val="008B5FD0"/>
    <w:rsid w:val="008B7799"/>
    <w:rsid w:val="008C09CD"/>
    <w:rsid w:val="008C1E5A"/>
    <w:rsid w:val="008C39DD"/>
    <w:rsid w:val="008C4B99"/>
    <w:rsid w:val="008C6AED"/>
    <w:rsid w:val="008C7604"/>
    <w:rsid w:val="008C7C40"/>
    <w:rsid w:val="008C7EBB"/>
    <w:rsid w:val="008D21E7"/>
    <w:rsid w:val="008D3175"/>
    <w:rsid w:val="008D389A"/>
    <w:rsid w:val="008D75E3"/>
    <w:rsid w:val="008D7A2E"/>
    <w:rsid w:val="008E0008"/>
    <w:rsid w:val="008E10C0"/>
    <w:rsid w:val="008E1B27"/>
    <w:rsid w:val="008E2F82"/>
    <w:rsid w:val="008E6941"/>
    <w:rsid w:val="008E6BA8"/>
    <w:rsid w:val="008F2033"/>
    <w:rsid w:val="0090301A"/>
    <w:rsid w:val="00903379"/>
    <w:rsid w:val="009060DE"/>
    <w:rsid w:val="00906975"/>
    <w:rsid w:val="00906FDD"/>
    <w:rsid w:val="00917F0B"/>
    <w:rsid w:val="00917F8B"/>
    <w:rsid w:val="0092087B"/>
    <w:rsid w:val="00920B6D"/>
    <w:rsid w:val="009252DB"/>
    <w:rsid w:val="009302B2"/>
    <w:rsid w:val="00934607"/>
    <w:rsid w:val="0093490B"/>
    <w:rsid w:val="00934FEF"/>
    <w:rsid w:val="00936ED2"/>
    <w:rsid w:val="009374C9"/>
    <w:rsid w:val="0094103C"/>
    <w:rsid w:val="00943ACB"/>
    <w:rsid w:val="009447FE"/>
    <w:rsid w:val="00944C5E"/>
    <w:rsid w:val="00952C31"/>
    <w:rsid w:val="00953EFE"/>
    <w:rsid w:val="00955D8E"/>
    <w:rsid w:val="00957C05"/>
    <w:rsid w:val="00960964"/>
    <w:rsid w:val="00961101"/>
    <w:rsid w:val="0096272E"/>
    <w:rsid w:val="009636EC"/>
    <w:rsid w:val="009646B4"/>
    <w:rsid w:val="00965E4D"/>
    <w:rsid w:val="00975B92"/>
    <w:rsid w:val="00980A29"/>
    <w:rsid w:val="00982EAC"/>
    <w:rsid w:val="009842F4"/>
    <w:rsid w:val="00985006"/>
    <w:rsid w:val="009949C8"/>
    <w:rsid w:val="009957B2"/>
    <w:rsid w:val="00997601"/>
    <w:rsid w:val="009A0972"/>
    <w:rsid w:val="009A09A4"/>
    <w:rsid w:val="009A0EA2"/>
    <w:rsid w:val="009A1511"/>
    <w:rsid w:val="009A23CB"/>
    <w:rsid w:val="009A23E9"/>
    <w:rsid w:val="009A4FAA"/>
    <w:rsid w:val="009A760D"/>
    <w:rsid w:val="009A7EE3"/>
    <w:rsid w:val="009B1D5C"/>
    <w:rsid w:val="009B4D9D"/>
    <w:rsid w:val="009B5415"/>
    <w:rsid w:val="009B7DAF"/>
    <w:rsid w:val="009C2E31"/>
    <w:rsid w:val="009C51FD"/>
    <w:rsid w:val="009C5C25"/>
    <w:rsid w:val="009C5FE5"/>
    <w:rsid w:val="009C7151"/>
    <w:rsid w:val="009C7545"/>
    <w:rsid w:val="009D1A76"/>
    <w:rsid w:val="009D3024"/>
    <w:rsid w:val="009D4EE7"/>
    <w:rsid w:val="009D743F"/>
    <w:rsid w:val="009E006E"/>
    <w:rsid w:val="009E1674"/>
    <w:rsid w:val="009E1955"/>
    <w:rsid w:val="009E5423"/>
    <w:rsid w:val="009E5B4D"/>
    <w:rsid w:val="009E6DA3"/>
    <w:rsid w:val="009F27DF"/>
    <w:rsid w:val="009F320D"/>
    <w:rsid w:val="009F343D"/>
    <w:rsid w:val="009F367C"/>
    <w:rsid w:val="009F4CF4"/>
    <w:rsid w:val="009F78CD"/>
    <w:rsid w:val="009F79E5"/>
    <w:rsid w:val="00A01F55"/>
    <w:rsid w:val="00A03CFB"/>
    <w:rsid w:val="00A04642"/>
    <w:rsid w:val="00A04CB6"/>
    <w:rsid w:val="00A04F0D"/>
    <w:rsid w:val="00A05335"/>
    <w:rsid w:val="00A05768"/>
    <w:rsid w:val="00A07A7B"/>
    <w:rsid w:val="00A12180"/>
    <w:rsid w:val="00A131B6"/>
    <w:rsid w:val="00A13F4C"/>
    <w:rsid w:val="00A14CAA"/>
    <w:rsid w:val="00A1628C"/>
    <w:rsid w:val="00A1719A"/>
    <w:rsid w:val="00A17999"/>
    <w:rsid w:val="00A20E53"/>
    <w:rsid w:val="00A241A6"/>
    <w:rsid w:val="00A27233"/>
    <w:rsid w:val="00A2786F"/>
    <w:rsid w:val="00A27B52"/>
    <w:rsid w:val="00A30AAD"/>
    <w:rsid w:val="00A32A52"/>
    <w:rsid w:val="00A340A2"/>
    <w:rsid w:val="00A365AF"/>
    <w:rsid w:val="00A369C2"/>
    <w:rsid w:val="00A37049"/>
    <w:rsid w:val="00A37FE6"/>
    <w:rsid w:val="00A40025"/>
    <w:rsid w:val="00A421CE"/>
    <w:rsid w:val="00A42B2F"/>
    <w:rsid w:val="00A4517F"/>
    <w:rsid w:val="00A45DCC"/>
    <w:rsid w:val="00A462AA"/>
    <w:rsid w:val="00A46C64"/>
    <w:rsid w:val="00A47CBD"/>
    <w:rsid w:val="00A51782"/>
    <w:rsid w:val="00A51808"/>
    <w:rsid w:val="00A527AA"/>
    <w:rsid w:val="00A52840"/>
    <w:rsid w:val="00A52EFE"/>
    <w:rsid w:val="00A53BFB"/>
    <w:rsid w:val="00A55F56"/>
    <w:rsid w:val="00A56013"/>
    <w:rsid w:val="00A5684D"/>
    <w:rsid w:val="00A6563B"/>
    <w:rsid w:val="00A66A07"/>
    <w:rsid w:val="00A66D21"/>
    <w:rsid w:val="00A72614"/>
    <w:rsid w:val="00A74BD3"/>
    <w:rsid w:val="00A75C61"/>
    <w:rsid w:val="00A83A47"/>
    <w:rsid w:val="00A85318"/>
    <w:rsid w:val="00A863AD"/>
    <w:rsid w:val="00A90267"/>
    <w:rsid w:val="00A904BD"/>
    <w:rsid w:val="00A916F9"/>
    <w:rsid w:val="00A93C3D"/>
    <w:rsid w:val="00A95E2D"/>
    <w:rsid w:val="00A9601B"/>
    <w:rsid w:val="00AA0FDC"/>
    <w:rsid w:val="00AA1CF3"/>
    <w:rsid w:val="00AA589B"/>
    <w:rsid w:val="00AA5C69"/>
    <w:rsid w:val="00AA6B43"/>
    <w:rsid w:val="00AB0320"/>
    <w:rsid w:val="00AB0EB3"/>
    <w:rsid w:val="00AB1DAA"/>
    <w:rsid w:val="00AB2D6F"/>
    <w:rsid w:val="00AB3262"/>
    <w:rsid w:val="00AB3E40"/>
    <w:rsid w:val="00AB6B6C"/>
    <w:rsid w:val="00AB7B11"/>
    <w:rsid w:val="00AC0AE2"/>
    <w:rsid w:val="00AC0DDF"/>
    <w:rsid w:val="00AC1163"/>
    <w:rsid w:val="00AC14DC"/>
    <w:rsid w:val="00AC4B94"/>
    <w:rsid w:val="00AC5FBF"/>
    <w:rsid w:val="00AD100E"/>
    <w:rsid w:val="00AD1634"/>
    <w:rsid w:val="00AD1A48"/>
    <w:rsid w:val="00AD2139"/>
    <w:rsid w:val="00AD5ADE"/>
    <w:rsid w:val="00AD60E8"/>
    <w:rsid w:val="00AE1D47"/>
    <w:rsid w:val="00AE1E36"/>
    <w:rsid w:val="00AE25EB"/>
    <w:rsid w:val="00AE37C2"/>
    <w:rsid w:val="00AE38E6"/>
    <w:rsid w:val="00AE7A84"/>
    <w:rsid w:val="00AF086E"/>
    <w:rsid w:val="00AF29C3"/>
    <w:rsid w:val="00AF34EC"/>
    <w:rsid w:val="00AF635C"/>
    <w:rsid w:val="00AF6A32"/>
    <w:rsid w:val="00AF7443"/>
    <w:rsid w:val="00AF74AA"/>
    <w:rsid w:val="00B00F99"/>
    <w:rsid w:val="00B03323"/>
    <w:rsid w:val="00B03C2F"/>
    <w:rsid w:val="00B1270E"/>
    <w:rsid w:val="00B12CA2"/>
    <w:rsid w:val="00B12F67"/>
    <w:rsid w:val="00B15064"/>
    <w:rsid w:val="00B15B87"/>
    <w:rsid w:val="00B17BE7"/>
    <w:rsid w:val="00B205B6"/>
    <w:rsid w:val="00B218BB"/>
    <w:rsid w:val="00B244FC"/>
    <w:rsid w:val="00B258B2"/>
    <w:rsid w:val="00B25B86"/>
    <w:rsid w:val="00B26326"/>
    <w:rsid w:val="00B31ECE"/>
    <w:rsid w:val="00B3218D"/>
    <w:rsid w:val="00B340A3"/>
    <w:rsid w:val="00B36F5E"/>
    <w:rsid w:val="00B37A08"/>
    <w:rsid w:val="00B410F5"/>
    <w:rsid w:val="00B418D2"/>
    <w:rsid w:val="00B422C2"/>
    <w:rsid w:val="00B4249A"/>
    <w:rsid w:val="00B438AC"/>
    <w:rsid w:val="00B43A22"/>
    <w:rsid w:val="00B444CC"/>
    <w:rsid w:val="00B4513F"/>
    <w:rsid w:val="00B4557D"/>
    <w:rsid w:val="00B45F66"/>
    <w:rsid w:val="00B460CB"/>
    <w:rsid w:val="00B46B23"/>
    <w:rsid w:val="00B51203"/>
    <w:rsid w:val="00B51A6E"/>
    <w:rsid w:val="00B5244D"/>
    <w:rsid w:val="00B54F55"/>
    <w:rsid w:val="00B6280C"/>
    <w:rsid w:val="00B63AF1"/>
    <w:rsid w:val="00B63BA3"/>
    <w:rsid w:val="00B63E23"/>
    <w:rsid w:val="00B647CB"/>
    <w:rsid w:val="00B6516E"/>
    <w:rsid w:val="00B6605E"/>
    <w:rsid w:val="00B66A3E"/>
    <w:rsid w:val="00B671A4"/>
    <w:rsid w:val="00B673A8"/>
    <w:rsid w:val="00B71DA3"/>
    <w:rsid w:val="00B72164"/>
    <w:rsid w:val="00B72CD4"/>
    <w:rsid w:val="00B739C1"/>
    <w:rsid w:val="00B73AB8"/>
    <w:rsid w:val="00B73CF1"/>
    <w:rsid w:val="00B73DD5"/>
    <w:rsid w:val="00B74494"/>
    <w:rsid w:val="00B76038"/>
    <w:rsid w:val="00B82F2A"/>
    <w:rsid w:val="00B84ECE"/>
    <w:rsid w:val="00B84F04"/>
    <w:rsid w:val="00B85B00"/>
    <w:rsid w:val="00B86533"/>
    <w:rsid w:val="00B87CD7"/>
    <w:rsid w:val="00B90CF3"/>
    <w:rsid w:val="00B92BAD"/>
    <w:rsid w:val="00B94388"/>
    <w:rsid w:val="00BA02F1"/>
    <w:rsid w:val="00BA051D"/>
    <w:rsid w:val="00BA2B93"/>
    <w:rsid w:val="00BA378F"/>
    <w:rsid w:val="00BA4100"/>
    <w:rsid w:val="00BA502E"/>
    <w:rsid w:val="00BA6D37"/>
    <w:rsid w:val="00BB1A85"/>
    <w:rsid w:val="00BB32EC"/>
    <w:rsid w:val="00BB4C04"/>
    <w:rsid w:val="00BB7F0D"/>
    <w:rsid w:val="00BC33C3"/>
    <w:rsid w:val="00BC3BC2"/>
    <w:rsid w:val="00BC7BE0"/>
    <w:rsid w:val="00BD1383"/>
    <w:rsid w:val="00BD1448"/>
    <w:rsid w:val="00BD1EBF"/>
    <w:rsid w:val="00BD765C"/>
    <w:rsid w:val="00BE0834"/>
    <w:rsid w:val="00BE2747"/>
    <w:rsid w:val="00BE3467"/>
    <w:rsid w:val="00BE38F0"/>
    <w:rsid w:val="00BE56B0"/>
    <w:rsid w:val="00BE5835"/>
    <w:rsid w:val="00BE75D7"/>
    <w:rsid w:val="00BE7D51"/>
    <w:rsid w:val="00BF132F"/>
    <w:rsid w:val="00BF4E17"/>
    <w:rsid w:val="00BF57D5"/>
    <w:rsid w:val="00BF5F96"/>
    <w:rsid w:val="00C01001"/>
    <w:rsid w:val="00C02C04"/>
    <w:rsid w:val="00C02E8E"/>
    <w:rsid w:val="00C0392A"/>
    <w:rsid w:val="00C03C66"/>
    <w:rsid w:val="00C0440A"/>
    <w:rsid w:val="00C04687"/>
    <w:rsid w:val="00C04B40"/>
    <w:rsid w:val="00C04E79"/>
    <w:rsid w:val="00C070BF"/>
    <w:rsid w:val="00C11B5D"/>
    <w:rsid w:val="00C1200C"/>
    <w:rsid w:val="00C13878"/>
    <w:rsid w:val="00C1396D"/>
    <w:rsid w:val="00C14003"/>
    <w:rsid w:val="00C15EEB"/>
    <w:rsid w:val="00C174F2"/>
    <w:rsid w:val="00C22A1D"/>
    <w:rsid w:val="00C22AE9"/>
    <w:rsid w:val="00C24F15"/>
    <w:rsid w:val="00C265EF"/>
    <w:rsid w:val="00C266DE"/>
    <w:rsid w:val="00C26B0F"/>
    <w:rsid w:val="00C319B8"/>
    <w:rsid w:val="00C33C75"/>
    <w:rsid w:val="00C34424"/>
    <w:rsid w:val="00C35198"/>
    <w:rsid w:val="00C36BEF"/>
    <w:rsid w:val="00C40176"/>
    <w:rsid w:val="00C409CE"/>
    <w:rsid w:val="00C41472"/>
    <w:rsid w:val="00C41AE7"/>
    <w:rsid w:val="00C443A7"/>
    <w:rsid w:val="00C44FE6"/>
    <w:rsid w:val="00C46B12"/>
    <w:rsid w:val="00C5221B"/>
    <w:rsid w:val="00C52C97"/>
    <w:rsid w:val="00C563A2"/>
    <w:rsid w:val="00C57820"/>
    <w:rsid w:val="00C654F5"/>
    <w:rsid w:val="00C7033E"/>
    <w:rsid w:val="00C71C22"/>
    <w:rsid w:val="00C71C82"/>
    <w:rsid w:val="00C77515"/>
    <w:rsid w:val="00C777DD"/>
    <w:rsid w:val="00C8108C"/>
    <w:rsid w:val="00C82287"/>
    <w:rsid w:val="00C83D04"/>
    <w:rsid w:val="00C83F82"/>
    <w:rsid w:val="00C849F1"/>
    <w:rsid w:val="00C84D62"/>
    <w:rsid w:val="00C87C3D"/>
    <w:rsid w:val="00C90833"/>
    <w:rsid w:val="00C90F4E"/>
    <w:rsid w:val="00C923DC"/>
    <w:rsid w:val="00C9279F"/>
    <w:rsid w:val="00C94B26"/>
    <w:rsid w:val="00CA061C"/>
    <w:rsid w:val="00CA06BA"/>
    <w:rsid w:val="00CA072D"/>
    <w:rsid w:val="00CA1058"/>
    <w:rsid w:val="00CA1705"/>
    <w:rsid w:val="00CA3BDA"/>
    <w:rsid w:val="00CA4576"/>
    <w:rsid w:val="00CA47A1"/>
    <w:rsid w:val="00CA4F44"/>
    <w:rsid w:val="00CA7203"/>
    <w:rsid w:val="00CB144E"/>
    <w:rsid w:val="00CB18AC"/>
    <w:rsid w:val="00CB2029"/>
    <w:rsid w:val="00CB221B"/>
    <w:rsid w:val="00CB523D"/>
    <w:rsid w:val="00CB5374"/>
    <w:rsid w:val="00CB5474"/>
    <w:rsid w:val="00CD4395"/>
    <w:rsid w:val="00CD5074"/>
    <w:rsid w:val="00CD5166"/>
    <w:rsid w:val="00CD5544"/>
    <w:rsid w:val="00CD57EA"/>
    <w:rsid w:val="00CD7C1E"/>
    <w:rsid w:val="00CE1A54"/>
    <w:rsid w:val="00CE51E5"/>
    <w:rsid w:val="00CE7320"/>
    <w:rsid w:val="00CE7593"/>
    <w:rsid w:val="00CF5FB6"/>
    <w:rsid w:val="00CF69A2"/>
    <w:rsid w:val="00D00532"/>
    <w:rsid w:val="00D00577"/>
    <w:rsid w:val="00D02439"/>
    <w:rsid w:val="00D02518"/>
    <w:rsid w:val="00D03BC3"/>
    <w:rsid w:val="00D04B86"/>
    <w:rsid w:val="00D05F10"/>
    <w:rsid w:val="00D0742A"/>
    <w:rsid w:val="00D1080C"/>
    <w:rsid w:val="00D10C75"/>
    <w:rsid w:val="00D1305B"/>
    <w:rsid w:val="00D15EDE"/>
    <w:rsid w:val="00D17454"/>
    <w:rsid w:val="00D203DC"/>
    <w:rsid w:val="00D209C3"/>
    <w:rsid w:val="00D2109D"/>
    <w:rsid w:val="00D21779"/>
    <w:rsid w:val="00D2206D"/>
    <w:rsid w:val="00D2361E"/>
    <w:rsid w:val="00D23D12"/>
    <w:rsid w:val="00D33FBC"/>
    <w:rsid w:val="00D366F4"/>
    <w:rsid w:val="00D37762"/>
    <w:rsid w:val="00D37CC6"/>
    <w:rsid w:val="00D41E57"/>
    <w:rsid w:val="00D421C0"/>
    <w:rsid w:val="00D42713"/>
    <w:rsid w:val="00D44454"/>
    <w:rsid w:val="00D444E8"/>
    <w:rsid w:val="00D51953"/>
    <w:rsid w:val="00D5246E"/>
    <w:rsid w:val="00D52A16"/>
    <w:rsid w:val="00D53092"/>
    <w:rsid w:val="00D54D72"/>
    <w:rsid w:val="00D5600E"/>
    <w:rsid w:val="00D61212"/>
    <w:rsid w:val="00D63E2C"/>
    <w:rsid w:val="00D67CF0"/>
    <w:rsid w:val="00D67E38"/>
    <w:rsid w:val="00D72F95"/>
    <w:rsid w:val="00D734FE"/>
    <w:rsid w:val="00D74764"/>
    <w:rsid w:val="00D7535C"/>
    <w:rsid w:val="00D76302"/>
    <w:rsid w:val="00D76540"/>
    <w:rsid w:val="00D76F36"/>
    <w:rsid w:val="00D7799D"/>
    <w:rsid w:val="00D77F0D"/>
    <w:rsid w:val="00D83AB1"/>
    <w:rsid w:val="00D84D4F"/>
    <w:rsid w:val="00D84F13"/>
    <w:rsid w:val="00D9056A"/>
    <w:rsid w:val="00D91019"/>
    <w:rsid w:val="00D92635"/>
    <w:rsid w:val="00D93117"/>
    <w:rsid w:val="00D94748"/>
    <w:rsid w:val="00D95BDE"/>
    <w:rsid w:val="00D95F51"/>
    <w:rsid w:val="00DA5CE2"/>
    <w:rsid w:val="00DA7208"/>
    <w:rsid w:val="00DB294E"/>
    <w:rsid w:val="00DB2B95"/>
    <w:rsid w:val="00DB3250"/>
    <w:rsid w:val="00DB5989"/>
    <w:rsid w:val="00DB7146"/>
    <w:rsid w:val="00DB775F"/>
    <w:rsid w:val="00DB7CFA"/>
    <w:rsid w:val="00DC28D7"/>
    <w:rsid w:val="00DC5B96"/>
    <w:rsid w:val="00DC6496"/>
    <w:rsid w:val="00DD04A7"/>
    <w:rsid w:val="00DD22C1"/>
    <w:rsid w:val="00DD3AD1"/>
    <w:rsid w:val="00DD428E"/>
    <w:rsid w:val="00DD43AB"/>
    <w:rsid w:val="00DD4CDA"/>
    <w:rsid w:val="00DD56A3"/>
    <w:rsid w:val="00DE10E8"/>
    <w:rsid w:val="00DE2707"/>
    <w:rsid w:val="00DE3368"/>
    <w:rsid w:val="00DE6691"/>
    <w:rsid w:val="00DE69E7"/>
    <w:rsid w:val="00DE7608"/>
    <w:rsid w:val="00DF0207"/>
    <w:rsid w:val="00DF1161"/>
    <w:rsid w:val="00DF28EC"/>
    <w:rsid w:val="00DF2D13"/>
    <w:rsid w:val="00DF3E17"/>
    <w:rsid w:val="00DF3FB0"/>
    <w:rsid w:val="00DF73F6"/>
    <w:rsid w:val="00E01172"/>
    <w:rsid w:val="00E01A7E"/>
    <w:rsid w:val="00E01B9C"/>
    <w:rsid w:val="00E02A99"/>
    <w:rsid w:val="00E03DE7"/>
    <w:rsid w:val="00E03FA0"/>
    <w:rsid w:val="00E046A3"/>
    <w:rsid w:val="00E1348C"/>
    <w:rsid w:val="00E14305"/>
    <w:rsid w:val="00E1470E"/>
    <w:rsid w:val="00E14FBC"/>
    <w:rsid w:val="00E15401"/>
    <w:rsid w:val="00E16849"/>
    <w:rsid w:val="00E16FDA"/>
    <w:rsid w:val="00E205D0"/>
    <w:rsid w:val="00E20FE1"/>
    <w:rsid w:val="00E22E3D"/>
    <w:rsid w:val="00E24874"/>
    <w:rsid w:val="00E34C63"/>
    <w:rsid w:val="00E35F58"/>
    <w:rsid w:val="00E36DAB"/>
    <w:rsid w:val="00E412C7"/>
    <w:rsid w:val="00E45BD9"/>
    <w:rsid w:val="00E57A94"/>
    <w:rsid w:val="00E57E7C"/>
    <w:rsid w:val="00E6106E"/>
    <w:rsid w:val="00E63CC7"/>
    <w:rsid w:val="00E64359"/>
    <w:rsid w:val="00E66FFC"/>
    <w:rsid w:val="00E730D6"/>
    <w:rsid w:val="00E741E6"/>
    <w:rsid w:val="00E759D6"/>
    <w:rsid w:val="00E763F1"/>
    <w:rsid w:val="00E76580"/>
    <w:rsid w:val="00E76C60"/>
    <w:rsid w:val="00E80046"/>
    <w:rsid w:val="00E83E18"/>
    <w:rsid w:val="00E84A8C"/>
    <w:rsid w:val="00E900EF"/>
    <w:rsid w:val="00E90811"/>
    <w:rsid w:val="00E91D59"/>
    <w:rsid w:val="00E94F72"/>
    <w:rsid w:val="00E94FAC"/>
    <w:rsid w:val="00E95502"/>
    <w:rsid w:val="00E95EB3"/>
    <w:rsid w:val="00E976DE"/>
    <w:rsid w:val="00EA12AF"/>
    <w:rsid w:val="00EA4CED"/>
    <w:rsid w:val="00EA6B04"/>
    <w:rsid w:val="00EA7CF6"/>
    <w:rsid w:val="00EB082C"/>
    <w:rsid w:val="00EB0863"/>
    <w:rsid w:val="00EB305A"/>
    <w:rsid w:val="00EB3097"/>
    <w:rsid w:val="00EB38F4"/>
    <w:rsid w:val="00EB3F9F"/>
    <w:rsid w:val="00EB5B95"/>
    <w:rsid w:val="00EC0735"/>
    <w:rsid w:val="00EC0F83"/>
    <w:rsid w:val="00EC147F"/>
    <w:rsid w:val="00EC16F1"/>
    <w:rsid w:val="00EC4B7A"/>
    <w:rsid w:val="00EC5013"/>
    <w:rsid w:val="00EC59C2"/>
    <w:rsid w:val="00EC6DB5"/>
    <w:rsid w:val="00EC7A53"/>
    <w:rsid w:val="00ED0429"/>
    <w:rsid w:val="00ED10AD"/>
    <w:rsid w:val="00ED1272"/>
    <w:rsid w:val="00ED18F7"/>
    <w:rsid w:val="00ED1F20"/>
    <w:rsid w:val="00ED3BC1"/>
    <w:rsid w:val="00ED4447"/>
    <w:rsid w:val="00ED57D7"/>
    <w:rsid w:val="00EE2AB0"/>
    <w:rsid w:val="00EE3187"/>
    <w:rsid w:val="00EE3D57"/>
    <w:rsid w:val="00EE4C7A"/>
    <w:rsid w:val="00EE58FF"/>
    <w:rsid w:val="00EE5988"/>
    <w:rsid w:val="00EE606A"/>
    <w:rsid w:val="00EF11F5"/>
    <w:rsid w:val="00EF2E74"/>
    <w:rsid w:val="00EF499B"/>
    <w:rsid w:val="00EF4A65"/>
    <w:rsid w:val="00F00C91"/>
    <w:rsid w:val="00F01E3E"/>
    <w:rsid w:val="00F04511"/>
    <w:rsid w:val="00F04B5C"/>
    <w:rsid w:val="00F05F54"/>
    <w:rsid w:val="00F13CD4"/>
    <w:rsid w:val="00F14977"/>
    <w:rsid w:val="00F15D74"/>
    <w:rsid w:val="00F16F4A"/>
    <w:rsid w:val="00F21ED4"/>
    <w:rsid w:val="00F2254C"/>
    <w:rsid w:val="00F25674"/>
    <w:rsid w:val="00F25A55"/>
    <w:rsid w:val="00F25C0D"/>
    <w:rsid w:val="00F27195"/>
    <w:rsid w:val="00F32092"/>
    <w:rsid w:val="00F33C10"/>
    <w:rsid w:val="00F460B8"/>
    <w:rsid w:val="00F460C6"/>
    <w:rsid w:val="00F50342"/>
    <w:rsid w:val="00F521C0"/>
    <w:rsid w:val="00F52357"/>
    <w:rsid w:val="00F542E0"/>
    <w:rsid w:val="00F54E38"/>
    <w:rsid w:val="00F5537C"/>
    <w:rsid w:val="00F553F0"/>
    <w:rsid w:val="00F609C4"/>
    <w:rsid w:val="00F6323E"/>
    <w:rsid w:val="00F652C8"/>
    <w:rsid w:val="00F65795"/>
    <w:rsid w:val="00F663A3"/>
    <w:rsid w:val="00F75A19"/>
    <w:rsid w:val="00F761B5"/>
    <w:rsid w:val="00F7795C"/>
    <w:rsid w:val="00F77C9A"/>
    <w:rsid w:val="00F80FB5"/>
    <w:rsid w:val="00F842CC"/>
    <w:rsid w:val="00F863A2"/>
    <w:rsid w:val="00F90976"/>
    <w:rsid w:val="00F928B1"/>
    <w:rsid w:val="00F94BF6"/>
    <w:rsid w:val="00FA13E6"/>
    <w:rsid w:val="00FA4F1C"/>
    <w:rsid w:val="00FA5EE8"/>
    <w:rsid w:val="00FA6BEA"/>
    <w:rsid w:val="00FA6F74"/>
    <w:rsid w:val="00FB055C"/>
    <w:rsid w:val="00FB0BCA"/>
    <w:rsid w:val="00FB3750"/>
    <w:rsid w:val="00FB4A08"/>
    <w:rsid w:val="00FB68F0"/>
    <w:rsid w:val="00FC0C2A"/>
    <w:rsid w:val="00FC2ADA"/>
    <w:rsid w:val="00FC4408"/>
    <w:rsid w:val="00FC6B7D"/>
    <w:rsid w:val="00FD1B08"/>
    <w:rsid w:val="00FD226A"/>
    <w:rsid w:val="00FD4B6F"/>
    <w:rsid w:val="00FD4B8E"/>
    <w:rsid w:val="00FD7F8E"/>
    <w:rsid w:val="00FE0170"/>
    <w:rsid w:val="00FE0F05"/>
    <w:rsid w:val="00FE3B70"/>
    <w:rsid w:val="00FE6832"/>
    <w:rsid w:val="00FF03B2"/>
    <w:rsid w:val="00FF0E6D"/>
    <w:rsid w:val="00FF11E4"/>
    <w:rsid w:val="00FF329E"/>
    <w:rsid w:val="00FF340D"/>
    <w:rsid w:val="00FF43B4"/>
    <w:rsid w:val="00FF77A7"/>
    <w:rsid w:val="00FF7AF3"/>
    <w:rsid w:val="01BE7323"/>
    <w:rsid w:val="03CD0E11"/>
    <w:rsid w:val="04B072D4"/>
    <w:rsid w:val="04F512AE"/>
    <w:rsid w:val="05F575D4"/>
    <w:rsid w:val="060A6FDB"/>
    <w:rsid w:val="064249C6"/>
    <w:rsid w:val="08641132"/>
    <w:rsid w:val="09186774"/>
    <w:rsid w:val="0945438F"/>
    <w:rsid w:val="0A71587A"/>
    <w:rsid w:val="0B792C38"/>
    <w:rsid w:val="0C28640C"/>
    <w:rsid w:val="0E90599A"/>
    <w:rsid w:val="0ED720CD"/>
    <w:rsid w:val="12070CAE"/>
    <w:rsid w:val="12FB2185"/>
    <w:rsid w:val="145F688C"/>
    <w:rsid w:val="15DD2205"/>
    <w:rsid w:val="17072842"/>
    <w:rsid w:val="17A67110"/>
    <w:rsid w:val="1864189B"/>
    <w:rsid w:val="18D73A7D"/>
    <w:rsid w:val="19557370"/>
    <w:rsid w:val="1BD06B6A"/>
    <w:rsid w:val="1D604E1B"/>
    <w:rsid w:val="1F782BDE"/>
    <w:rsid w:val="204A6A53"/>
    <w:rsid w:val="22007F90"/>
    <w:rsid w:val="23317869"/>
    <w:rsid w:val="25650CAE"/>
    <w:rsid w:val="26406598"/>
    <w:rsid w:val="28080056"/>
    <w:rsid w:val="28734C1A"/>
    <w:rsid w:val="28C72DDD"/>
    <w:rsid w:val="29EE0E64"/>
    <w:rsid w:val="2ACD534D"/>
    <w:rsid w:val="2BAB04D2"/>
    <w:rsid w:val="2BC4020A"/>
    <w:rsid w:val="2EF90F16"/>
    <w:rsid w:val="2F125C63"/>
    <w:rsid w:val="302C3D0A"/>
    <w:rsid w:val="30787AB3"/>
    <w:rsid w:val="3104598F"/>
    <w:rsid w:val="33DE31BB"/>
    <w:rsid w:val="359C2EFC"/>
    <w:rsid w:val="36A06A1C"/>
    <w:rsid w:val="389C49C0"/>
    <w:rsid w:val="39BC78F4"/>
    <w:rsid w:val="3B35486F"/>
    <w:rsid w:val="3EF1250A"/>
    <w:rsid w:val="40567DB0"/>
    <w:rsid w:val="40FF5CD2"/>
    <w:rsid w:val="41961147"/>
    <w:rsid w:val="42DB40B0"/>
    <w:rsid w:val="43B71B0A"/>
    <w:rsid w:val="44C6698D"/>
    <w:rsid w:val="44FA0589"/>
    <w:rsid w:val="450665E4"/>
    <w:rsid w:val="45A663E3"/>
    <w:rsid w:val="462B6546"/>
    <w:rsid w:val="469F09AF"/>
    <w:rsid w:val="4B756271"/>
    <w:rsid w:val="4BEB1D3E"/>
    <w:rsid w:val="4C8E1CA8"/>
    <w:rsid w:val="4D6D36A4"/>
    <w:rsid w:val="4EBB21ED"/>
    <w:rsid w:val="4F437C01"/>
    <w:rsid w:val="510903EF"/>
    <w:rsid w:val="52782993"/>
    <w:rsid w:val="53F137F4"/>
    <w:rsid w:val="543A6906"/>
    <w:rsid w:val="550407B0"/>
    <w:rsid w:val="56850CBB"/>
    <w:rsid w:val="580D4286"/>
    <w:rsid w:val="58AE3000"/>
    <w:rsid w:val="59D8738A"/>
    <w:rsid w:val="59DA7BF6"/>
    <w:rsid w:val="5A666D76"/>
    <w:rsid w:val="5B2253C2"/>
    <w:rsid w:val="5C182A2D"/>
    <w:rsid w:val="5CF02E0F"/>
    <w:rsid w:val="603269D2"/>
    <w:rsid w:val="61A52BCA"/>
    <w:rsid w:val="64A432DC"/>
    <w:rsid w:val="67095496"/>
    <w:rsid w:val="67ED7463"/>
    <w:rsid w:val="681A546A"/>
    <w:rsid w:val="688A4CB2"/>
    <w:rsid w:val="69CB37D4"/>
    <w:rsid w:val="6A0D5B9B"/>
    <w:rsid w:val="6A3B23B1"/>
    <w:rsid w:val="6AEA32DC"/>
    <w:rsid w:val="6CC24AB5"/>
    <w:rsid w:val="6D9271B2"/>
    <w:rsid w:val="6DD13C35"/>
    <w:rsid w:val="6F134790"/>
    <w:rsid w:val="6FE81F5F"/>
    <w:rsid w:val="705C11EC"/>
    <w:rsid w:val="72446028"/>
    <w:rsid w:val="73076EC0"/>
    <w:rsid w:val="74210CA6"/>
    <w:rsid w:val="746F4E76"/>
    <w:rsid w:val="749D7B1B"/>
    <w:rsid w:val="764B5653"/>
    <w:rsid w:val="788C25F5"/>
    <w:rsid w:val="79F72AA9"/>
    <w:rsid w:val="7A144529"/>
    <w:rsid w:val="7BAA225B"/>
    <w:rsid w:val="7DD37FAE"/>
    <w:rsid w:val="7EA3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Times New Roman" w:hAnsi="Times New Roman" w:eastAsia="宋体" w:cs="Times New Roman"/>
      <w:sz w:val="24"/>
      <w:szCs w:val="24"/>
      <w:lang w:val="en-U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autoRedefine/>
    <w:qFormat/>
    <w:uiPriority w:val="0"/>
  </w:style>
  <w:style w:type="paragraph" w:styleId="4">
    <w:name w:val="Body Text"/>
    <w:basedOn w:val="1"/>
    <w:link w:val="25"/>
    <w:qFormat/>
    <w:uiPriority w:val="1"/>
    <w:pPr>
      <w:ind w:left="220"/>
    </w:pPr>
    <w:rPr>
      <w:sz w:val="32"/>
      <w:szCs w:val="32"/>
    </w:rPr>
  </w:style>
  <w:style w:type="paragraph" w:styleId="5">
    <w:name w:val="Balloon Text"/>
    <w:basedOn w:val="1"/>
    <w:link w:val="18"/>
    <w:qFormat/>
    <w:uiPriority w:val="0"/>
    <w:rPr>
      <w:sz w:val="18"/>
      <w:szCs w:val="18"/>
    </w:rPr>
  </w:style>
  <w:style w:type="paragraph" w:styleId="6">
    <w:name w:val="footer"/>
    <w:basedOn w:val="1"/>
    <w:link w:val="15"/>
    <w:autoRedefine/>
    <w:qFormat/>
    <w:uiPriority w:val="99"/>
    <w:pPr>
      <w:tabs>
        <w:tab w:val="center" w:pos="4153"/>
        <w:tab w:val="right" w:pos="8306"/>
      </w:tabs>
      <w:snapToGrid w:val="0"/>
    </w:pPr>
    <w:rPr>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autoRedefine/>
    <w:qFormat/>
    <w:uiPriority w:val="0"/>
    <w:rPr>
      <w:b/>
      <w:bCs/>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styleId="12">
    <w:name w:val="annotation reference"/>
    <w:basedOn w:val="10"/>
    <w:autoRedefine/>
    <w:qFormat/>
    <w:uiPriority w:val="0"/>
    <w:rPr>
      <w:sz w:val="21"/>
      <w:szCs w:val="21"/>
    </w:rPr>
  </w:style>
  <w:style w:type="paragraph" w:customStyle="1" w:styleId="13">
    <w:name w:val="Table Paragraph"/>
    <w:basedOn w:val="1"/>
    <w:qFormat/>
    <w:uiPriority w:val="1"/>
    <w:pPr>
      <w:adjustRightInd w:val="0"/>
      <w:spacing w:line="360" w:lineRule="auto"/>
      <w:ind w:firstLine="402" w:firstLineChars="200"/>
      <w:jc w:val="both"/>
    </w:pPr>
    <w:rPr>
      <w:rFonts w:ascii="宋体" w:hAnsi="宋体" w:eastAsia="宋体" w:cs="宋体"/>
      <w:b/>
      <w:color w:val="000000" w:themeColor="text1"/>
      <w:sz w:val="20"/>
      <w14:textFill>
        <w14:solidFill>
          <w14:schemeClr w14:val="tx1"/>
        </w14:solidFill>
      </w14:textFill>
    </w:rPr>
  </w:style>
  <w:style w:type="character" w:customStyle="1" w:styleId="14">
    <w:name w:val="页眉 字符"/>
    <w:basedOn w:val="10"/>
    <w:link w:val="7"/>
    <w:autoRedefine/>
    <w:qFormat/>
    <w:uiPriority w:val="0"/>
    <w:rPr>
      <w:rFonts w:ascii="仿宋" w:hAnsi="仿宋" w:eastAsia="仿宋" w:cs="仿宋"/>
      <w:sz w:val="18"/>
      <w:szCs w:val="18"/>
      <w:lang w:val="zh-CN" w:bidi="zh-CN"/>
    </w:rPr>
  </w:style>
  <w:style w:type="character" w:customStyle="1" w:styleId="15">
    <w:name w:val="页脚 字符"/>
    <w:basedOn w:val="10"/>
    <w:link w:val="6"/>
    <w:autoRedefine/>
    <w:qFormat/>
    <w:uiPriority w:val="99"/>
    <w:rPr>
      <w:rFonts w:ascii="仿宋" w:hAnsi="仿宋" w:eastAsia="仿宋" w:cs="仿宋"/>
      <w:sz w:val="18"/>
      <w:szCs w:val="18"/>
      <w:lang w:val="zh-CN" w:bidi="zh-CN"/>
    </w:rPr>
  </w:style>
  <w:style w:type="character" w:customStyle="1" w:styleId="16">
    <w:name w:val="批注文字 字符"/>
    <w:basedOn w:val="10"/>
    <w:link w:val="3"/>
    <w:autoRedefine/>
    <w:qFormat/>
    <w:uiPriority w:val="0"/>
    <w:rPr>
      <w:rFonts w:ascii="仿宋" w:hAnsi="仿宋" w:eastAsia="仿宋" w:cs="仿宋"/>
      <w:sz w:val="22"/>
      <w:szCs w:val="22"/>
      <w:lang w:val="zh-CN" w:bidi="zh-CN"/>
    </w:rPr>
  </w:style>
  <w:style w:type="character" w:customStyle="1" w:styleId="17">
    <w:name w:val="批注主题 字符"/>
    <w:basedOn w:val="16"/>
    <w:link w:val="8"/>
    <w:autoRedefine/>
    <w:qFormat/>
    <w:uiPriority w:val="0"/>
    <w:rPr>
      <w:rFonts w:ascii="仿宋" w:hAnsi="仿宋" w:eastAsia="仿宋" w:cs="仿宋"/>
      <w:b/>
      <w:bCs/>
      <w:sz w:val="22"/>
      <w:szCs w:val="22"/>
      <w:lang w:val="zh-CN" w:bidi="zh-CN"/>
    </w:rPr>
  </w:style>
  <w:style w:type="character" w:customStyle="1" w:styleId="18">
    <w:name w:val="批注框文本 字符"/>
    <w:basedOn w:val="10"/>
    <w:link w:val="5"/>
    <w:autoRedefine/>
    <w:qFormat/>
    <w:uiPriority w:val="0"/>
    <w:rPr>
      <w:rFonts w:ascii="仿宋" w:hAnsi="仿宋" w:eastAsia="仿宋" w:cs="仿宋"/>
      <w:sz w:val="18"/>
      <w:szCs w:val="18"/>
      <w:lang w:val="zh-CN" w:bidi="zh-CN"/>
    </w:rPr>
  </w:style>
  <w:style w:type="paragraph" w:customStyle="1" w:styleId="19">
    <w:name w:val="修订1"/>
    <w:autoRedefine/>
    <w:hidden/>
    <w:semiHidden/>
    <w:qFormat/>
    <w:uiPriority w:val="99"/>
    <w:rPr>
      <w:rFonts w:ascii="仿宋" w:hAnsi="仿宋" w:eastAsia="仿宋" w:cs="仿宋"/>
      <w:sz w:val="22"/>
      <w:szCs w:val="22"/>
      <w:lang w:val="zh-CN" w:eastAsia="zh-CN" w:bidi="zh-CN"/>
    </w:rPr>
  </w:style>
  <w:style w:type="character" w:customStyle="1" w:styleId="20">
    <w:name w:val="未处理的提及1"/>
    <w:basedOn w:val="10"/>
    <w:autoRedefine/>
    <w:semiHidden/>
    <w:unhideWhenUsed/>
    <w:qFormat/>
    <w:uiPriority w:val="99"/>
    <w:rPr>
      <w:color w:val="605E5C"/>
      <w:shd w:val="clear" w:color="auto" w:fill="E1DFDD"/>
    </w:rPr>
  </w:style>
  <w:style w:type="character" w:customStyle="1" w:styleId="21">
    <w:name w:val="fontstyle01"/>
    <w:basedOn w:val="10"/>
    <w:qFormat/>
    <w:uiPriority w:val="0"/>
    <w:rPr>
      <w:rFonts w:hint="eastAsia" w:ascii="宋体" w:hAnsi="宋体" w:eastAsia="宋体"/>
      <w:color w:val="000000"/>
      <w:sz w:val="22"/>
      <w:szCs w:val="22"/>
    </w:rPr>
  </w:style>
  <w:style w:type="paragraph" w:styleId="22">
    <w:name w:val="List Paragraph"/>
    <w:basedOn w:val="1"/>
    <w:qFormat/>
    <w:uiPriority w:val="99"/>
    <w:pPr>
      <w:ind w:firstLine="420" w:firstLineChars="200"/>
    </w:pPr>
  </w:style>
  <w:style w:type="paragraph" w:customStyle="1" w:styleId="23">
    <w:name w:val="修订2"/>
    <w:hidden/>
    <w:semiHidden/>
    <w:qFormat/>
    <w:uiPriority w:val="99"/>
    <w:rPr>
      <w:rFonts w:ascii="仿宋" w:hAnsi="仿宋" w:eastAsia="仿宋" w:cs="仿宋"/>
      <w:sz w:val="22"/>
      <w:szCs w:val="22"/>
      <w:lang w:val="zh-CN" w:eastAsia="zh-CN" w:bidi="zh-CN"/>
    </w:rPr>
  </w:style>
  <w:style w:type="paragraph" w:customStyle="1" w:styleId="24">
    <w:name w:val="修订3"/>
    <w:hidden/>
    <w:semiHidden/>
    <w:qFormat/>
    <w:uiPriority w:val="99"/>
    <w:rPr>
      <w:rFonts w:ascii="仿宋" w:hAnsi="仿宋" w:eastAsia="仿宋" w:cs="仿宋"/>
      <w:sz w:val="22"/>
      <w:szCs w:val="22"/>
      <w:lang w:val="zh-CN" w:eastAsia="zh-CN" w:bidi="zh-CN"/>
    </w:rPr>
  </w:style>
  <w:style w:type="character" w:customStyle="1" w:styleId="25">
    <w:name w:val="正文文本 字符"/>
    <w:basedOn w:val="10"/>
    <w:link w:val="4"/>
    <w:qFormat/>
    <w:uiPriority w:val="1"/>
    <w:rPr>
      <w:rFonts w:ascii="仿宋" w:hAnsi="仿宋" w:eastAsia="仿宋" w:cs="仿宋"/>
      <w:sz w:val="32"/>
      <w:szCs w:val="32"/>
      <w:lang w:val="zh-CN" w:bidi="zh-CN"/>
    </w:rPr>
  </w:style>
  <w:style w:type="paragraph" w:customStyle="1" w:styleId="26">
    <w:name w:val="修订4"/>
    <w:hidden/>
    <w:semiHidden/>
    <w:qFormat/>
    <w:uiPriority w:val="99"/>
    <w:rPr>
      <w:rFonts w:ascii="仿宋" w:hAnsi="仿宋" w:eastAsia="仿宋" w:cs="仿宋"/>
      <w:sz w:val="22"/>
      <w:szCs w:val="22"/>
      <w:lang w:val="zh-CN" w:eastAsia="zh-CN" w:bidi="zh-CN"/>
    </w:rPr>
  </w:style>
  <w:style w:type="paragraph" w:customStyle="1" w:styleId="27">
    <w:name w:val="修订5"/>
    <w:hidden/>
    <w:semiHidden/>
    <w:qFormat/>
    <w:uiPriority w:val="99"/>
    <w:rPr>
      <w:rFonts w:ascii="仿宋" w:hAnsi="仿宋" w:eastAsia="仿宋" w:cs="仿宋"/>
      <w:sz w:val="22"/>
      <w:szCs w:val="22"/>
      <w:lang w:val="zh-CN" w:eastAsia="zh-CN" w:bidi="zh-CN"/>
    </w:rPr>
  </w:style>
  <w:style w:type="paragraph" w:customStyle="1" w:styleId="28">
    <w:name w:val="修订6"/>
    <w:hidden/>
    <w:semiHidden/>
    <w:qFormat/>
    <w:uiPriority w:val="99"/>
    <w:rPr>
      <w:rFonts w:ascii="仿宋" w:hAnsi="仿宋" w:eastAsia="仿宋" w:cs="仿宋"/>
      <w:sz w:val="22"/>
      <w:szCs w:val="22"/>
      <w:lang w:val="zh-CN" w:eastAsia="zh-CN" w:bidi="zh-CN"/>
    </w:rPr>
  </w:style>
  <w:style w:type="paragraph" w:customStyle="1" w:styleId="29">
    <w:name w:val="修订7"/>
    <w:hidden/>
    <w:semiHidden/>
    <w:qFormat/>
    <w:uiPriority w:val="99"/>
    <w:rPr>
      <w:rFonts w:ascii="仿宋" w:hAnsi="仿宋" w:eastAsia="仿宋" w:cs="仿宋"/>
      <w:sz w:val="22"/>
      <w:szCs w:val="22"/>
      <w:lang w:val="zh-CN" w:eastAsia="zh-CN" w:bidi="zh-CN"/>
    </w:rPr>
  </w:style>
  <w:style w:type="paragraph" w:customStyle="1" w:styleId="30">
    <w:name w:val="Revision"/>
    <w:hidden/>
    <w:semiHidden/>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FE8E6-A378-4F68-B272-C60F1ADC12E4}">
  <ds:schemaRefs/>
</ds:datastoreItem>
</file>

<file path=docProps/app.xml><?xml version="1.0" encoding="utf-8"?>
<Properties xmlns="http://schemas.openxmlformats.org/officeDocument/2006/extended-properties" xmlns:vt="http://schemas.openxmlformats.org/officeDocument/2006/docPropsVTypes">
  <Template>Normal</Template>
  <Pages>5</Pages>
  <Words>1335</Words>
  <Characters>1936</Characters>
  <Lines>215</Lines>
  <Paragraphs>204</Paragraphs>
  <TotalTime>836</TotalTime>
  <ScaleCrop>false</ScaleCrop>
  <LinksUpToDate>false</LinksUpToDate>
  <CharactersWithSpaces>3067</CharactersWithSpaces>
  <Application>WPS Office_12.1.0.21040_F1E327BC-269C-435d-A152-05C5408002CA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2025-08-29T03:40:00Z</dcterms:created>
  <dc:creator>jie.huang</dc:creator>
  <cp:lastModifiedBy>WPS_1614828449</cp:lastModifiedBy>
  <cp:lastPrinted>2025-03-19T07:14:00Z</cp:lastPrinted>
  <dcterms:modified xsi:type="dcterms:W3CDTF">2025-09-02T07:29:44Z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2052-12.1.0.21040</vt:lpwstr>
  </property>
  <property fmtid="{D5CDD505-2E9C-101B-9397-08002B2CF9AE}" pid="3" name="ICV">
    <vt:lpwstr>2785F0FEA11643789DF08207673F6E06_13</vt:lpwstr>
  </property>
  <property fmtid="{D5CDD505-2E9C-101B-9397-08002B2CF9AE}" pid="4" name="KSOTemplateDocerSaveRecord">
    <vt:lpwstr>eyJoZGlkIjoiNjM5NGUwODhkYjZjNjIxZWM3MmQ0YjZhZTA2M2YxMmUiLCJ1c2VySWQiOiIxMTczMjc2NDkyIn0=</vt:lpwstr>
  </property>
</Properties>
</file>