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355" w:rsidRDefault="003913A1">
      <w:pPr>
        <w:keepNext/>
        <w:keepLines/>
        <w:spacing w:before="100" w:beforeAutospacing="1" w:after="260" w:line="360" w:lineRule="auto"/>
        <w:outlineLvl w:val="1"/>
        <w:rPr>
          <w:rFonts w:asciiTheme="minorEastAsia" w:hAnsiTheme="minorEastAsia" w:cs="Times New Roman"/>
          <w:b/>
          <w:bCs/>
          <w:iCs/>
          <w:color w:val="000000"/>
          <w:sz w:val="28"/>
          <w:szCs w:val="28"/>
        </w:rPr>
      </w:pPr>
      <w:r>
        <w:rPr>
          <w:rFonts w:asciiTheme="minorEastAsia" w:hAnsiTheme="minorEastAsia" w:cs="Times New Roman" w:hint="eastAsia"/>
          <w:b/>
          <w:bCs/>
          <w:iCs/>
          <w:color w:val="000000"/>
          <w:sz w:val="28"/>
          <w:szCs w:val="28"/>
        </w:rPr>
        <w:t>证券代码：</w:t>
      </w:r>
      <w:r>
        <w:rPr>
          <w:rFonts w:asciiTheme="minorEastAsia" w:hAnsiTheme="minorEastAsia" w:cs="Times New Roman"/>
          <w:b/>
          <w:bCs/>
          <w:iCs/>
          <w:color w:val="000000"/>
          <w:sz w:val="28"/>
          <w:szCs w:val="28"/>
        </w:rPr>
        <w:t>601018</w:t>
      </w:r>
      <w:r>
        <w:rPr>
          <w:rFonts w:asciiTheme="minorEastAsia" w:hAnsiTheme="minorEastAsia" w:cs="Times New Roman" w:hint="eastAsia"/>
          <w:b/>
          <w:bCs/>
          <w:iCs/>
          <w:color w:val="000000"/>
          <w:sz w:val="28"/>
          <w:szCs w:val="28"/>
        </w:rPr>
        <w:t xml:space="preserve">                           </w:t>
      </w:r>
      <w:r>
        <w:rPr>
          <w:rFonts w:asciiTheme="minorEastAsia" w:hAnsiTheme="minorEastAsia" w:cs="Times New Roman" w:hint="eastAsia"/>
          <w:b/>
          <w:bCs/>
          <w:iCs/>
          <w:color w:val="000000"/>
          <w:sz w:val="28"/>
          <w:szCs w:val="28"/>
        </w:rPr>
        <w:t>证券简称：宁波港</w:t>
      </w:r>
    </w:p>
    <w:p w:rsidR="000E2355" w:rsidRDefault="003913A1">
      <w:pPr>
        <w:snapToGrid w:val="0"/>
        <w:spacing w:line="300" w:lineRule="auto"/>
        <w:jc w:val="center"/>
        <w:rPr>
          <w:rFonts w:ascii="黑体" w:eastAsia="黑体" w:hAnsi="黑体" w:cs="Times New Roman"/>
          <w:b/>
          <w:bCs/>
          <w:iCs/>
          <w:color w:val="000000"/>
          <w:sz w:val="36"/>
          <w:szCs w:val="28"/>
        </w:rPr>
      </w:pPr>
      <w:r>
        <w:rPr>
          <w:rFonts w:ascii="黑体" w:eastAsia="黑体" w:hAnsi="黑体" w:cs="Times New Roman" w:hint="eastAsia"/>
          <w:b/>
          <w:bCs/>
          <w:iCs/>
          <w:color w:val="000000"/>
          <w:sz w:val="36"/>
          <w:szCs w:val="28"/>
        </w:rPr>
        <w:t>宁波舟山港股份有限公司投资者关系活动记录表</w:t>
      </w:r>
    </w:p>
    <w:p w:rsidR="000E2355" w:rsidRDefault="000E2355">
      <w:pPr>
        <w:snapToGrid w:val="0"/>
        <w:spacing w:line="300" w:lineRule="auto"/>
        <w:jc w:val="center"/>
        <w:rPr>
          <w:rFonts w:asciiTheme="minorEastAsia" w:hAnsiTheme="minorEastAsia" w:cs="Times New Roman"/>
          <w:b/>
          <w:bCs/>
          <w:iCs/>
          <w:color w:val="000000"/>
          <w:sz w:val="28"/>
          <w:szCs w:val="28"/>
        </w:rPr>
      </w:pPr>
    </w:p>
    <w:tbl>
      <w:tblPr>
        <w:tblW w:w="98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796"/>
      </w:tblGrid>
      <w:tr w:rsidR="000E2355">
        <w:tc>
          <w:tcPr>
            <w:tcW w:w="2014" w:type="dxa"/>
            <w:shd w:val="clear" w:color="auto" w:fill="auto"/>
            <w:vAlign w:val="center"/>
          </w:tcPr>
          <w:p w:rsidR="000E2355" w:rsidRDefault="003913A1">
            <w:pPr>
              <w:snapToGrid w:val="0"/>
              <w:spacing w:line="300" w:lineRule="auto"/>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t>投资者关系活动类别</w:t>
            </w:r>
          </w:p>
        </w:tc>
        <w:tc>
          <w:tcPr>
            <w:tcW w:w="7796" w:type="dxa"/>
            <w:shd w:val="clear" w:color="auto" w:fill="auto"/>
          </w:tcPr>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特定对象调研</w:t>
            </w:r>
            <w:r>
              <w:rPr>
                <w:rFonts w:asciiTheme="minorEastAsia" w:hAnsiTheme="minorEastAsia" w:cs="Times New Roman"/>
                <w:bCs/>
                <w:iCs/>
                <w:color w:val="000000"/>
                <w:kern w:val="0"/>
                <w:sz w:val="24"/>
                <w:szCs w:val="24"/>
              </w:rPr>
              <w:t xml:space="preserve">        </w:t>
            </w: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分析师会议</w:t>
            </w:r>
          </w:p>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媒体采访</w:t>
            </w:r>
            <w:r>
              <w:rPr>
                <w:rFonts w:asciiTheme="minorEastAsia" w:hAnsiTheme="minorEastAsia" w:cs="Times New Roman"/>
                <w:bCs/>
                <w:iCs/>
                <w:color w:val="000000"/>
                <w:kern w:val="0"/>
                <w:sz w:val="24"/>
                <w:szCs w:val="24"/>
              </w:rPr>
              <w:t xml:space="preserve">            </w:t>
            </w: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业绩说明会</w:t>
            </w:r>
          </w:p>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新闻发布会</w:t>
            </w:r>
            <w:r>
              <w:rPr>
                <w:rFonts w:asciiTheme="minorEastAsia" w:hAnsiTheme="minorEastAsia" w:cs="Times New Roman"/>
                <w:bCs/>
                <w:iCs/>
                <w:color w:val="000000"/>
                <w:kern w:val="0"/>
                <w:sz w:val="24"/>
                <w:szCs w:val="24"/>
              </w:rPr>
              <w:t xml:space="preserve">          </w:t>
            </w: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路演活动</w:t>
            </w:r>
          </w:p>
          <w:p w:rsidR="000E2355" w:rsidRDefault="003913A1">
            <w:pPr>
              <w:tabs>
                <w:tab w:val="left" w:pos="2690"/>
                <w:tab w:val="center" w:pos="3199"/>
              </w:tabs>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现场参观</w:t>
            </w:r>
            <w:r>
              <w:rPr>
                <w:rFonts w:asciiTheme="minorEastAsia" w:hAnsiTheme="minorEastAsia" w:cs="Times New Roman"/>
                <w:bCs/>
                <w:iCs/>
                <w:color w:val="000000"/>
                <w:kern w:val="0"/>
                <w:sz w:val="24"/>
                <w:szCs w:val="24"/>
              </w:rPr>
              <w:t xml:space="preserve">            </w:t>
            </w: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电话会议</w:t>
            </w:r>
          </w:p>
          <w:p w:rsidR="000E2355" w:rsidRDefault="003913A1">
            <w:pPr>
              <w:tabs>
                <w:tab w:val="center" w:pos="3199"/>
              </w:tabs>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其他</w:t>
            </w:r>
            <w:r>
              <w:rPr>
                <w:rFonts w:asciiTheme="minorEastAsia" w:hAnsiTheme="minorEastAsia" w:cs="Times New Roman" w:hint="eastAsia"/>
                <w:bCs/>
                <w:iCs/>
                <w:color w:val="000000"/>
                <w:kern w:val="0"/>
                <w:sz w:val="24"/>
                <w:szCs w:val="24"/>
                <w:u w:val="single"/>
              </w:rPr>
              <w:t xml:space="preserve">          </w:t>
            </w:r>
          </w:p>
        </w:tc>
      </w:tr>
      <w:tr w:rsidR="000E2355">
        <w:trPr>
          <w:trHeight w:val="865"/>
        </w:trPr>
        <w:tc>
          <w:tcPr>
            <w:tcW w:w="2014" w:type="dxa"/>
            <w:shd w:val="clear" w:color="auto" w:fill="auto"/>
            <w:vAlign w:val="center"/>
          </w:tcPr>
          <w:p w:rsidR="000E2355" w:rsidRDefault="003913A1">
            <w:pPr>
              <w:snapToGrid w:val="0"/>
              <w:spacing w:line="300" w:lineRule="auto"/>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t>参与单位名称及人员姓名</w:t>
            </w:r>
          </w:p>
        </w:tc>
        <w:tc>
          <w:tcPr>
            <w:tcW w:w="7796" w:type="dxa"/>
            <w:shd w:val="clear" w:color="auto" w:fill="auto"/>
            <w:vAlign w:val="center"/>
          </w:tcPr>
          <w:p w:rsidR="000E2355" w:rsidRDefault="003913A1">
            <w:pPr>
              <w:tabs>
                <w:tab w:val="center" w:pos="2798"/>
              </w:tabs>
              <w:snapToGrid w:val="0"/>
              <w:spacing w:line="300" w:lineRule="auto"/>
              <w:rPr>
                <w:rFonts w:asciiTheme="minorEastAsia" w:hAnsiTheme="minorEastAsia" w:cs="Times New Roman"/>
                <w:bCs/>
                <w:iCs/>
                <w:color w:val="000000"/>
                <w:kern w:val="0"/>
                <w:sz w:val="24"/>
                <w:szCs w:val="24"/>
              </w:rPr>
            </w:pPr>
            <w:r>
              <w:rPr>
                <w:rFonts w:asciiTheme="minorEastAsia" w:hAnsiTheme="minorEastAsia" w:cs="Times New Roman"/>
                <w:bCs/>
                <w:iCs/>
                <w:color w:val="000000"/>
                <w:kern w:val="0"/>
                <w:sz w:val="24"/>
                <w:szCs w:val="24"/>
              </w:rPr>
              <w:t>线上参与公司</w:t>
            </w:r>
            <w:r>
              <w:rPr>
                <w:rFonts w:asciiTheme="minorEastAsia" w:hAnsiTheme="minorEastAsia" w:cs="Times New Roman"/>
                <w:bCs/>
                <w:iCs/>
                <w:color w:val="000000"/>
                <w:kern w:val="0"/>
                <w:sz w:val="24"/>
                <w:szCs w:val="24"/>
              </w:rPr>
              <w:t>20</w:t>
            </w:r>
            <w:r>
              <w:rPr>
                <w:rFonts w:asciiTheme="minorEastAsia" w:hAnsiTheme="minorEastAsia" w:cs="Times New Roman" w:hint="eastAsia"/>
                <w:bCs/>
                <w:iCs/>
                <w:color w:val="000000"/>
                <w:kern w:val="0"/>
                <w:sz w:val="24"/>
                <w:szCs w:val="24"/>
              </w:rPr>
              <w:t>2</w:t>
            </w:r>
            <w:r>
              <w:rPr>
                <w:rFonts w:asciiTheme="minorEastAsia" w:hAnsiTheme="minorEastAsia" w:cs="Times New Roman" w:hint="eastAsia"/>
                <w:bCs/>
                <w:iCs/>
                <w:color w:val="000000"/>
                <w:kern w:val="0"/>
                <w:sz w:val="24"/>
                <w:szCs w:val="24"/>
              </w:rPr>
              <w:t>5</w:t>
            </w:r>
            <w:r>
              <w:rPr>
                <w:rFonts w:asciiTheme="minorEastAsia" w:hAnsiTheme="minorEastAsia" w:cs="Times New Roman"/>
                <w:bCs/>
                <w:iCs/>
                <w:color w:val="000000"/>
                <w:kern w:val="0"/>
                <w:sz w:val="24"/>
                <w:szCs w:val="24"/>
              </w:rPr>
              <w:t>年</w:t>
            </w:r>
            <w:r>
              <w:rPr>
                <w:rFonts w:asciiTheme="minorEastAsia" w:hAnsiTheme="minorEastAsia" w:cs="Times New Roman" w:hint="eastAsia"/>
                <w:bCs/>
                <w:iCs/>
                <w:color w:val="000000"/>
                <w:kern w:val="0"/>
                <w:sz w:val="24"/>
                <w:szCs w:val="24"/>
              </w:rPr>
              <w:t>半年</w:t>
            </w:r>
            <w:r>
              <w:rPr>
                <w:rFonts w:asciiTheme="minorEastAsia" w:hAnsiTheme="minorEastAsia" w:cs="Times New Roman"/>
                <w:bCs/>
                <w:iCs/>
                <w:color w:val="000000"/>
                <w:kern w:val="0"/>
                <w:sz w:val="24"/>
                <w:szCs w:val="24"/>
              </w:rPr>
              <w:t>度业绩说明会的投资者</w:t>
            </w:r>
          </w:p>
        </w:tc>
      </w:tr>
      <w:tr w:rsidR="000E2355">
        <w:tc>
          <w:tcPr>
            <w:tcW w:w="2014" w:type="dxa"/>
            <w:shd w:val="clear" w:color="auto" w:fill="auto"/>
            <w:vAlign w:val="center"/>
          </w:tcPr>
          <w:p w:rsidR="000E2355" w:rsidRDefault="003913A1">
            <w:pPr>
              <w:snapToGrid w:val="0"/>
              <w:spacing w:line="300" w:lineRule="auto"/>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t>会议时间</w:t>
            </w:r>
          </w:p>
        </w:tc>
        <w:tc>
          <w:tcPr>
            <w:tcW w:w="7796" w:type="dxa"/>
            <w:shd w:val="clear" w:color="auto" w:fill="auto"/>
          </w:tcPr>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bCs/>
                <w:iCs/>
                <w:color w:val="000000"/>
                <w:kern w:val="0"/>
                <w:sz w:val="24"/>
                <w:szCs w:val="24"/>
              </w:rPr>
              <w:t>2025</w:t>
            </w:r>
            <w:r>
              <w:rPr>
                <w:rFonts w:asciiTheme="minorEastAsia" w:hAnsiTheme="minorEastAsia" w:cs="Times New Roman"/>
                <w:bCs/>
                <w:iCs/>
                <w:color w:val="000000"/>
                <w:kern w:val="0"/>
                <w:sz w:val="24"/>
                <w:szCs w:val="24"/>
              </w:rPr>
              <w:t>年</w:t>
            </w:r>
            <w:r>
              <w:rPr>
                <w:rFonts w:asciiTheme="minorEastAsia" w:hAnsiTheme="minorEastAsia" w:cs="Times New Roman" w:hint="eastAsia"/>
                <w:bCs/>
                <w:iCs/>
                <w:color w:val="000000"/>
                <w:kern w:val="0"/>
                <w:sz w:val="24"/>
                <w:szCs w:val="24"/>
              </w:rPr>
              <w:t>9</w:t>
            </w:r>
            <w:r>
              <w:rPr>
                <w:rFonts w:asciiTheme="minorEastAsia" w:hAnsiTheme="minorEastAsia" w:cs="Times New Roman"/>
                <w:bCs/>
                <w:iCs/>
                <w:color w:val="000000"/>
                <w:kern w:val="0"/>
                <w:sz w:val="24"/>
                <w:szCs w:val="24"/>
              </w:rPr>
              <w:t>月</w:t>
            </w:r>
            <w:r>
              <w:rPr>
                <w:rFonts w:asciiTheme="minorEastAsia" w:hAnsiTheme="minorEastAsia" w:cs="Times New Roman"/>
                <w:bCs/>
                <w:iCs/>
                <w:color w:val="000000"/>
                <w:kern w:val="0"/>
                <w:sz w:val="24"/>
                <w:szCs w:val="24"/>
              </w:rPr>
              <w:t>2</w:t>
            </w:r>
            <w:r>
              <w:rPr>
                <w:rFonts w:asciiTheme="minorEastAsia" w:hAnsiTheme="minorEastAsia" w:cs="Times New Roman"/>
                <w:bCs/>
                <w:iCs/>
                <w:color w:val="000000"/>
                <w:kern w:val="0"/>
                <w:sz w:val="24"/>
                <w:szCs w:val="24"/>
              </w:rPr>
              <w:t>日</w:t>
            </w:r>
            <w:r>
              <w:rPr>
                <w:rFonts w:asciiTheme="minorEastAsia" w:hAnsiTheme="minorEastAsia" w:cs="Times New Roman"/>
                <w:bCs/>
                <w:iCs/>
                <w:color w:val="000000"/>
                <w:kern w:val="0"/>
                <w:sz w:val="24"/>
                <w:szCs w:val="24"/>
              </w:rPr>
              <w:t>10:00-11:00</w:t>
            </w:r>
          </w:p>
        </w:tc>
      </w:tr>
      <w:tr w:rsidR="000E2355">
        <w:tc>
          <w:tcPr>
            <w:tcW w:w="2014" w:type="dxa"/>
            <w:shd w:val="clear" w:color="auto" w:fill="auto"/>
            <w:vAlign w:val="center"/>
          </w:tcPr>
          <w:p w:rsidR="000E2355" w:rsidRDefault="003913A1">
            <w:pPr>
              <w:snapToGrid w:val="0"/>
              <w:spacing w:line="300" w:lineRule="auto"/>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t>会议地点</w:t>
            </w:r>
          </w:p>
        </w:tc>
        <w:tc>
          <w:tcPr>
            <w:tcW w:w="7796" w:type="dxa"/>
            <w:shd w:val="clear" w:color="auto" w:fill="auto"/>
          </w:tcPr>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bCs/>
                <w:iCs/>
                <w:color w:val="000000"/>
                <w:kern w:val="0"/>
                <w:sz w:val="24"/>
                <w:szCs w:val="24"/>
              </w:rPr>
              <w:t>上海证券交易所上证路演中心</w:t>
            </w:r>
          </w:p>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bCs/>
                <w:iCs/>
                <w:color w:val="000000"/>
                <w:kern w:val="0"/>
                <w:sz w:val="24"/>
                <w:szCs w:val="24"/>
              </w:rPr>
              <w:t>（网址：</w:t>
            </w:r>
            <w:r>
              <w:rPr>
                <w:rFonts w:asciiTheme="minorEastAsia" w:hAnsiTheme="minorEastAsia" w:cs="Times New Roman"/>
                <w:bCs/>
                <w:iCs/>
                <w:color w:val="000000"/>
                <w:kern w:val="0"/>
                <w:sz w:val="24"/>
                <w:szCs w:val="24"/>
              </w:rPr>
              <w:t>http://roadshow.sseinfo.com/</w:t>
            </w:r>
            <w:r>
              <w:rPr>
                <w:rFonts w:asciiTheme="minorEastAsia" w:hAnsiTheme="minorEastAsia" w:cs="Times New Roman"/>
                <w:bCs/>
                <w:iCs/>
                <w:color w:val="000000"/>
                <w:kern w:val="0"/>
                <w:sz w:val="24"/>
                <w:szCs w:val="24"/>
              </w:rPr>
              <w:t>）</w:t>
            </w:r>
          </w:p>
        </w:tc>
      </w:tr>
      <w:tr w:rsidR="000E2355">
        <w:tc>
          <w:tcPr>
            <w:tcW w:w="2014" w:type="dxa"/>
            <w:shd w:val="clear" w:color="auto" w:fill="auto"/>
            <w:vAlign w:val="center"/>
          </w:tcPr>
          <w:p w:rsidR="000E2355" w:rsidRDefault="003913A1">
            <w:pPr>
              <w:snapToGrid w:val="0"/>
              <w:spacing w:line="300" w:lineRule="auto"/>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t>上市公司接待人员姓名</w:t>
            </w:r>
          </w:p>
        </w:tc>
        <w:tc>
          <w:tcPr>
            <w:tcW w:w="7796" w:type="dxa"/>
            <w:shd w:val="clear" w:color="auto" w:fill="auto"/>
          </w:tcPr>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bCs/>
                <w:iCs/>
                <w:color w:val="000000"/>
                <w:kern w:val="0"/>
                <w:sz w:val="24"/>
                <w:szCs w:val="24"/>
              </w:rPr>
              <w:t>董事、总经理：</w:t>
            </w:r>
            <w:r>
              <w:rPr>
                <w:rFonts w:asciiTheme="minorEastAsia" w:hAnsiTheme="minorEastAsia" w:cs="Times New Roman" w:hint="eastAsia"/>
                <w:bCs/>
                <w:iCs/>
                <w:color w:val="000000"/>
                <w:kern w:val="0"/>
                <w:sz w:val="24"/>
                <w:szCs w:val="24"/>
              </w:rPr>
              <w:t>王峥；</w:t>
            </w:r>
            <w:r>
              <w:rPr>
                <w:rFonts w:asciiTheme="minorEastAsia" w:hAnsiTheme="minorEastAsia" w:cs="Times New Roman"/>
                <w:bCs/>
                <w:iCs/>
                <w:color w:val="000000"/>
                <w:kern w:val="0"/>
                <w:sz w:val="24"/>
                <w:szCs w:val="24"/>
              </w:rPr>
              <w:t>独立董事：</w:t>
            </w:r>
            <w:r>
              <w:rPr>
                <w:rFonts w:asciiTheme="minorEastAsia" w:hAnsiTheme="minorEastAsia" w:cs="Times New Roman" w:hint="eastAsia"/>
                <w:bCs/>
                <w:iCs/>
                <w:color w:val="000000"/>
                <w:kern w:val="0"/>
                <w:sz w:val="24"/>
                <w:szCs w:val="24"/>
              </w:rPr>
              <w:t>于永生；独立董事：</w:t>
            </w:r>
            <w:r>
              <w:rPr>
                <w:rFonts w:asciiTheme="minorEastAsia" w:hAnsiTheme="minorEastAsia" w:cs="Times New Roman" w:hint="eastAsia"/>
                <w:bCs/>
                <w:iCs/>
                <w:color w:val="000000"/>
                <w:kern w:val="0"/>
                <w:sz w:val="24"/>
                <w:szCs w:val="24"/>
              </w:rPr>
              <w:t>潘士远</w:t>
            </w:r>
            <w:r>
              <w:rPr>
                <w:rFonts w:asciiTheme="minorEastAsia" w:hAnsiTheme="minorEastAsia" w:cs="Times New Roman" w:hint="eastAsia"/>
                <w:bCs/>
                <w:iCs/>
                <w:color w:val="000000"/>
                <w:kern w:val="0"/>
                <w:sz w:val="24"/>
                <w:szCs w:val="24"/>
              </w:rPr>
              <w:t>；</w:t>
            </w:r>
            <w:r>
              <w:rPr>
                <w:rFonts w:asciiTheme="minorEastAsia" w:hAnsiTheme="minorEastAsia" w:cs="Times New Roman"/>
                <w:bCs/>
                <w:iCs/>
                <w:color w:val="000000"/>
                <w:kern w:val="0"/>
                <w:sz w:val="24"/>
                <w:szCs w:val="24"/>
              </w:rPr>
              <w:t>副总经理：</w:t>
            </w:r>
            <w:r>
              <w:rPr>
                <w:rFonts w:asciiTheme="minorEastAsia" w:hAnsiTheme="minorEastAsia" w:cs="Times New Roman" w:hint="eastAsia"/>
                <w:bCs/>
                <w:iCs/>
                <w:color w:val="000000"/>
                <w:kern w:val="0"/>
                <w:sz w:val="24"/>
                <w:szCs w:val="24"/>
              </w:rPr>
              <w:t>洪其虎；董事会秘书：蒋伟；财务部部长：贺琦；业务部部长：</w:t>
            </w:r>
            <w:r>
              <w:rPr>
                <w:rFonts w:asciiTheme="minorEastAsia" w:hAnsiTheme="minorEastAsia" w:cs="Times New Roman" w:hint="eastAsia"/>
                <w:bCs/>
                <w:iCs/>
                <w:color w:val="000000"/>
                <w:kern w:val="0"/>
                <w:sz w:val="24"/>
                <w:szCs w:val="24"/>
              </w:rPr>
              <w:t>何海兴</w:t>
            </w:r>
          </w:p>
        </w:tc>
      </w:tr>
      <w:tr w:rsidR="000E2355">
        <w:trPr>
          <w:trHeight w:val="2701"/>
        </w:trPr>
        <w:tc>
          <w:tcPr>
            <w:tcW w:w="2014" w:type="dxa"/>
            <w:shd w:val="clear" w:color="auto" w:fill="auto"/>
            <w:vAlign w:val="center"/>
          </w:tcPr>
          <w:p w:rsidR="000E2355" w:rsidRDefault="003913A1">
            <w:pPr>
              <w:snapToGrid w:val="0"/>
              <w:spacing w:line="300" w:lineRule="auto"/>
              <w:jc w:val="left"/>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t>投资者关系活动主要内容介绍</w:t>
            </w:r>
          </w:p>
        </w:tc>
        <w:tc>
          <w:tcPr>
            <w:tcW w:w="7796" w:type="dxa"/>
            <w:shd w:val="clear" w:color="auto" w:fill="auto"/>
          </w:tcPr>
          <w:p w:rsidR="000E2355" w:rsidRDefault="003913A1">
            <w:pPr>
              <w:pStyle w:val="005"/>
              <w:spacing w:line="560" w:lineRule="exact"/>
              <w:rPr>
                <w:rFonts w:asciiTheme="minorEastAsia" w:eastAsiaTheme="minorEastAsia" w:hAnsiTheme="minorEastAsia"/>
                <w:b/>
                <w:szCs w:val="24"/>
              </w:rPr>
            </w:pPr>
            <w:r>
              <w:rPr>
                <w:rFonts w:asciiTheme="minorEastAsia" w:eastAsiaTheme="minorEastAsia" w:hAnsiTheme="minorEastAsia"/>
                <w:b/>
                <w:szCs w:val="24"/>
              </w:rPr>
              <w:t>交流内容主要如下：</w:t>
            </w:r>
          </w:p>
          <w:p w:rsidR="000E2355" w:rsidRDefault="003913A1">
            <w:pPr>
              <w:spacing w:line="560" w:lineRule="exact"/>
              <w:ind w:firstLineChars="200" w:firstLine="482"/>
              <w:rPr>
                <w:rFonts w:ascii="Calibri" w:eastAsia="宋体" w:hAnsi="Calibri" w:cs="Times New Roman"/>
                <w:b/>
              </w:rPr>
            </w:pPr>
            <w:r>
              <w:rPr>
                <w:rFonts w:ascii="宋体" w:hint="eastAsia"/>
                <w:b/>
                <w:sz w:val="24"/>
              </w:rPr>
              <w:t>1</w:t>
            </w:r>
            <w:r>
              <w:rPr>
                <w:rFonts w:ascii="宋体" w:hint="eastAsia"/>
                <w:b/>
                <w:sz w:val="24"/>
              </w:rPr>
              <w:t>、请具体介绍公司在上半年在智慧港口关键技术上的最新突破及其对运营效率的量化贡献。</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今年上半年，公司义乌（苏溪）国际枢纽港成功打造国内首个混行模式铁路场站自动驾驶示范工程；舟山甬舟集装箱码头有限公司依托云控平台实现运营效率跨越式提升，核心指标数据均创下宁波舟山港单体码头新纪录；鼠浪湖码头岱山离岛智控中心常态化进行“卸船机</w:t>
            </w:r>
            <w:r>
              <w:rPr>
                <w:rFonts w:ascii="宋体" w:hint="eastAsia"/>
                <w:sz w:val="24"/>
              </w:rPr>
              <w:t>+</w:t>
            </w:r>
            <w:r>
              <w:rPr>
                <w:rFonts w:ascii="宋体" w:hint="eastAsia"/>
                <w:sz w:val="24"/>
              </w:rPr>
              <w:t>斗装机”“</w:t>
            </w:r>
            <w:r>
              <w:rPr>
                <w:rFonts w:ascii="宋体" w:hint="eastAsia"/>
                <w:sz w:val="24"/>
              </w:rPr>
              <w:t>3+3</w:t>
            </w:r>
            <w:r>
              <w:rPr>
                <w:rFonts w:ascii="宋体" w:hint="eastAsia"/>
                <w:sz w:val="24"/>
              </w:rPr>
              <w:t>”离岛远控作业，作业效率达人工操作水平的</w:t>
            </w:r>
            <w:r>
              <w:rPr>
                <w:rFonts w:ascii="宋体" w:hint="eastAsia"/>
                <w:sz w:val="24"/>
              </w:rPr>
              <w:t>85%</w:t>
            </w:r>
            <w:r>
              <w:rPr>
                <w:rFonts w:ascii="宋体" w:hint="eastAsia"/>
                <w:sz w:val="24"/>
              </w:rPr>
              <w:t>；</w:t>
            </w:r>
            <w:r>
              <w:rPr>
                <w:rFonts w:ascii="宋体" w:hint="eastAsia"/>
                <w:sz w:val="24"/>
              </w:rPr>
              <w:t>AI</w:t>
            </w:r>
            <w:r>
              <w:rPr>
                <w:rFonts w:ascii="宋体" w:hint="eastAsia"/>
                <w:sz w:val="24"/>
              </w:rPr>
              <w:t>技术应用落实落稳，智能闸口系统铅封识别完成超</w:t>
            </w:r>
            <w:r>
              <w:rPr>
                <w:rFonts w:ascii="宋体" w:hint="eastAsia"/>
                <w:sz w:val="24"/>
              </w:rPr>
              <w:t>5</w:t>
            </w:r>
            <w:r>
              <w:rPr>
                <w:rFonts w:ascii="宋体" w:hint="eastAsia"/>
                <w:sz w:val="24"/>
              </w:rPr>
              <w:t>万条数据集构建，基于视觉大模型的安防检测准确率高达</w:t>
            </w:r>
            <w:r>
              <w:rPr>
                <w:rFonts w:ascii="宋体" w:hint="eastAsia"/>
                <w:sz w:val="24"/>
              </w:rPr>
              <w:t>99.31%</w:t>
            </w:r>
            <w:r>
              <w:rPr>
                <w:rFonts w:ascii="宋体" w:hint="eastAsia"/>
                <w:sz w:val="24"/>
              </w:rPr>
              <w:t>。感谢您的关注！</w:t>
            </w:r>
          </w:p>
          <w:p w:rsidR="000E2355" w:rsidRDefault="003913A1">
            <w:pPr>
              <w:spacing w:line="560" w:lineRule="exact"/>
              <w:ind w:firstLineChars="200" w:firstLine="482"/>
              <w:rPr>
                <w:rFonts w:ascii="Calibri"/>
                <w:b/>
              </w:rPr>
            </w:pPr>
            <w:r>
              <w:rPr>
                <w:rFonts w:ascii="宋体" w:hint="eastAsia"/>
                <w:b/>
                <w:sz w:val="24"/>
              </w:rPr>
              <w:t>2</w:t>
            </w:r>
            <w:r>
              <w:rPr>
                <w:rFonts w:ascii="宋体" w:hint="eastAsia"/>
                <w:b/>
                <w:sz w:val="24"/>
              </w:rPr>
              <w:t>、公司在绿色港口建设方面取得了哪些最新成果？</w:t>
            </w:r>
          </w:p>
          <w:p w:rsidR="000E2355" w:rsidRDefault="003913A1">
            <w:pPr>
              <w:spacing w:line="560" w:lineRule="exact"/>
              <w:ind w:firstLineChars="200" w:firstLine="480"/>
              <w:rPr>
                <w:rFonts w:ascii="宋体"/>
                <w:sz w:val="24"/>
              </w:rPr>
            </w:pPr>
            <w:r>
              <w:rPr>
                <w:rFonts w:ascii="宋体" w:hint="eastAsia"/>
                <w:sz w:val="24"/>
              </w:rPr>
              <w:lastRenderedPageBreak/>
              <w:t>答</w:t>
            </w:r>
            <w:r>
              <w:rPr>
                <w:rFonts w:ascii="宋体" w:hint="eastAsia"/>
                <w:sz w:val="24"/>
              </w:rPr>
              <w:t>:</w:t>
            </w:r>
            <w:r>
              <w:rPr>
                <w:rFonts w:ascii="宋体" w:hint="eastAsia"/>
                <w:sz w:val="24"/>
              </w:rPr>
              <w:t>尊</w:t>
            </w:r>
            <w:r>
              <w:rPr>
                <w:rFonts w:ascii="宋体" w:hint="eastAsia"/>
                <w:sz w:val="24"/>
              </w:rPr>
              <w:t>敬的投资者，您好</w:t>
            </w:r>
            <w:r w:rsidR="00DF7E33">
              <w:rPr>
                <w:rFonts w:ascii="宋体" w:hint="eastAsia"/>
                <w:sz w:val="24"/>
              </w:rPr>
              <w:t>！</w:t>
            </w:r>
            <w:r>
              <w:rPr>
                <w:rFonts w:ascii="宋体" w:hint="eastAsia"/>
                <w:sz w:val="24"/>
              </w:rPr>
              <w:t>今年上半年，嘉兴港区独山码头获全国首个通过中港协四星绿色港口现场评审殊荣的通用码头；宁波远洋牵头的“</w:t>
            </w:r>
            <w:r>
              <w:rPr>
                <w:rFonts w:ascii="宋体" w:hint="eastAsia"/>
                <w:sz w:val="24"/>
              </w:rPr>
              <w:t>740TEU</w:t>
            </w:r>
            <w:r>
              <w:rPr>
                <w:rFonts w:ascii="宋体" w:hint="eastAsia"/>
                <w:sz w:val="24"/>
              </w:rPr>
              <w:t>纯电动集装箱海船研究与应用”项目成功入选国家发展改革委办公厅公布的《绿色低碳先进技术示范项目清单（第二批）》。感谢您的关注！</w:t>
            </w:r>
          </w:p>
          <w:p w:rsidR="000E2355" w:rsidRDefault="003913A1">
            <w:pPr>
              <w:spacing w:line="560" w:lineRule="exact"/>
              <w:ind w:firstLineChars="200" w:firstLine="482"/>
              <w:rPr>
                <w:rFonts w:ascii="Calibri"/>
                <w:b/>
              </w:rPr>
            </w:pPr>
            <w:r>
              <w:rPr>
                <w:rFonts w:ascii="宋体" w:hint="eastAsia"/>
                <w:b/>
                <w:sz w:val="24"/>
              </w:rPr>
              <w:t>3</w:t>
            </w:r>
            <w:r>
              <w:rPr>
                <w:rFonts w:ascii="宋体" w:hint="eastAsia"/>
                <w:b/>
                <w:sz w:val="24"/>
              </w:rPr>
              <w:t>、公司在</w:t>
            </w:r>
            <w:r>
              <w:rPr>
                <w:rFonts w:ascii="宋体" w:hint="eastAsia"/>
                <w:b/>
                <w:sz w:val="24"/>
              </w:rPr>
              <w:t>ESG</w:t>
            </w:r>
            <w:r>
              <w:rPr>
                <w:rFonts w:ascii="宋体" w:hint="eastAsia"/>
                <w:b/>
                <w:sz w:val="24"/>
              </w:rPr>
              <w:t>建设方面有哪些进展？</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公司围绕“打造世界一流的</w:t>
            </w:r>
            <w:r>
              <w:rPr>
                <w:rFonts w:ascii="宋体" w:hint="eastAsia"/>
                <w:sz w:val="24"/>
              </w:rPr>
              <w:t>ESG</w:t>
            </w:r>
            <w:r>
              <w:rPr>
                <w:rFonts w:ascii="宋体" w:hint="eastAsia"/>
                <w:sz w:val="24"/>
              </w:rPr>
              <w:t>标杆和示范企业”目标，积极开展具有港口特色、与“双一流”建设相吻合的</w:t>
            </w:r>
            <w:r>
              <w:rPr>
                <w:rFonts w:ascii="宋体" w:hint="eastAsia"/>
                <w:sz w:val="24"/>
              </w:rPr>
              <w:t>ESG</w:t>
            </w:r>
            <w:r>
              <w:rPr>
                <w:rFonts w:ascii="宋体" w:hint="eastAsia"/>
                <w:sz w:val="24"/>
              </w:rPr>
              <w:t>工作。建立健全</w:t>
            </w:r>
            <w:r>
              <w:rPr>
                <w:rFonts w:ascii="宋体" w:hint="eastAsia"/>
                <w:sz w:val="24"/>
              </w:rPr>
              <w:t>ESG</w:t>
            </w:r>
            <w:r>
              <w:rPr>
                <w:rFonts w:ascii="宋体" w:hint="eastAsia"/>
                <w:sz w:val="24"/>
              </w:rPr>
              <w:t>管理制度体系，编制完成并发布了《股份公司</w:t>
            </w:r>
            <w:r>
              <w:rPr>
                <w:rFonts w:ascii="宋体" w:hint="eastAsia"/>
                <w:sz w:val="24"/>
              </w:rPr>
              <w:t>ESG</w:t>
            </w:r>
            <w:r>
              <w:rPr>
                <w:rFonts w:ascii="宋体" w:hint="eastAsia"/>
                <w:sz w:val="24"/>
              </w:rPr>
              <w:t>管理手册》，进一步提升</w:t>
            </w:r>
            <w:r>
              <w:rPr>
                <w:rFonts w:ascii="宋体" w:hint="eastAsia"/>
                <w:sz w:val="24"/>
              </w:rPr>
              <w:t>E</w:t>
            </w:r>
            <w:r>
              <w:rPr>
                <w:rFonts w:ascii="宋体" w:hint="eastAsia"/>
                <w:sz w:val="24"/>
              </w:rPr>
              <w:t>SG</w:t>
            </w:r>
            <w:r>
              <w:rPr>
                <w:rFonts w:ascii="宋体" w:hint="eastAsia"/>
                <w:sz w:val="24"/>
              </w:rPr>
              <w:t>管理规范化水平。积极落实监管部门要求，高质量披露公司</w:t>
            </w:r>
            <w:r>
              <w:rPr>
                <w:rFonts w:ascii="宋体" w:hint="eastAsia"/>
                <w:sz w:val="24"/>
              </w:rPr>
              <w:t>ESG</w:t>
            </w:r>
            <w:r>
              <w:rPr>
                <w:rFonts w:ascii="宋体" w:hint="eastAsia"/>
                <w:sz w:val="24"/>
              </w:rPr>
              <w:t>中英文报告。</w:t>
            </w:r>
            <w:r>
              <w:rPr>
                <w:rFonts w:ascii="宋体" w:hint="eastAsia"/>
                <w:sz w:val="24"/>
              </w:rPr>
              <w:t>2024</w:t>
            </w:r>
            <w:r>
              <w:rPr>
                <w:rFonts w:ascii="宋体" w:hint="eastAsia"/>
                <w:sz w:val="24"/>
              </w:rPr>
              <w:t>年度</w:t>
            </w:r>
            <w:r>
              <w:rPr>
                <w:rFonts w:ascii="宋体" w:hint="eastAsia"/>
                <w:sz w:val="24"/>
              </w:rPr>
              <w:t>ESG</w:t>
            </w:r>
            <w:r>
              <w:rPr>
                <w:rFonts w:ascii="宋体" w:hint="eastAsia"/>
                <w:sz w:val="24"/>
              </w:rPr>
              <w:t>报告发布后，公司在</w:t>
            </w:r>
            <w:r>
              <w:rPr>
                <w:rFonts w:ascii="宋体" w:hint="eastAsia"/>
                <w:sz w:val="24"/>
              </w:rPr>
              <w:t>Wind ESG</w:t>
            </w:r>
            <w:r>
              <w:rPr>
                <w:rFonts w:ascii="宋体" w:hint="eastAsia"/>
                <w:sz w:val="24"/>
              </w:rPr>
              <w:t>评级中跃升至</w:t>
            </w:r>
            <w:r>
              <w:rPr>
                <w:rFonts w:ascii="宋体" w:hint="eastAsia"/>
                <w:sz w:val="24"/>
              </w:rPr>
              <w:t>AA</w:t>
            </w:r>
            <w:r>
              <w:rPr>
                <w:rFonts w:ascii="宋体" w:hint="eastAsia"/>
                <w:sz w:val="24"/>
              </w:rPr>
              <w:t>级，实现了两年内从</w:t>
            </w:r>
            <w:r>
              <w:rPr>
                <w:rFonts w:ascii="宋体" w:hint="eastAsia"/>
                <w:sz w:val="24"/>
              </w:rPr>
              <w:t>BB</w:t>
            </w:r>
            <w:r>
              <w:rPr>
                <w:rFonts w:ascii="宋体" w:hint="eastAsia"/>
                <w:sz w:val="24"/>
              </w:rPr>
              <w:t>到</w:t>
            </w:r>
            <w:r>
              <w:rPr>
                <w:rFonts w:ascii="宋体" w:hint="eastAsia"/>
                <w:sz w:val="24"/>
              </w:rPr>
              <w:t>A</w:t>
            </w:r>
            <w:r>
              <w:rPr>
                <w:rFonts w:ascii="宋体" w:hint="eastAsia"/>
                <w:sz w:val="24"/>
              </w:rPr>
              <w:t>再到</w:t>
            </w:r>
            <w:r>
              <w:rPr>
                <w:rFonts w:ascii="宋体" w:hint="eastAsia"/>
                <w:sz w:val="24"/>
              </w:rPr>
              <w:t>AA</w:t>
            </w:r>
            <w:r>
              <w:rPr>
                <w:rFonts w:ascii="宋体" w:hint="eastAsia"/>
                <w:sz w:val="24"/>
              </w:rPr>
              <w:t>的“两连跳”。感谢您的关注！</w:t>
            </w:r>
          </w:p>
          <w:p w:rsidR="000E2355" w:rsidRDefault="003913A1">
            <w:pPr>
              <w:spacing w:line="560" w:lineRule="exact"/>
              <w:ind w:firstLineChars="200" w:firstLine="482"/>
              <w:rPr>
                <w:rFonts w:ascii="Calibri"/>
                <w:b/>
              </w:rPr>
            </w:pPr>
            <w:r>
              <w:rPr>
                <w:rFonts w:ascii="宋体" w:hint="eastAsia"/>
                <w:b/>
                <w:sz w:val="24"/>
              </w:rPr>
              <w:t>4</w:t>
            </w:r>
            <w:r>
              <w:rPr>
                <w:rFonts w:ascii="宋体" w:hint="eastAsia"/>
                <w:b/>
                <w:sz w:val="24"/>
              </w:rPr>
              <w:t>、公司具体通过哪些举措发挥独立董事“参与决策、监督制衡、专业咨询”的作用？</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公司认真贯彻落实国办和证监会有关独董履职的实施意见和管理办法，及时修订《独立董事工作制度》，专门制定了《</w:t>
            </w:r>
            <w:r>
              <w:rPr>
                <w:rFonts w:ascii="宋体" w:hint="eastAsia"/>
                <w:sz w:val="24"/>
              </w:rPr>
              <w:t>2024</w:t>
            </w:r>
            <w:r>
              <w:rPr>
                <w:rFonts w:ascii="宋体" w:hint="eastAsia"/>
                <w:sz w:val="24"/>
              </w:rPr>
              <w:t>年度独立董事工作方案》，充分发挥独立董事专业能力、“参与决策、监督制衡、专业咨询”作用。</w:t>
            </w:r>
            <w:r>
              <w:rPr>
                <w:rFonts w:ascii="宋体" w:hint="eastAsia"/>
                <w:sz w:val="24"/>
              </w:rPr>
              <w:t>20</w:t>
            </w:r>
            <w:r>
              <w:rPr>
                <w:rFonts w:ascii="宋体" w:hint="eastAsia"/>
                <w:sz w:val="24"/>
              </w:rPr>
              <w:t>24</w:t>
            </w:r>
            <w:r>
              <w:rPr>
                <w:rFonts w:ascii="宋体" w:hint="eastAsia"/>
                <w:sz w:val="24"/>
              </w:rPr>
              <w:t>年以来，为严格落实独立董事在上市公司现场工作不少于</w:t>
            </w:r>
            <w:r>
              <w:rPr>
                <w:rFonts w:ascii="宋体" w:hint="eastAsia"/>
                <w:sz w:val="24"/>
              </w:rPr>
              <w:t>15</w:t>
            </w:r>
            <w:r>
              <w:rPr>
                <w:rFonts w:ascii="宋体" w:hint="eastAsia"/>
                <w:sz w:val="24"/>
              </w:rPr>
              <w:t>天的要求，独立董事多次走进基层公司开展调研活动，包括首次开展“</w:t>
            </w:r>
            <w:r>
              <w:rPr>
                <w:rFonts w:ascii="宋体" w:hint="eastAsia"/>
                <w:sz w:val="24"/>
              </w:rPr>
              <w:t>A+A</w:t>
            </w:r>
            <w:r>
              <w:rPr>
                <w:rFonts w:ascii="宋体" w:hint="eastAsia"/>
                <w:sz w:val="24"/>
              </w:rPr>
              <w:t>”模式下两级上市公司独立董事联合交流调研活动，进一步增进独立董事对公司的了解，提升独立董事履职能力，为公司科学决策发挥积极作用。每次调研活动都能做到“六有”，即</w:t>
            </w:r>
            <w:r>
              <w:rPr>
                <w:rFonts w:ascii="宋体" w:hint="eastAsia"/>
                <w:sz w:val="24"/>
              </w:rPr>
              <w:lastRenderedPageBreak/>
              <w:t>“有计划、有通知、有要求、有会议、有发言、有调研报告”。感谢您的关注！</w:t>
            </w:r>
          </w:p>
          <w:p w:rsidR="000E2355" w:rsidRDefault="003913A1">
            <w:pPr>
              <w:spacing w:line="560" w:lineRule="exact"/>
              <w:ind w:firstLineChars="200" w:firstLine="482"/>
              <w:rPr>
                <w:rFonts w:ascii="Calibri"/>
                <w:b/>
              </w:rPr>
            </w:pPr>
            <w:r>
              <w:rPr>
                <w:rFonts w:ascii="宋体" w:hint="eastAsia"/>
                <w:b/>
                <w:sz w:val="24"/>
              </w:rPr>
              <w:t>5</w:t>
            </w:r>
            <w:r>
              <w:rPr>
                <w:rFonts w:ascii="宋体" w:hint="eastAsia"/>
                <w:b/>
                <w:sz w:val="24"/>
              </w:rPr>
              <w:t>、请说明今年上半年公司南北两翼港口企业在集装箱和货物吞吐量方面的增长情况及亮点。</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报告期内，公司南北两翼港口企业持续发力，温州港</w:t>
            </w:r>
            <w:r>
              <w:rPr>
                <w:rFonts w:ascii="宋体" w:hint="eastAsia"/>
                <w:sz w:val="24"/>
              </w:rPr>
              <w:t>集团集装箱吞吐量完成</w:t>
            </w:r>
            <w:r>
              <w:rPr>
                <w:rFonts w:ascii="宋体" w:hint="eastAsia"/>
                <w:sz w:val="24"/>
              </w:rPr>
              <w:t>77.5</w:t>
            </w:r>
            <w:r>
              <w:rPr>
                <w:rFonts w:ascii="宋体" w:hint="eastAsia"/>
                <w:sz w:val="24"/>
              </w:rPr>
              <w:t>万标准箱，同比增长</w:t>
            </w:r>
            <w:r>
              <w:rPr>
                <w:rFonts w:ascii="宋体" w:hint="eastAsia"/>
                <w:sz w:val="24"/>
              </w:rPr>
              <w:t>10.3%</w:t>
            </w:r>
            <w:r>
              <w:rPr>
                <w:rFonts w:ascii="宋体" w:hint="eastAsia"/>
                <w:sz w:val="24"/>
              </w:rPr>
              <w:t>，货物吞吐量完成</w:t>
            </w:r>
            <w:r>
              <w:rPr>
                <w:rFonts w:ascii="宋体" w:hint="eastAsia"/>
                <w:sz w:val="24"/>
              </w:rPr>
              <w:t>2239.7</w:t>
            </w:r>
            <w:r>
              <w:rPr>
                <w:rFonts w:ascii="宋体" w:hint="eastAsia"/>
                <w:sz w:val="24"/>
              </w:rPr>
              <w:t>万吨，同比增长</w:t>
            </w:r>
            <w:r>
              <w:rPr>
                <w:rFonts w:ascii="宋体" w:hint="eastAsia"/>
                <w:sz w:val="24"/>
              </w:rPr>
              <w:t>8.0%</w:t>
            </w:r>
            <w:r>
              <w:rPr>
                <w:rFonts w:ascii="宋体" w:hint="eastAsia"/>
                <w:sz w:val="24"/>
              </w:rPr>
              <w:t>；台州港务集装箱吞吐量完成</w:t>
            </w:r>
            <w:r>
              <w:rPr>
                <w:rFonts w:ascii="宋体" w:hint="eastAsia"/>
                <w:sz w:val="24"/>
              </w:rPr>
              <w:t>41.3</w:t>
            </w:r>
            <w:r>
              <w:rPr>
                <w:rFonts w:ascii="宋体" w:hint="eastAsia"/>
                <w:sz w:val="24"/>
              </w:rPr>
              <w:t>万标准箱，同比增长</w:t>
            </w:r>
            <w:r>
              <w:rPr>
                <w:rFonts w:ascii="宋体" w:hint="eastAsia"/>
                <w:sz w:val="24"/>
              </w:rPr>
              <w:t>1.1%</w:t>
            </w:r>
            <w:r>
              <w:rPr>
                <w:rFonts w:ascii="宋体" w:hint="eastAsia"/>
                <w:sz w:val="24"/>
              </w:rPr>
              <w:t>，货物吞吐量完成</w:t>
            </w:r>
            <w:r>
              <w:rPr>
                <w:rFonts w:ascii="宋体" w:hint="eastAsia"/>
                <w:sz w:val="24"/>
              </w:rPr>
              <w:t>1640.2</w:t>
            </w:r>
            <w:r>
              <w:rPr>
                <w:rFonts w:ascii="宋体" w:hint="eastAsia"/>
                <w:sz w:val="24"/>
              </w:rPr>
              <w:t>万吨，同比增长</w:t>
            </w:r>
            <w:r>
              <w:rPr>
                <w:rFonts w:ascii="宋体" w:hint="eastAsia"/>
                <w:sz w:val="24"/>
              </w:rPr>
              <w:t>8.0%</w:t>
            </w:r>
            <w:r>
              <w:rPr>
                <w:rFonts w:ascii="宋体" w:hint="eastAsia"/>
                <w:sz w:val="24"/>
              </w:rPr>
              <w:t>；嘉兴港务集装箱吞吐量完成</w:t>
            </w:r>
            <w:r>
              <w:rPr>
                <w:rFonts w:ascii="宋体" w:hint="eastAsia"/>
                <w:sz w:val="24"/>
              </w:rPr>
              <w:t>187.0</w:t>
            </w:r>
            <w:r>
              <w:rPr>
                <w:rFonts w:ascii="宋体" w:hint="eastAsia"/>
                <w:sz w:val="24"/>
              </w:rPr>
              <w:t>万标准箱，同比增长</w:t>
            </w:r>
            <w:r>
              <w:rPr>
                <w:rFonts w:ascii="宋体" w:hint="eastAsia"/>
                <w:sz w:val="24"/>
              </w:rPr>
              <w:t>20.4%</w:t>
            </w:r>
            <w:r>
              <w:rPr>
                <w:rFonts w:ascii="宋体" w:hint="eastAsia"/>
                <w:sz w:val="24"/>
              </w:rPr>
              <w:t>，货物吞吐量完成</w:t>
            </w:r>
            <w:r>
              <w:rPr>
                <w:rFonts w:ascii="宋体" w:hint="eastAsia"/>
                <w:sz w:val="24"/>
              </w:rPr>
              <w:t>5105.3</w:t>
            </w:r>
            <w:r>
              <w:rPr>
                <w:rFonts w:ascii="宋体" w:hint="eastAsia"/>
                <w:sz w:val="24"/>
              </w:rPr>
              <w:t>万吨，同比增长</w:t>
            </w:r>
            <w:r>
              <w:rPr>
                <w:rFonts w:ascii="宋体" w:hint="eastAsia"/>
                <w:sz w:val="24"/>
              </w:rPr>
              <w:t>1.0%</w:t>
            </w:r>
            <w:r>
              <w:rPr>
                <w:rFonts w:ascii="宋体" w:hint="eastAsia"/>
                <w:sz w:val="24"/>
              </w:rPr>
              <w:t>。感谢您的关注。</w:t>
            </w:r>
          </w:p>
          <w:p w:rsidR="000E2355" w:rsidRDefault="003913A1">
            <w:pPr>
              <w:spacing w:line="560" w:lineRule="exact"/>
              <w:ind w:firstLineChars="200" w:firstLine="482"/>
              <w:rPr>
                <w:rFonts w:ascii="Calibri"/>
                <w:b/>
              </w:rPr>
            </w:pPr>
            <w:r>
              <w:rPr>
                <w:rFonts w:ascii="宋体" w:hint="eastAsia"/>
                <w:b/>
                <w:sz w:val="24"/>
              </w:rPr>
              <w:t>6</w:t>
            </w:r>
            <w:r>
              <w:rPr>
                <w:rFonts w:ascii="宋体" w:hint="eastAsia"/>
                <w:b/>
                <w:sz w:val="24"/>
              </w:rPr>
              <w:t>、请介绍下这次中期分红的整体情况，另外以往分红情况也可以说下。</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本次中期分红是公司积极履行上市公司社会责任，进一步回报投资者做出的决定，待</w:t>
            </w:r>
            <w:r>
              <w:rPr>
                <w:rFonts w:ascii="宋体" w:hint="eastAsia"/>
                <w:sz w:val="24"/>
              </w:rPr>
              <w:t>股东大会审议通过后正式实施。经公司第六届董事会第十八次会议审议，拟向全体股东每</w:t>
            </w:r>
            <w:r>
              <w:rPr>
                <w:rFonts w:ascii="宋体" w:hint="eastAsia"/>
                <w:sz w:val="24"/>
              </w:rPr>
              <w:t>10</w:t>
            </w:r>
            <w:r>
              <w:rPr>
                <w:rFonts w:ascii="宋体" w:hint="eastAsia"/>
                <w:sz w:val="24"/>
              </w:rPr>
              <w:t>股派发现金红利人民币</w:t>
            </w:r>
            <w:r>
              <w:rPr>
                <w:rFonts w:ascii="宋体" w:hint="eastAsia"/>
                <w:sz w:val="24"/>
              </w:rPr>
              <w:t>0.30</w:t>
            </w:r>
            <w:r>
              <w:rPr>
                <w:rFonts w:ascii="宋体" w:hint="eastAsia"/>
                <w:sz w:val="24"/>
              </w:rPr>
              <w:t>元</w:t>
            </w:r>
            <w:r>
              <w:rPr>
                <w:rFonts w:ascii="宋体" w:hint="eastAsia"/>
                <w:sz w:val="24"/>
              </w:rPr>
              <w:t>(</w:t>
            </w:r>
            <w:r>
              <w:rPr>
                <w:rFonts w:ascii="宋体" w:hint="eastAsia"/>
                <w:sz w:val="24"/>
              </w:rPr>
              <w:t>含税</w:t>
            </w:r>
            <w:r>
              <w:rPr>
                <w:rFonts w:ascii="宋体" w:hint="eastAsia"/>
                <w:sz w:val="24"/>
              </w:rPr>
              <w:t>)</w:t>
            </w:r>
            <w:r>
              <w:rPr>
                <w:rFonts w:ascii="宋体" w:hint="eastAsia"/>
                <w:sz w:val="24"/>
              </w:rPr>
              <w:t>，合计拟派发现金红利约人民币</w:t>
            </w:r>
            <w:r>
              <w:rPr>
                <w:rFonts w:ascii="宋体" w:hint="eastAsia"/>
                <w:sz w:val="24"/>
              </w:rPr>
              <w:t>583,632</w:t>
            </w:r>
            <w:r>
              <w:rPr>
                <w:rFonts w:ascii="宋体" w:hint="eastAsia"/>
                <w:sz w:val="24"/>
              </w:rPr>
              <w:t>千元</w:t>
            </w:r>
            <w:r>
              <w:rPr>
                <w:rFonts w:ascii="宋体" w:hint="eastAsia"/>
                <w:sz w:val="24"/>
              </w:rPr>
              <w:t>(</w:t>
            </w:r>
            <w:r>
              <w:rPr>
                <w:rFonts w:ascii="宋体" w:hint="eastAsia"/>
                <w:sz w:val="24"/>
              </w:rPr>
              <w:t>含税</w:t>
            </w:r>
            <w:r>
              <w:rPr>
                <w:rFonts w:ascii="宋体" w:hint="eastAsia"/>
                <w:sz w:val="24"/>
              </w:rPr>
              <w:t>)</w:t>
            </w:r>
            <w:r>
              <w:rPr>
                <w:rFonts w:ascii="宋体" w:hint="eastAsia"/>
                <w:sz w:val="24"/>
              </w:rPr>
              <w:t>。公司上市至今已累计向股东分派现金股利</w:t>
            </w:r>
            <w:r>
              <w:rPr>
                <w:rFonts w:ascii="宋体" w:hint="eastAsia"/>
                <w:sz w:val="24"/>
              </w:rPr>
              <w:t>182.6</w:t>
            </w:r>
            <w:r>
              <w:rPr>
                <w:rFonts w:ascii="宋体" w:hint="eastAsia"/>
                <w:sz w:val="24"/>
              </w:rPr>
              <w:t>亿元，早在上市第九年时，已把公司</w:t>
            </w:r>
            <w:r>
              <w:rPr>
                <w:rFonts w:ascii="宋体" w:hint="eastAsia"/>
                <w:sz w:val="24"/>
              </w:rPr>
              <w:t>IPO</w:t>
            </w:r>
            <w:r>
              <w:rPr>
                <w:rFonts w:ascii="宋体" w:hint="eastAsia"/>
                <w:sz w:val="24"/>
              </w:rPr>
              <w:t>时募集的</w:t>
            </w:r>
            <w:r>
              <w:rPr>
                <w:rFonts w:ascii="宋体" w:hint="eastAsia"/>
                <w:sz w:val="24"/>
              </w:rPr>
              <w:t>74</w:t>
            </w:r>
            <w:r>
              <w:rPr>
                <w:rFonts w:ascii="宋体" w:hint="eastAsia"/>
                <w:sz w:val="24"/>
              </w:rPr>
              <w:t>亿元资金全部返回给投资者，尤其是近七年，公司每年的现金分红率均达到可分配利润的</w:t>
            </w:r>
            <w:r>
              <w:rPr>
                <w:rFonts w:ascii="宋体" w:hint="eastAsia"/>
                <w:sz w:val="24"/>
              </w:rPr>
              <w:t>60%</w:t>
            </w:r>
            <w:r>
              <w:rPr>
                <w:rFonts w:ascii="宋体" w:hint="eastAsia"/>
                <w:sz w:val="24"/>
              </w:rPr>
              <w:t>，进一步保障了广大投资者尤其是中小投资者的利益，</w:t>
            </w:r>
            <w:r>
              <w:rPr>
                <w:rFonts w:ascii="宋体" w:hint="eastAsia"/>
                <w:sz w:val="24"/>
              </w:rPr>
              <w:t>2024</w:t>
            </w:r>
            <w:r>
              <w:rPr>
                <w:rFonts w:ascii="宋体" w:hint="eastAsia"/>
                <w:sz w:val="24"/>
              </w:rPr>
              <w:t>年度公司发放现金股利</w:t>
            </w:r>
            <w:r>
              <w:rPr>
                <w:rFonts w:ascii="宋体" w:hint="eastAsia"/>
                <w:sz w:val="24"/>
              </w:rPr>
              <w:t>21</w:t>
            </w:r>
            <w:r>
              <w:rPr>
                <w:rFonts w:ascii="宋体" w:hint="eastAsia"/>
                <w:sz w:val="24"/>
              </w:rPr>
              <w:t>亿元，创上市以来新高。为此，公司多次入选中国上市协会年度</w:t>
            </w:r>
            <w:r>
              <w:rPr>
                <w:rFonts w:ascii="宋体" w:hint="eastAsia"/>
                <w:sz w:val="24"/>
              </w:rPr>
              <w:t>A</w:t>
            </w:r>
            <w:r>
              <w:rPr>
                <w:rFonts w:ascii="宋体" w:hint="eastAsia"/>
                <w:sz w:val="24"/>
              </w:rPr>
              <w:t>股上市公司现金分红</w:t>
            </w:r>
            <w:r>
              <w:rPr>
                <w:rFonts w:ascii="宋体" w:hint="eastAsia"/>
                <w:sz w:val="24"/>
              </w:rPr>
              <w:t>榜单。感谢您的关注！</w:t>
            </w:r>
          </w:p>
          <w:p w:rsidR="000E2355" w:rsidRDefault="003913A1">
            <w:pPr>
              <w:spacing w:line="560" w:lineRule="exact"/>
              <w:ind w:firstLineChars="200" w:firstLine="482"/>
              <w:rPr>
                <w:rFonts w:ascii="Calibri"/>
                <w:b/>
              </w:rPr>
            </w:pPr>
            <w:r>
              <w:rPr>
                <w:rFonts w:ascii="宋体" w:hint="eastAsia"/>
                <w:b/>
                <w:sz w:val="24"/>
              </w:rPr>
              <w:t>7</w:t>
            </w:r>
            <w:r>
              <w:rPr>
                <w:rFonts w:ascii="宋体" w:hint="eastAsia"/>
                <w:b/>
                <w:sz w:val="24"/>
              </w:rPr>
              <w:t>、能否介绍一下报告期内宁波港在口岸便利化方面取得的最新进</w:t>
            </w:r>
            <w:r>
              <w:rPr>
                <w:rFonts w:ascii="宋体" w:hint="eastAsia"/>
                <w:b/>
                <w:sz w:val="24"/>
              </w:rPr>
              <w:lastRenderedPageBreak/>
              <w:t>展？</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报告期内，公司重点推进各项口岸便利化措施，包括开展口岸单位联合登船检查、大力推广浙“</w:t>
            </w:r>
            <w:r>
              <w:rPr>
                <w:rFonts w:ascii="宋体" w:hint="eastAsia"/>
                <w:sz w:val="24"/>
              </w:rPr>
              <w:t>e</w:t>
            </w:r>
            <w:r>
              <w:rPr>
                <w:rFonts w:ascii="宋体" w:hint="eastAsia"/>
                <w:sz w:val="24"/>
              </w:rPr>
              <w:t>”港通、“第六港区”建设等，宁波港域入境船舶预检通过率逐月提高，干支线集装箱船舶平均等开工、等离时间均有明显下降，其中：全港集装箱船舶平均待泊时间同比下降</w:t>
            </w:r>
            <w:r>
              <w:rPr>
                <w:rFonts w:ascii="宋体" w:hint="eastAsia"/>
                <w:sz w:val="24"/>
              </w:rPr>
              <w:t>7.32%</w:t>
            </w:r>
            <w:r>
              <w:rPr>
                <w:rFonts w:ascii="宋体" w:hint="eastAsia"/>
                <w:sz w:val="24"/>
              </w:rPr>
              <w:t>；全港平均在泊效率提升</w:t>
            </w:r>
            <w:r>
              <w:rPr>
                <w:rFonts w:ascii="宋体" w:hint="eastAsia"/>
                <w:sz w:val="24"/>
              </w:rPr>
              <w:t>7.46%</w:t>
            </w:r>
            <w:r>
              <w:rPr>
                <w:rFonts w:ascii="宋体" w:hint="eastAsia"/>
                <w:sz w:val="24"/>
              </w:rPr>
              <w:t>。感谢您的关注。</w:t>
            </w:r>
          </w:p>
          <w:p w:rsidR="000E2355" w:rsidRDefault="003913A1">
            <w:pPr>
              <w:spacing w:line="560" w:lineRule="exact"/>
              <w:ind w:firstLineChars="200" w:firstLine="482"/>
              <w:rPr>
                <w:rFonts w:ascii="Calibri"/>
              </w:rPr>
            </w:pPr>
            <w:r>
              <w:rPr>
                <w:rFonts w:ascii="宋体" w:hint="eastAsia"/>
                <w:b/>
                <w:sz w:val="24"/>
              </w:rPr>
              <w:t>8</w:t>
            </w:r>
            <w:r>
              <w:rPr>
                <w:rFonts w:ascii="宋体" w:hint="eastAsia"/>
                <w:b/>
                <w:sz w:val="24"/>
              </w:rPr>
              <w:t>、您好，请问公司今年有扩展其他业务的打算吗？</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多年来公司持续做大做优做强港航</w:t>
            </w:r>
            <w:r>
              <w:rPr>
                <w:rFonts w:ascii="宋体" w:hint="eastAsia"/>
                <w:sz w:val="24"/>
              </w:rPr>
              <w:t>主业，下一步公司将继续围绕主业创新拓展相关业务，具体请关注公司公告。感谢您的关注！</w:t>
            </w:r>
          </w:p>
          <w:p w:rsidR="000E2355" w:rsidRDefault="003913A1">
            <w:pPr>
              <w:spacing w:line="560" w:lineRule="exact"/>
              <w:ind w:firstLineChars="200" w:firstLine="482"/>
              <w:rPr>
                <w:rFonts w:ascii="Calibri"/>
                <w:b/>
              </w:rPr>
            </w:pPr>
            <w:r>
              <w:rPr>
                <w:rFonts w:ascii="宋体" w:hint="eastAsia"/>
                <w:b/>
                <w:sz w:val="24"/>
              </w:rPr>
              <w:t>9</w:t>
            </w:r>
            <w:r>
              <w:rPr>
                <w:rFonts w:ascii="宋体" w:hint="eastAsia"/>
                <w:b/>
                <w:sz w:val="24"/>
              </w:rPr>
              <w:t>、请问公司</w:t>
            </w:r>
            <w:r>
              <w:rPr>
                <w:rFonts w:ascii="宋体" w:hint="eastAsia"/>
                <w:b/>
                <w:sz w:val="24"/>
              </w:rPr>
              <w:t>2025</w:t>
            </w:r>
            <w:r>
              <w:rPr>
                <w:rFonts w:ascii="宋体" w:hint="eastAsia"/>
                <w:b/>
                <w:sz w:val="24"/>
              </w:rPr>
              <w:t>年上半年营收情况如何？</w:t>
            </w:r>
            <w:r>
              <w:rPr>
                <w:rFonts w:ascii="宋体" w:hint="eastAsia"/>
                <w:b/>
                <w:sz w:val="24"/>
              </w:rPr>
              <w:t xml:space="preserve"> </w:t>
            </w:r>
            <w:r>
              <w:rPr>
                <w:rFonts w:ascii="宋体" w:hint="eastAsia"/>
                <w:b/>
                <w:sz w:val="24"/>
              </w:rPr>
              <w:t>是否完成预期了呢</w:t>
            </w:r>
            <w:r>
              <w:rPr>
                <w:rFonts w:ascii="宋体" w:hint="eastAsia"/>
                <w:b/>
                <w:sz w:val="24"/>
              </w:rPr>
              <w:t>?</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公司</w:t>
            </w:r>
            <w:r>
              <w:rPr>
                <w:rFonts w:ascii="宋体" w:hint="eastAsia"/>
                <w:sz w:val="24"/>
              </w:rPr>
              <w:t>2025</w:t>
            </w:r>
            <w:r>
              <w:rPr>
                <w:rFonts w:ascii="宋体" w:hint="eastAsia"/>
                <w:sz w:val="24"/>
              </w:rPr>
              <w:t>年上半年完成营业收入</w:t>
            </w:r>
            <w:r>
              <w:rPr>
                <w:rFonts w:ascii="宋体" w:hint="eastAsia"/>
                <w:sz w:val="24"/>
              </w:rPr>
              <w:t>149</w:t>
            </w:r>
            <w:r>
              <w:rPr>
                <w:rFonts w:ascii="宋体" w:hint="eastAsia"/>
                <w:sz w:val="24"/>
              </w:rPr>
              <w:t>亿元，同比增长</w:t>
            </w:r>
            <w:r>
              <w:rPr>
                <w:rFonts w:ascii="宋体" w:hint="eastAsia"/>
                <w:sz w:val="24"/>
              </w:rPr>
              <w:t>3.06%</w:t>
            </w:r>
            <w:r>
              <w:rPr>
                <w:rFonts w:ascii="宋体" w:hint="eastAsia"/>
                <w:sz w:val="24"/>
              </w:rPr>
              <w:t>，为年度计划的</w:t>
            </w:r>
            <w:r>
              <w:rPr>
                <w:rFonts w:ascii="宋体" w:hint="eastAsia"/>
                <w:sz w:val="24"/>
              </w:rPr>
              <w:t>50.5%</w:t>
            </w:r>
            <w:r>
              <w:rPr>
                <w:rFonts w:ascii="宋体" w:hint="eastAsia"/>
                <w:sz w:val="24"/>
              </w:rPr>
              <w:t>，实现了“时间过半，任务过半”。感谢您对公司的关注。</w:t>
            </w:r>
          </w:p>
          <w:p w:rsidR="000E2355" w:rsidRDefault="003913A1">
            <w:pPr>
              <w:spacing w:line="560" w:lineRule="exact"/>
              <w:ind w:firstLineChars="200" w:firstLine="482"/>
              <w:rPr>
                <w:rFonts w:ascii="Calibri"/>
                <w:b/>
              </w:rPr>
            </w:pPr>
            <w:r>
              <w:rPr>
                <w:rFonts w:ascii="宋体" w:hint="eastAsia"/>
                <w:b/>
                <w:sz w:val="24"/>
              </w:rPr>
              <w:t>10</w:t>
            </w:r>
            <w:r>
              <w:rPr>
                <w:rFonts w:ascii="宋体" w:hint="eastAsia"/>
                <w:b/>
                <w:sz w:val="24"/>
              </w:rPr>
              <w:t>、您好，请问公司上半年净利润增长</w:t>
            </w:r>
            <w:r>
              <w:rPr>
                <w:rFonts w:ascii="宋体" w:hint="eastAsia"/>
                <w:b/>
                <w:sz w:val="24"/>
              </w:rPr>
              <w:t>16.37%</w:t>
            </w:r>
            <w:r>
              <w:rPr>
                <w:rFonts w:ascii="宋体" w:hint="eastAsia"/>
                <w:b/>
                <w:sz w:val="24"/>
              </w:rPr>
              <w:t>有哪些原因？</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sidR="00DF7E33">
              <w:rPr>
                <w:rFonts w:ascii="宋体" w:hint="eastAsia"/>
                <w:sz w:val="24"/>
              </w:rPr>
              <w:t>！</w:t>
            </w:r>
            <w:r>
              <w:rPr>
                <w:rFonts w:ascii="宋体" w:hint="eastAsia"/>
                <w:sz w:val="24"/>
              </w:rPr>
              <w:t>2025</w:t>
            </w:r>
            <w:r>
              <w:rPr>
                <w:rFonts w:ascii="宋体" w:hint="eastAsia"/>
                <w:sz w:val="24"/>
              </w:rPr>
              <w:t>年上半年，公司全力以赴跑市场、抓经营、促生产，公司货物吞吐量完成</w:t>
            </w:r>
            <w:r>
              <w:rPr>
                <w:rFonts w:ascii="宋体" w:hint="eastAsia"/>
                <w:sz w:val="24"/>
              </w:rPr>
              <w:t>6.01</w:t>
            </w:r>
            <w:r>
              <w:rPr>
                <w:rFonts w:ascii="宋体" w:hint="eastAsia"/>
                <w:sz w:val="24"/>
              </w:rPr>
              <w:t>亿吨，同比增长</w:t>
            </w:r>
            <w:r>
              <w:rPr>
                <w:rFonts w:ascii="宋体" w:hint="eastAsia"/>
                <w:sz w:val="24"/>
              </w:rPr>
              <w:t>4.7%</w:t>
            </w:r>
            <w:r>
              <w:rPr>
                <w:rFonts w:ascii="宋体" w:hint="eastAsia"/>
                <w:sz w:val="24"/>
              </w:rPr>
              <w:t>，集装箱吞吐</w:t>
            </w:r>
            <w:r>
              <w:rPr>
                <w:rFonts w:ascii="宋体" w:hint="eastAsia"/>
                <w:sz w:val="24"/>
              </w:rPr>
              <w:t>量完成</w:t>
            </w:r>
            <w:r>
              <w:rPr>
                <w:rFonts w:ascii="宋体" w:hint="eastAsia"/>
                <w:sz w:val="24"/>
              </w:rPr>
              <w:t>2546.8</w:t>
            </w:r>
            <w:r>
              <w:rPr>
                <w:rFonts w:ascii="宋体" w:hint="eastAsia"/>
                <w:sz w:val="24"/>
              </w:rPr>
              <w:t>万标准箱，同比增长</w:t>
            </w:r>
            <w:r>
              <w:rPr>
                <w:rFonts w:ascii="宋体" w:hint="eastAsia"/>
                <w:sz w:val="24"/>
              </w:rPr>
              <w:t>9.8%</w:t>
            </w:r>
            <w:r>
              <w:rPr>
                <w:rFonts w:ascii="宋体" w:hint="eastAsia"/>
                <w:sz w:val="24"/>
              </w:rPr>
              <w:t>，生产量的增长促进收入提高，同时公司持续强化成本管控，业务量增加和成本管控双向发力为利润增长做出贡献。感谢您对公司的关注。</w:t>
            </w:r>
          </w:p>
          <w:p w:rsidR="000E2355" w:rsidRDefault="003913A1">
            <w:pPr>
              <w:spacing w:line="560" w:lineRule="exact"/>
              <w:ind w:firstLineChars="200" w:firstLine="482"/>
              <w:rPr>
                <w:rFonts w:ascii="Calibri"/>
                <w:b/>
              </w:rPr>
            </w:pPr>
            <w:r>
              <w:rPr>
                <w:rFonts w:ascii="宋体" w:hint="eastAsia"/>
                <w:b/>
                <w:sz w:val="24"/>
              </w:rPr>
              <w:t>11</w:t>
            </w:r>
            <w:r>
              <w:rPr>
                <w:rFonts w:ascii="宋体" w:hint="eastAsia"/>
                <w:b/>
                <w:sz w:val="24"/>
              </w:rPr>
              <w:t>、我有如下几个问题</w:t>
            </w:r>
            <w:r>
              <w:rPr>
                <w:rFonts w:ascii="宋体" w:hint="eastAsia"/>
                <w:b/>
                <w:sz w:val="24"/>
              </w:rPr>
              <w:t xml:space="preserve"> </w:t>
            </w:r>
            <w:r w:rsidR="00DF7E33">
              <w:rPr>
                <w:rFonts w:ascii="宋体" w:hint="eastAsia"/>
                <w:b/>
                <w:sz w:val="24"/>
              </w:rPr>
              <w:t>：（1）</w:t>
            </w:r>
            <w:r>
              <w:rPr>
                <w:rFonts w:ascii="宋体" w:hint="eastAsia"/>
                <w:b/>
                <w:sz w:val="24"/>
              </w:rPr>
              <w:t>甬金铁路开通至今对公司集装箱运量影响几何，甬金铁路如今运行并不密集，后期甬金铁路提供的集装箱业务增量是否还有较大空间？</w:t>
            </w:r>
            <w:r>
              <w:rPr>
                <w:rFonts w:ascii="宋体" w:hint="eastAsia"/>
                <w:b/>
                <w:sz w:val="24"/>
              </w:rPr>
              <w:t xml:space="preserve"> </w:t>
            </w:r>
            <w:r w:rsidR="00DF7E33">
              <w:rPr>
                <w:rFonts w:ascii="宋体" w:hint="eastAsia"/>
                <w:b/>
                <w:sz w:val="24"/>
              </w:rPr>
              <w:t>（2）</w:t>
            </w:r>
            <w:r>
              <w:rPr>
                <w:rFonts w:ascii="宋体" w:hint="eastAsia"/>
                <w:b/>
                <w:sz w:val="24"/>
              </w:rPr>
              <w:t>公司上市至今再融资密度和规模都</w:t>
            </w:r>
            <w:r>
              <w:rPr>
                <w:rFonts w:ascii="宋体" w:hint="eastAsia"/>
                <w:b/>
                <w:sz w:val="24"/>
              </w:rPr>
              <w:lastRenderedPageBreak/>
              <w:t>是比较大的，后续是否还有再融资计划，港口建设资金是否可以更多地从自有资金中得出，尽量减少股权再融资？</w:t>
            </w:r>
            <w:r>
              <w:rPr>
                <w:rFonts w:ascii="宋体" w:hint="eastAsia"/>
                <w:b/>
                <w:sz w:val="24"/>
              </w:rPr>
              <w:t xml:space="preserve"> </w:t>
            </w:r>
            <w:r w:rsidR="00DF7E33">
              <w:rPr>
                <w:rFonts w:ascii="宋体" w:hint="eastAsia"/>
                <w:b/>
                <w:sz w:val="24"/>
              </w:rPr>
              <w:t>（3）</w:t>
            </w:r>
            <w:r>
              <w:rPr>
                <w:rFonts w:ascii="宋体" w:hint="eastAsia"/>
                <w:b/>
                <w:sz w:val="24"/>
              </w:rPr>
              <w:t>公司是否有进一步参与长三角港口一体化的计划，与区域内几大</w:t>
            </w:r>
            <w:r>
              <w:rPr>
                <w:rFonts w:ascii="宋体" w:hint="eastAsia"/>
                <w:b/>
                <w:sz w:val="24"/>
              </w:rPr>
              <w:t>港口是否有进一步的深入合作计划，如何缓解港口群内的价格内卷？</w:t>
            </w:r>
          </w:p>
          <w:p w:rsidR="000E2355"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w:t>
            </w:r>
            <w:r>
              <w:rPr>
                <w:rFonts w:ascii="宋体" w:hint="eastAsia"/>
                <w:sz w:val="24"/>
              </w:rPr>
              <w:t>1</w:t>
            </w:r>
            <w:r>
              <w:rPr>
                <w:rFonts w:ascii="宋体" w:hint="eastAsia"/>
                <w:sz w:val="24"/>
              </w:rPr>
              <w:t>）甬金铁路于</w:t>
            </w:r>
            <w:r>
              <w:rPr>
                <w:rFonts w:ascii="宋体" w:hint="eastAsia"/>
                <w:sz w:val="24"/>
              </w:rPr>
              <w:t>2023</w:t>
            </w:r>
            <w:r>
              <w:rPr>
                <w:rFonts w:ascii="宋体" w:hint="eastAsia"/>
                <w:sz w:val="24"/>
              </w:rPr>
              <w:t>年底开通运营，全长</w:t>
            </w:r>
            <w:r>
              <w:rPr>
                <w:rFonts w:ascii="宋体" w:hint="eastAsia"/>
                <w:sz w:val="24"/>
              </w:rPr>
              <w:t>259</w:t>
            </w:r>
            <w:r>
              <w:rPr>
                <w:rFonts w:ascii="宋体" w:hint="eastAsia"/>
                <w:sz w:val="24"/>
              </w:rPr>
              <w:t>公里，设云龙、奉化、溪口、新昌北、嵊州新昌、嵊州西、东阳北、苏溪、义乌</w:t>
            </w:r>
            <w:r>
              <w:rPr>
                <w:rFonts w:ascii="宋体" w:hint="eastAsia"/>
                <w:sz w:val="24"/>
              </w:rPr>
              <w:t>9</w:t>
            </w:r>
            <w:r>
              <w:rPr>
                <w:rFonts w:ascii="宋体" w:hint="eastAsia"/>
                <w:sz w:val="24"/>
              </w:rPr>
              <w:t>个车站，设计时速</w:t>
            </w:r>
            <w:r>
              <w:rPr>
                <w:rFonts w:ascii="宋体" w:hint="eastAsia"/>
                <w:sz w:val="24"/>
              </w:rPr>
              <w:t>160</w:t>
            </w:r>
            <w:r>
              <w:rPr>
                <w:rFonts w:ascii="宋体" w:hint="eastAsia"/>
                <w:sz w:val="24"/>
              </w:rPr>
              <w:t>公里，为客货共线的</w:t>
            </w:r>
            <w:r>
              <w:rPr>
                <w:rFonts w:ascii="宋体" w:hint="eastAsia"/>
                <w:sz w:val="24"/>
              </w:rPr>
              <w:t>I</w:t>
            </w:r>
            <w:r>
              <w:rPr>
                <w:rFonts w:ascii="宋体" w:hint="eastAsia"/>
                <w:sz w:val="24"/>
              </w:rPr>
              <w:t>级双线电气化铁路，也是国内首条双层高箱集装箱铁路。</w:t>
            </w:r>
            <w:r>
              <w:rPr>
                <w:rFonts w:ascii="宋体" w:hint="eastAsia"/>
                <w:sz w:val="24"/>
              </w:rPr>
              <w:t>2024</w:t>
            </w:r>
            <w:r>
              <w:rPr>
                <w:rFonts w:ascii="宋体" w:hint="eastAsia"/>
                <w:sz w:val="24"/>
              </w:rPr>
              <w:t>年</w:t>
            </w:r>
            <w:r>
              <w:rPr>
                <w:rFonts w:ascii="宋体" w:hint="eastAsia"/>
                <w:sz w:val="24"/>
              </w:rPr>
              <w:t>1</w:t>
            </w:r>
            <w:r>
              <w:rPr>
                <w:rFonts w:ascii="宋体" w:hint="eastAsia"/>
                <w:sz w:val="24"/>
              </w:rPr>
              <w:t>月金华南站至北仑港区站完成甬金线集装箱海铁联运业务首发，</w:t>
            </w:r>
            <w:r>
              <w:rPr>
                <w:rFonts w:ascii="宋体" w:hint="eastAsia"/>
                <w:sz w:val="24"/>
              </w:rPr>
              <w:t>2024</w:t>
            </w:r>
            <w:r>
              <w:rPr>
                <w:rFonts w:ascii="宋体" w:hint="eastAsia"/>
                <w:sz w:val="24"/>
              </w:rPr>
              <w:t>年</w:t>
            </w:r>
            <w:r>
              <w:rPr>
                <w:rFonts w:ascii="宋体" w:hint="eastAsia"/>
                <w:sz w:val="24"/>
              </w:rPr>
              <w:t>8</w:t>
            </w:r>
            <w:r>
              <w:rPr>
                <w:rFonts w:ascii="宋体" w:hint="eastAsia"/>
                <w:sz w:val="24"/>
              </w:rPr>
              <w:t>月金华南站至穿山港区站完成首发，</w:t>
            </w:r>
            <w:r>
              <w:rPr>
                <w:rFonts w:ascii="宋体" w:hint="eastAsia"/>
                <w:sz w:val="24"/>
              </w:rPr>
              <w:t>2025</w:t>
            </w:r>
            <w:r>
              <w:rPr>
                <w:rFonts w:ascii="宋体" w:hint="eastAsia"/>
                <w:sz w:val="24"/>
              </w:rPr>
              <w:t>年</w:t>
            </w:r>
            <w:r>
              <w:rPr>
                <w:rFonts w:ascii="宋体" w:hint="eastAsia"/>
                <w:sz w:val="24"/>
              </w:rPr>
              <w:t>1-8</w:t>
            </w:r>
            <w:r>
              <w:rPr>
                <w:rFonts w:ascii="宋体" w:hint="eastAsia"/>
                <w:sz w:val="24"/>
              </w:rPr>
              <w:t>月甬金铁路完成箱运量约为</w:t>
            </w:r>
            <w:r>
              <w:rPr>
                <w:rFonts w:ascii="宋体" w:hint="eastAsia"/>
                <w:sz w:val="24"/>
              </w:rPr>
              <w:t>11.6</w:t>
            </w:r>
            <w:r>
              <w:rPr>
                <w:rFonts w:ascii="宋体" w:hint="eastAsia"/>
                <w:sz w:val="24"/>
              </w:rPr>
              <w:t>万标箱。下步，随着运作模式的逐步成熟，甬金铁路的集装箱</w:t>
            </w:r>
            <w:r>
              <w:rPr>
                <w:rFonts w:ascii="宋体" w:hint="eastAsia"/>
                <w:sz w:val="24"/>
              </w:rPr>
              <w:t>运输量将会进一步增长。</w:t>
            </w:r>
            <w:r>
              <w:rPr>
                <w:rFonts w:ascii="宋体" w:hint="eastAsia"/>
                <w:sz w:val="24"/>
              </w:rPr>
              <w:t xml:space="preserve"> </w:t>
            </w:r>
            <w:r>
              <w:rPr>
                <w:rFonts w:ascii="宋体" w:hint="eastAsia"/>
                <w:sz w:val="24"/>
              </w:rPr>
              <w:t>（</w:t>
            </w:r>
            <w:r>
              <w:rPr>
                <w:rFonts w:ascii="宋体" w:hint="eastAsia"/>
                <w:sz w:val="24"/>
              </w:rPr>
              <w:t>2</w:t>
            </w:r>
            <w:r>
              <w:rPr>
                <w:rFonts w:ascii="宋体" w:hint="eastAsia"/>
                <w:sz w:val="24"/>
              </w:rPr>
              <w:t>）近年来，公司充分发挥上市公司平台作用，拓宽融资渠道，公司资产负债率保持在行业较低水平，同时，公司进一步强化资金管理，财务费用逐年下降，未来公司将加强资金的统筹安排，合理运用融资工具，促进公司发展。</w:t>
            </w:r>
            <w:r>
              <w:rPr>
                <w:rFonts w:ascii="宋体" w:hint="eastAsia"/>
                <w:sz w:val="24"/>
              </w:rPr>
              <w:t xml:space="preserve"> </w:t>
            </w:r>
            <w:r>
              <w:rPr>
                <w:rFonts w:ascii="宋体" w:hint="eastAsia"/>
                <w:sz w:val="24"/>
              </w:rPr>
              <w:t>（</w:t>
            </w:r>
            <w:r>
              <w:rPr>
                <w:rFonts w:ascii="宋体" w:hint="eastAsia"/>
                <w:sz w:val="24"/>
              </w:rPr>
              <w:t>3</w:t>
            </w:r>
            <w:r>
              <w:rPr>
                <w:rFonts w:ascii="宋体" w:hint="eastAsia"/>
                <w:sz w:val="24"/>
              </w:rPr>
              <w:t>）为更好地服务长三角一体化发展、长江经济带发展等国家战略，公司与同处长三角区域港口集团进行了积极合作，包括</w:t>
            </w:r>
            <w:r>
              <w:rPr>
                <w:rFonts w:ascii="宋体" w:hint="eastAsia"/>
                <w:sz w:val="24"/>
              </w:rPr>
              <w:t>2020</w:t>
            </w:r>
            <w:r>
              <w:rPr>
                <w:rFonts w:ascii="宋体" w:hint="eastAsia"/>
                <w:sz w:val="24"/>
              </w:rPr>
              <w:t>年通过定增形式与上港集团进行战略合作、</w:t>
            </w:r>
            <w:r>
              <w:rPr>
                <w:rFonts w:ascii="宋体" w:hint="eastAsia"/>
                <w:sz w:val="24"/>
              </w:rPr>
              <w:t>2023</w:t>
            </w:r>
            <w:r>
              <w:rPr>
                <w:rFonts w:ascii="宋体" w:hint="eastAsia"/>
                <w:sz w:val="24"/>
              </w:rPr>
              <w:t>年与江西省港口集团合资成立江西省港航物流发展集团有限公司、</w:t>
            </w:r>
            <w:r>
              <w:rPr>
                <w:rFonts w:ascii="宋体" w:hint="eastAsia"/>
                <w:sz w:val="24"/>
              </w:rPr>
              <w:t>2024</w:t>
            </w:r>
            <w:r>
              <w:rPr>
                <w:rFonts w:ascii="宋体" w:hint="eastAsia"/>
                <w:sz w:val="24"/>
              </w:rPr>
              <w:t>年公司下属全资子公司太仓万方、南京明州与江苏港口集团所</w:t>
            </w:r>
            <w:r>
              <w:rPr>
                <w:rFonts w:ascii="宋体" w:hint="eastAsia"/>
                <w:sz w:val="24"/>
              </w:rPr>
              <w:t>属太仓鑫海、南京天辰等进行股权重组，公司高层与周边港口集团高层也保持良好的互动，共同提升区域港口发展水平。感谢您对公司的关注！</w:t>
            </w:r>
          </w:p>
          <w:p w:rsidR="000E2355" w:rsidRDefault="003913A1">
            <w:pPr>
              <w:spacing w:line="560" w:lineRule="exact"/>
              <w:ind w:firstLineChars="200" w:firstLine="482"/>
              <w:rPr>
                <w:rFonts w:ascii="Calibri"/>
                <w:b/>
              </w:rPr>
            </w:pPr>
            <w:r>
              <w:rPr>
                <w:rFonts w:ascii="宋体" w:hint="eastAsia"/>
                <w:b/>
                <w:sz w:val="24"/>
              </w:rPr>
              <w:t>12</w:t>
            </w:r>
            <w:r>
              <w:rPr>
                <w:rFonts w:ascii="宋体" w:hint="eastAsia"/>
                <w:b/>
                <w:sz w:val="24"/>
              </w:rPr>
              <w:t>、请问公司经营管理层：</w:t>
            </w:r>
            <w:r>
              <w:rPr>
                <w:rFonts w:ascii="宋体" w:hint="eastAsia"/>
                <w:b/>
                <w:sz w:val="24"/>
              </w:rPr>
              <w:t xml:space="preserve"> </w:t>
            </w:r>
            <w:r w:rsidR="00DF7E33">
              <w:rPr>
                <w:rFonts w:ascii="宋体" w:hint="eastAsia"/>
                <w:b/>
                <w:sz w:val="24"/>
              </w:rPr>
              <w:t>（1）</w:t>
            </w:r>
            <w:r>
              <w:rPr>
                <w:rFonts w:ascii="宋体" w:hint="eastAsia"/>
                <w:b/>
                <w:sz w:val="24"/>
              </w:rPr>
              <w:t>根据公开资料显示的本行业上市公司数据，公司营业收入基本在上港集团后位列第二，但销售毛利率</w:t>
            </w:r>
            <w:r>
              <w:rPr>
                <w:rFonts w:ascii="宋体" w:hint="eastAsia"/>
                <w:b/>
                <w:sz w:val="24"/>
              </w:rPr>
              <w:t>/</w:t>
            </w:r>
            <w:r>
              <w:rPr>
                <w:rFonts w:ascii="宋体" w:hint="eastAsia"/>
                <w:b/>
                <w:sz w:val="24"/>
              </w:rPr>
              <w:t>净</w:t>
            </w:r>
            <w:r>
              <w:rPr>
                <w:rFonts w:ascii="宋体" w:hint="eastAsia"/>
                <w:b/>
                <w:sz w:val="24"/>
              </w:rPr>
              <w:lastRenderedPageBreak/>
              <w:t>利率却只能排行业第七，以上港集团</w:t>
            </w:r>
            <w:r>
              <w:rPr>
                <w:rFonts w:ascii="宋体" w:hint="eastAsia"/>
                <w:b/>
                <w:sz w:val="24"/>
              </w:rPr>
              <w:t>/</w:t>
            </w:r>
            <w:r>
              <w:rPr>
                <w:rFonts w:ascii="宋体" w:hint="eastAsia"/>
                <w:b/>
                <w:sz w:val="24"/>
              </w:rPr>
              <w:t>青岛港为例，销售净利率普遍为</w:t>
            </w:r>
            <w:r>
              <w:rPr>
                <w:rFonts w:ascii="宋体" w:hint="eastAsia"/>
                <w:b/>
                <w:sz w:val="24"/>
              </w:rPr>
              <w:t>30%</w:t>
            </w:r>
            <w:r>
              <w:rPr>
                <w:rFonts w:ascii="宋体" w:hint="eastAsia"/>
                <w:b/>
                <w:sz w:val="24"/>
              </w:rPr>
              <w:t>，公司仅为</w:t>
            </w:r>
            <w:r>
              <w:rPr>
                <w:rFonts w:ascii="宋体" w:hint="eastAsia"/>
                <w:b/>
                <w:sz w:val="24"/>
              </w:rPr>
              <w:t>18.8%</w:t>
            </w:r>
            <w:r>
              <w:rPr>
                <w:rFonts w:ascii="宋体" w:hint="eastAsia"/>
                <w:b/>
                <w:sz w:val="24"/>
              </w:rPr>
              <w:t>，请问产生如此较大差异的原因是什么，是否有相关举措可以提升利润水平。</w:t>
            </w:r>
            <w:r>
              <w:rPr>
                <w:rFonts w:ascii="宋体" w:hint="eastAsia"/>
                <w:b/>
                <w:sz w:val="24"/>
              </w:rPr>
              <w:t xml:space="preserve"> </w:t>
            </w:r>
            <w:r w:rsidR="00DF7E33">
              <w:rPr>
                <w:rFonts w:ascii="宋体" w:hint="eastAsia"/>
                <w:b/>
                <w:sz w:val="24"/>
              </w:rPr>
              <w:t>（2）</w:t>
            </w:r>
            <w:r>
              <w:rPr>
                <w:rFonts w:ascii="宋体" w:hint="eastAsia"/>
                <w:b/>
                <w:sz w:val="24"/>
              </w:rPr>
              <w:t>公开数据显示公司职工总数</w:t>
            </w:r>
            <w:r>
              <w:rPr>
                <w:rFonts w:ascii="宋体" w:hint="eastAsia"/>
                <w:b/>
                <w:sz w:val="24"/>
              </w:rPr>
              <w:t>17200</w:t>
            </w:r>
            <w:r>
              <w:rPr>
                <w:rFonts w:ascii="宋体" w:hint="eastAsia"/>
                <w:b/>
                <w:sz w:val="24"/>
              </w:rPr>
              <w:t>万人，人均营业收入</w:t>
            </w:r>
            <w:r>
              <w:rPr>
                <w:rFonts w:ascii="宋体" w:hint="eastAsia"/>
                <w:b/>
                <w:sz w:val="24"/>
              </w:rPr>
              <w:t>167</w:t>
            </w:r>
            <w:r>
              <w:rPr>
                <w:rFonts w:ascii="宋体" w:hint="eastAsia"/>
                <w:b/>
                <w:sz w:val="24"/>
              </w:rPr>
              <w:t>万元；其中上港集团为人均</w:t>
            </w:r>
            <w:r>
              <w:rPr>
                <w:rFonts w:ascii="宋体" w:hint="eastAsia"/>
                <w:b/>
                <w:sz w:val="24"/>
              </w:rPr>
              <w:t>293</w:t>
            </w:r>
            <w:r>
              <w:rPr>
                <w:rFonts w:ascii="宋体" w:hint="eastAsia"/>
                <w:b/>
                <w:sz w:val="24"/>
              </w:rPr>
              <w:t>万元、青岛</w:t>
            </w:r>
            <w:r>
              <w:rPr>
                <w:rFonts w:ascii="宋体" w:hint="eastAsia"/>
                <w:b/>
                <w:sz w:val="24"/>
              </w:rPr>
              <w:t>港为人均</w:t>
            </w:r>
            <w:r>
              <w:rPr>
                <w:rFonts w:ascii="宋体" w:hint="eastAsia"/>
                <w:b/>
                <w:sz w:val="24"/>
              </w:rPr>
              <w:t>198</w:t>
            </w:r>
            <w:r>
              <w:rPr>
                <w:rFonts w:ascii="宋体" w:hint="eastAsia"/>
                <w:b/>
                <w:sz w:val="24"/>
              </w:rPr>
              <w:t>万元；公司人均效能为何显著低于同行业水平，是否说明公司经营面临业务下滑、港口经营负荷不足的问题？</w:t>
            </w:r>
            <w:r>
              <w:rPr>
                <w:rFonts w:ascii="宋体" w:hint="eastAsia"/>
                <w:b/>
                <w:sz w:val="24"/>
              </w:rPr>
              <w:t xml:space="preserve"> </w:t>
            </w:r>
            <w:r w:rsidR="00DF7E33">
              <w:rPr>
                <w:rFonts w:ascii="宋体" w:hint="eastAsia"/>
                <w:b/>
                <w:sz w:val="24"/>
              </w:rPr>
              <w:t>（3）</w:t>
            </w:r>
            <w:r>
              <w:rPr>
                <w:rFonts w:ascii="宋体" w:hint="eastAsia"/>
                <w:b/>
                <w:sz w:val="24"/>
              </w:rPr>
              <w:t>公司股息率约为</w:t>
            </w:r>
            <w:r>
              <w:rPr>
                <w:rFonts w:ascii="宋体" w:hint="eastAsia"/>
                <w:b/>
                <w:sz w:val="24"/>
              </w:rPr>
              <w:t>2.5%</w:t>
            </w:r>
            <w:r>
              <w:rPr>
                <w:rFonts w:ascii="宋体" w:hint="eastAsia"/>
                <w:b/>
                <w:sz w:val="24"/>
              </w:rPr>
              <w:t>，低于上港集团</w:t>
            </w:r>
            <w:r>
              <w:rPr>
                <w:rFonts w:ascii="宋体" w:hint="eastAsia"/>
                <w:b/>
                <w:sz w:val="24"/>
              </w:rPr>
              <w:t>4.02%/</w:t>
            </w:r>
            <w:r>
              <w:rPr>
                <w:rFonts w:ascii="宋体" w:hint="eastAsia"/>
                <w:b/>
                <w:sz w:val="24"/>
              </w:rPr>
              <w:t>青岛港的</w:t>
            </w:r>
            <w:r>
              <w:rPr>
                <w:rFonts w:ascii="宋体" w:hint="eastAsia"/>
                <w:b/>
                <w:sz w:val="24"/>
              </w:rPr>
              <w:t>4.91%</w:t>
            </w:r>
            <w:r>
              <w:rPr>
                <w:rFonts w:ascii="宋体" w:hint="eastAsia"/>
                <w:b/>
                <w:sz w:val="24"/>
              </w:rPr>
              <w:t>，公司未来是否有提高股东回报的计划。</w:t>
            </w:r>
            <w:r>
              <w:rPr>
                <w:rFonts w:ascii="宋体" w:hint="eastAsia"/>
                <w:b/>
                <w:sz w:val="24"/>
              </w:rPr>
              <w:t xml:space="preserve"> </w:t>
            </w:r>
            <w:r>
              <w:rPr>
                <w:rFonts w:ascii="宋体" w:hint="eastAsia"/>
                <w:b/>
                <w:sz w:val="24"/>
              </w:rPr>
              <w:t>谢谢</w:t>
            </w:r>
          </w:p>
          <w:p w:rsidR="00DF7E33" w:rsidRDefault="003913A1">
            <w:pPr>
              <w:spacing w:line="560" w:lineRule="exact"/>
              <w:ind w:firstLineChars="200" w:firstLine="480"/>
              <w:rPr>
                <w:rFonts w:ascii="宋体"/>
                <w:sz w:val="24"/>
              </w:rPr>
            </w:pPr>
            <w:r>
              <w:rPr>
                <w:rFonts w:ascii="宋体" w:hint="eastAsia"/>
                <w:sz w:val="24"/>
              </w:rPr>
              <w:t>答</w:t>
            </w:r>
            <w:r>
              <w:rPr>
                <w:rFonts w:ascii="宋体" w:hint="eastAsia"/>
                <w:sz w:val="24"/>
              </w:rPr>
              <w:t>:</w:t>
            </w:r>
            <w:r>
              <w:rPr>
                <w:rFonts w:ascii="宋体" w:hint="eastAsia"/>
                <w:sz w:val="24"/>
              </w:rPr>
              <w:t>尊敬的投资者，您好！港口企业毛利率受吞吐量、货种结构、费率等因素综合影响，其主营业务收入在各港口间有不同贡献度，同时由于码头的基础设施、设备、人员等构成不同，其成本投入也存在一定差异，因此毛利率就会不同。公司是集散并举的综合性港口运营商，收入和利润主要来源于码头装卸及堆存业务。上港</w:t>
            </w:r>
            <w:r>
              <w:rPr>
                <w:rFonts w:ascii="宋体" w:hint="eastAsia"/>
                <w:sz w:val="24"/>
              </w:rPr>
              <w:t>集团与青港国际都是我们兄弟单位，两个企业很多地方值得我们学习，尤其是上港集团的多元化发展，青港国际的港口配套服务业等都值得我们学习借鉴。</w:t>
            </w:r>
            <w:r>
              <w:rPr>
                <w:rFonts w:ascii="宋体" w:hint="eastAsia"/>
                <w:sz w:val="24"/>
              </w:rPr>
              <w:t>与此同时，我们持续保持了港口生产的持续稳定健康发展，今年上半年，宁波舟山港集装箱吞吐量完成</w:t>
            </w:r>
            <w:r>
              <w:rPr>
                <w:rFonts w:ascii="宋体" w:hint="eastAsia"/>
                <w:sz w:val="24"/>
              </w:rPr>
              <w:t>2105</w:t>
            </w:r>
            <w:r>
              <w:rPr>
                <w:rFonts w:ascii="宋体" w:hint="eastAsia"/>
                <w:sz w:val="24"/>
              </w:rPr>
              <w:t>万</w:t>
            </w:r>
            <w:r>
              <w:rPr>
                <w:rFonts w:ascii="宋体" w:hint="eastAsia"/>
                <w:sz w:val="24"/>
              </w:rPr>
              <w:t>TEU</w:t>
            </w:r>
            <w:r>
              <w:rPr>
                <w:rFonts w:ascii="宋体" w:hint="eastAsia"/>
                <w:sz w:val="24"/>
              </w:rPr>
              <w:t>，增幅位居全球集装箱主要港口前列，总货物吞吐量稳居全球第一，目前正在按照公司董事会确定的年度奋斗目标继续努力。集装箱国际枢纽港地位持续巩固提升，新华·波罗的海指数宁波舟山港已位居全球第七位，五年提升四位，为下一步企业收入、利润增长打下扎实的基础。今后，我们将对标先进、</w:t>
            </w:r>
            <w:r>
              <w:rPr>
                <w:rFonts w:ascii="宋体" w:hint="eastAsia"/>
                <w:sz w:val="24"/>
              </w:rPr>
              <w:t>找差距、补短板，进一步提高自身毛利率、净利率，为增厚投资者和股东回报而不懈努力。</w:t>
            </w:r>
            <w:r>
              <w:rPr>
                <w:rFonts w:ascii="宋体" w:hint="eastAsia"/>
                <w:sz w:val="24"/>
              </w:rPr>
              <w:t xml:space="preserve"> </w:t>
            </w:r>
          </w:p>
          <w:p w:rsidR="000E2355" w:rsidRDefault="003913A1">
            <w:pPr>
              <w:spacing w:line="560" w:lineRule="exact"/>
              <w:ind w:firstLineChars="200" w:firstLine="480"/>
              <w:rPr>
                <w:rFonts w:ascii="宋体"/>
                <w:sz w:val="24"/>
              </w:rPr>
            </w:pPr>
            <w:bookmarkStart w:id="0" w:name="_GoBack"/>
            <w:bookmarkEnd w:id="0"/>
            <w:r>
              <w:rPr>
                <w:rFonts w:ascii="宋体" w:hint="eastAsia"/>
                <w:sz w:val="24"/>
              </w:rPr>
              <w:t>良好的基本面是公司健康发展的基石，公司坚持聚焦港口生产为主</w:t>
            </w:r>
            <w:r>
              <w:rPr>
                <w:rFonts w:ascii="宋体" w:hint="eastAsia"/>
                <w:sz w:val="24"/>
              </w:rPr>
              <w:lastRenderedPageBreak/>
              <w:t>业、稳定回报股东和广大投资者。长期以来，公司将现金分红作为回馈投资者的重要途径，坚持稳健的利润分配政策。自</w:t>
            </w:r>
            <w:r>
              <w:rPr>
                <w:rFonts w:ascii="宋体" w:hint="eastAsia"/>
                <w:sz w:val="24"/>
              </w:rPr>
              <w:t>2010</w:t>
            </w:r>
            <w:r>
              <w:rPr>
                <w:rFonts w:ascii="宋体" w:hint="eastAsia"/>
                <w:sz w:val="24"/>
              </w:rPr>
              <w:t>年上市至今，宁波港每年均向股东实施现金分红，累计分派现金股利达</w:t>
            </w:r>
            <w:r>
              <w:rPr>
                <w:rFonts w:ascii="宋体" w:hint="eastAsia"/>
                <w:sz w:val="24"/>
              </w:rPr>
              <w:t>182.6</w:t>
            </w:r>
            <w:r>
              <w:rPr>
                <w:rFonts w:ascii="宋体" w:hint="eastAsia"/>
                <w:sz w:val="24"/>
              </w:rPr>
              <w:t>亿元。在上市第九年（</w:t>
            </w:r>
            <w:r>
              <w:rPr>
                <w:rFonts w:ascii="宋体" w:hint="eastAsia"/>
                <w:sz w:val="24"/>
              </w:rPr>
              <w:t>2018</w:t>
            </w:r>
            <w:r>
              <w:rPr>
                <w:rFonts w:ascii="宋体" w:hint="eastAsia"/>
                <w:sz w:val="24"/>
              </w:rPr>
              <w:t>年），股份公司通过持续九年的分红，已将</w:t>
            </w:r>
            <w:r>
              <w:rPr>
                <w:rFonts w:ascii="宋体" w:hint="eastAsia"/>
                <w:sz w:val="24"/>
              </w:rPr>
              <w:t>IPO</w:t>
            </w:r>
            <w:r>
              <w:rPr>
                <w:rFonts w:ascii="宋体" w:hint="eastAsia"/>
                <w:sz w:val="24"/>
              </w:rPr>
              <w:t>时募集的</w:t>
            </w:r>
            <w:r>
              <w:rPr>
                <w:rFonts w:ascii="宋体" w:hint="eastAsia"/>
                <w:sz w:val="24"/>
              </w:rPr>
              <w:t>74</w:t>
            </w:r>
            <w:r>
              <w:rPr>
                <w:rFonts w:ascii="宋体" w:hint="eastAsia"/>
                <w:sz w:val="24"/>
              </w:rPr>
              <w:t>亿资金全额回馈给投资者。特别是近七年来，宁波港每年的现金分红率均达到当年可分配利润的</w:t>
            </w:r>
            <w:r>
              <w:rPr>
                <w:rFonts w:ascii="宋体" w:hint="eastAsia"/>
                <w:sz w:val="24"/>
              </w:rPr>
              <w:t>60%</w:t>
            </w:r>
            <w:r>
              <w:rPr>
                <w:rFonts w:ascii="宋体" w:hint="eastAsia"/>
                <w:sz w:val="24"/>
              </w:rPr>
              <w:t>。</w:t>
            </w:r>
            <w:r>
              <w:rPr>
                <w:rFonts w:ascii="宋体" w:hint="eastAsia"/>
                <w:sz w:val="24"/>
              </w:rPr>
              <w:t>2024</w:t>
            </w:r>
            <w:r>
              <w:rPr>
                <w:rFonts w:ascii="宋体" w:hint="eastAsia"/>
                <w:sz w:val="24"/>
              </w:rPr>
              <w:t>年</w:t>
            </w:r>
            <w:r>
              <w:rPr>
                <w:rFonts w:ascii="宋体" w:hint="eastAsia"/>
                <w:sz w:val="24"/>
              </w:rPr>
              <w:t>度，宁波港发放现金股利</w:t>
            </w:r>
            <w:r>
              <w:rPr>
                <w:rFonts w:ascii="宋体" w:hint="eastAsia"/>
                <w:sz w:val="24"/>
              </w:rPr>
              <w:t>21</w:t>
            </w:r>
            <w:r>
              <w:rPr>
                <w:rFonts w:ascii="宋体" w:hint="eastAsia"/>
                <w:sz w:val="24"/>
              </w:rPr>
              <w:t>亿元，创上市以来年度分红新高</w:t>
            </w:r>
            <w:r>
              <w:rPr>
                <w:rFonts w:ascii="宋体" w:hint="eastAsia"/>
                <w:sz w:val="24"/>
              </w:rPr>
              <w:t>,</w:t>
            </w:r>
            <w:r>
              <w:rPr>
                <w:rFonts w:ascii="宋体" w:hint="eastAsia"/>
                <w:sz w:val="24"/>
              </w:rPr>
              <w:t>多次获得中国上市公司股东回报奖。为进一步增强股东回报，公司于</w:t>
            </w:r>
            <w:r>
              <w:rPr>
                <w:rFonts w:ascii="宋体" w:hint="eastAsia"/>
                <w:sz w:val="24"/>
              </w:rPr>
              <w:t>2025</w:t>
            </w:r>
            <w:r>
              <w:rPr>
                <w:rFonts w:ascii="宋体" w:hint="eastAsia"/>
                <w:sz w:val="24"/>
              </w:rPr>
              <w:t>年半年度董事会会议首次提出中期分红，待股东大会审议通过后，将每</w:t>
            </w:r>
            <w:r>
              <w:rPr>
                <w:rFonts w:ascii="宋体" w:hint="eastAsia"/>
                <w:sz w:val="24"/>
              </w:rPr>
              <w:t>10</w:t>
            </w:r>
            <w:r>
              <w:rPr>
                <w:rFonts w:ascii="宋体" w:hint="eastAsia"/>
                <w:sz w:val="24"/>
              </w:rPr>
              <w:t>股派发现金股利</w:t>
            </w:r>
            <w:r>
              <w:rPr>
                <w:rFonts w:ascii="宋体" w:hint="eastAsia"/>
                <w:sz w:val="24"/>
              </w:rPr>
              <w:t>0.3</w:t>
            </w:r>
            <w:r>
              <w:rPr>
                <w:rFonts w:ascii="宋体" w:hint="eastAsia"/>
                <w:sz w:val="24"/>
              </w:rPr>
              <w:t>元（含税），预计派发现金股利约</w:t>
            </w:r>
            <w:r>
              <w:rPr>
                <w:rFonts w:ascii="宋体" w:hint="eastAsia"/>
                <w:sz w:val="24"/>
              </w:rPr>
              <w:t>5.84</w:t>
            </w:r>
            <w:r>
              <w:rPr>
                <w:rFonts w:ascii="宋体" w:hint="eastAsia"/>
                <w:sz w:val="24"/>
              </w:rPr>
              <w:t>亿元。</w:t>
            </w:r>
            <w:r>
              <w:rPr>
                <w:rFonts w:ascii="宋体" w:hint="eastAsia"/>
                <w:sz w:val="24"/>
              </w:rPr>
              <w:t xml:space="preserve"> </w:t>
            </w:r>
            <w:r>
              <w:rPr>
                <w:rFonts w:ascii="宋体" w:hint="eastAsia"/>
                <w:sz w:val="24"/>
              </w:rPr>
              <w:t>未来，公司将围绕港航物流主业，积极寻找新的利润增长点，进一步提升利润水平，为股东和投资者创造更高价值。感谢您对公司的关注。</w:t>
            </w:r>
          </w:p>
          <w:p w:rsidR="000E2355" w:rsidRDefault="003913A1">
            <w:pPr>
              <w:pStyle w:val="005"/>
              <w:spacing w:line="560" w:lineRule="exact"/>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t>注：投资者可以通过上证路演中心（</w:t>
            </w:r>
            <w:r>
              <w:rPr>
                <w:rFonts w:asciiTheme="minorEastAsia" w:eastAsiaTheme="minorEastAsia" w:hAnsiTheme="minorEastAsia" w:hint="eastAsia"/>
                <w:szCs w:val="24"/>
              </w:rPr>
              <w:t>https://roadshow.sseinfo.com/</w:t>
            </w:r>
            <w:r>
              <w:rPr>
                <w:rFonts w:asciiTheme="minorEastAsia" w:eastAsiaTheme="minorEastAsia" w:hAnsiTheme="minorEastAsia" w:hint="eastAsia"/>
                <w:szCs w:val="24"/>
              </w:rPr>
              <w:t>）查看本次业绩说明会的召开情况及主要内容。</w:t>
            </w:r>
          </w:p>
        </w:tc>
      </w:tr>
      <w:tr w:rsidR="000E2355">
        <w:tc>
          <w:tcPr>
            <w:tcW w:w="2014" w:type="dxa"/>
            <w:shd w:val="clear" w:color="auto" w:fill="auto"/>
            <w:vAlign w:val="center"/>
          </w:tcPr>
          <w:p w:rsidR="000E2355" w:rsidRDefault="003913A1">
            <w:pPr>
              <w:snapToGrid w:val="0"/>
              <w:spacing w:line="300" w:lineRule="auto"/>
              <w:jc w:val="left"/>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lastRenderedPageBreak/>
              <w:t>附件清单（如有）</w:t>
            </w:r>
          </w:p>
        </w:tc>
        <w:tc>
          <w:tcPr>
            <w:tcW w:w="7796" w:type="dxa"/>
            <w:shd w:val="clear" w:color="auto" w:fill="auto"/>
          </w:tcPr>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bCs/>
                <w:iCs/>
                <w:color w:val="000000"/>
                <w:kern w:val="0"/>
                <w:sz w:val="24"/>
                <w:szCs w:val="24"/>
              </w:rPr>
              <w:t>无</w:t>
            </w:r>
          </w:p>
        </w:tc>
      </w:tr>
      <w:tr w:rsidR="000E2355">
        <w:tc>
          <w:tcPr>
            <w:tcW w:w="2014" w:type="dxa"/>
            <w:shd w:val="clear" w:color="auto" w:fill="auto"/>
            <w:vAlign w:val="center"/>
          </w:tcPr>
          <w:p w:rsidR="000E2355" w:rsidRDefault="003913A1">
            <w:pPr>
              <w:snapToGrid w:val="0"/>
              <w:spacing w:line="300" w:lineRule="auto"/>
              <w:jc w:val="left"/>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t>访谈日期</w:t>
            </w:r>
          </w:p>
        </w:tc>
        <w:tc>
          <w:tcPr>
            <w:tcW w:w="7796" w:type="dxa"/>
            <w:shd w:val="clear" w:color="auto" w:fill="auto"/>
            <w:vAlign w:val="center"/>
          </w:tcPr>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bCs/>
                <w:iCs/>
                <w:color w:val="000000"/>
                <w:kern w:val="0"/>
                <w:sz w:val="24"/>
                <w:szCs w:val="24"/>
              </w:rPr>
              <w:t>2025</w:t>
            </w:r>
            <w:r>
              <w:rPr>
                <w:rFonts w:asciiTheme="minorEastAsia" w:hAnsiTheme="minorEastAsia" w:cs="Times New Roman"/>
                <w:bCs/>
                <w:iCs/>
                <w:color w:val="000000"/>
                <w:kern w:val="0"/>
                <w:sz w:val="24"/>
                <w:szCs w:val="24"/>
              </w:rPr>
              <w:t>年</w:t>
            </w:r>
            <w:r>
              <w:rPr>
                <w:rFonts w:asciiTheme="minorEastAsia" w:hAnsiTheme="minorEastAsia" w:cs="Times New Roman" w:hint="eastAsia"/>
                <w:bCs/>
                <w:iCs/>
                <w:color w:val="000000"/>
                <w:kern w:val="0"/>
                <w:sz w:val="24"/>
                <w:szCs w:val="24"/>
              </w:rPr>
              <w:t>9</w:t>
            </w:r>
            <w:r>
              <w:rPr>
                <w:rFonts w:asciiTheme="minorEastAsia" w:hAnsiTheme="minorEastAsia" w:cs="Times New Roman"/>
                <w:bCs/>
                <w:iCs/>
                <w:color w:val="000000"/>
                <w:kern w:val="0"/>
                <w:sz w:val="24"/>
                <w:szCs w:val="24"/>
              </w:rPr>
              <w:t>月</w:t>
            </w:r>
            <w:r>
              <w:rPr>
                <w:rFonts w:asciiTheme="minorEastAsia" w:hAnsiTheme="minorEastAsia" w:cs="Times New Roman" w:hint="eastAsia"/>
                <w:bCs/>
                <w:iCs/>
                <w:color w:val="000000"/>
                <w:kern w:val="0"/>
                <w:sz w:val="24"/>
                <w:szCs w:val="24"/>
              </w:rPr>
              <w:t>2</w:t>
            </w:r>
            <w:r>
              <w:rPr>
                <w:rFonts w:asciiTheme="minorEastAsia" w:hAnsiTheme="minorEastAsia" w:cs="Times New Roman"/>
                <w:bCs/>
                <w:iCs/>
                <w:color w:val="000000"/>
                <w:kern w:val="0"/>
                <w:sz w:val="24"/>
                <w:szCs w:val="24"/>
              </w:rPr>
              <w:t>日</w:t>
            </w:r>
          </w:p>
        </w:tc>
      </w:tr>
      <w:tr w:rsidR="000E2355">
        <w:tc>
          <w:tcPr>
            <w:tcW w:w="2014" w:type="dxa"/>
            <w:shd w:val="clear" w:color="auto" w:fill="auto"/>
            <w:vAlign w:val="center"/>
          </w:tcPr>
          <w:p w:rsidR="000E2355" w:rsidRDefault="003913A1">
            <w:pPr>
              <w:snapToGrid w:val="0"/>
              <w:spacing w:line="300" w:lineRule="auto"/>
              <w:jc w:val="left"/>
              <w:rPr>
                <w:rFonts w:asciiTheme="minorEastAsia" w:hAnsiTheme="minorEastAsia" w:cs="Times New Roman"/>
                <w:b/>
                <w:bCs/>
                <w:iCs/>
                <w:color w:val="000000"/>
                <w:kern w:val="0"/>
                <w:sz w:val="24"/>
                <w:szCs w:val="24"/>
              </w:rPr>
            </w:pPr>
            <w:r>
              <w:rPr>
                <w:rFonts w:asciiTheme="minorEastAsia" w:hAnsiTheme="minorEastAsia" w:cs="Times New Roman"/>
                <w:b/>
                <w:bCs/>
                <w:iCs/>
                <w:color w:val="000000"/>
                <w:kern w:val="0"/>
                <w:sz w:val="24"/>
                <w:szCs w:val="24"/>
              </w:rPr>
              <w:t>备注</w:t>
            </w:r>
          </w:p>
        </w:tc>
        <w:tc>
          <w:tcPr>
            <w:tcW w:w="7796" w:type="dxa"/>
            <w:shd w:val="clear" w:color="auto" w:fill="auto"/>
            <w:vAlign w:val="center"/>
          </w:tcPr>
          <w:p w:rsidR="000E2355" w:rsidRDefault="003913A1">
            <w:pPr>
              <w:snapToGrid w:val="0"/>
              <w:spacing w:line="300" w:lineRule="auto"/>
              <w:jc w:val="left"/>
              <w:rPr>
                <w:rFonts w:asciiTheme="minorEastAsia" w:hAnsiTheme="minorEastAsia" w:cs="Times New Roman"/>
                <w:bCs/>
                <w:iCs/>
                <w:color w:val="000000"/>
                <w:kern w:val="0"/>
                <w:sz w:val="24"/>
                <w:szCs w:val="24"/>
              </w:rPr>
            </w:pPr>
            <w:r>
              <w:rPr>
                <w:rFonts w:asciiTheme="minorEastAsia" w:hAnsiTheme="minorEastAsia" w:cs="Times New Roman"/>
                <w:bCs/>
                <w:iCs/>
                <w:color w:val="000000"/>
                <w:kern w:val="0"/>
                <w:sz w:val="24"/>
                <w:szCs w:val="24"/>
              </w:rPr>
              <w:t>公司与投资者进行了充分的沟通交流，并严格按照有关制度规定，保证信息披露的真实、准确、完整、及时、公平，没有出现未公开重大信息泄露等情况。</w:t>
            </w:r>
          </w:p>
        </w:tc>
      </w:tr>
    </w:tbl>
    <w:p w:rsidR="000E2355" w:rsidRDefault="000E2355">
      <w:pPr>
        <w:keepNext/>
        <w:keepLines/>
        <w:spacing w:before="260" w:after="260" w:line="360" w:lineRule="auto"/>
        <w:outlineLvl w:val="1"/>
      </w:pPr>
    </w:p>
    <w:p w:rsidR="000E2355" w:rsidRDefault="000E2355"/>
    <w:sectPr w:rsidR="000E2355">
      <w:headerReference w:type="default" r:id="rId7"/>
      <w:footerReference w:type="default" r:id="rId8"/>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13A1" w:rsidRDefault="003913A1">
      <w:r>
        <w:separator/>
      </w:r>
    </w:p>
  </w:endnote>
  <w:endnote w:type="continuationSeparator" w:id="0">
    <w:p w:rsidR="003913A1" w:rsidRDefault="003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735236"/>
    </w:sdtPr>
    <w:sdtEndPr/>
    <w:sdtContent>
      <w:p w:rsidR="000E2355" w:rsidRDefault="003913A1">
        <w:pPr>
          <w:pStyle w:val="a3"/>
          <w:jc w:val="center"/>
        </w:pPr>
        <w:r>
          <w:fldChar w:fldCharType="begin"/>
        </w:r>
        <w:r>
          <w:instrText>PAGE   \* MERGEFORMAT</w:instrText>
        </w:r>
        <w:r>
          <w:fldChar w:fldCharType="separate"/>
        </w:r>
        <w:r w:rsidR="00DF7E33" w:rsidRPr="00DF7E33">
          <w:rPr>
            <w:noProof/>
            <w:lang w:val="zh-CN"/>
          </w:rPr>
          <w:t>1</w:t>
        </w:r>
        <w:r>
          <w:fldChar w:fldCharType="end"/>
        </w:r>
      </w:p>
    </w:sdtContent>
  </w:sdt>
  <w:p w:rsidR="000E2355" w:rsidRDefault="000E2355">
    <w:pPr>
      <w:pStyle w:val="a3"/>
    </w:pPr>
  </w:p>
  <w:p w:rsidR="000E2355" w:rsidRDefault="000E2355"/>
  <w:p w:rsidR="000E2355" w:rsidRDefault="000E235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13A1" w:rsidRDefault="003913A1">
      <w:r>
        <w:separator/>
      </w:r>
    </w:p>
  </w:footnote>
  <w:footnote w:type="continuationSeparator" w:id="0">
    <w:p w:rsidR="003913A1" w:rsidRDefault="003913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55" w:rsidRDefault="000E2355">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416823"/>
    <w:rsid w:val="000E2355"/>
    <w:rsid w:val="003913A1"/>
    <w:rsid w:val="00DF7E33"/>
    <w:rsid w:val="1B41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174DE"/>
  <w15:docId w15:val="{3E61434C-C6D6-463F-AC31-826AC36D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005">
    <w:name w:val="005正文"/>
    <w:basedOn w:val="a"/>
    <w:qFormat/>
    <w:pPr>
      <w:adjustRightInd w:val="0"/>
      <w:snapToGrid w:val="0"/>
      <w:spacing w:beforeLines="50" w:before="156" w:afterLines="50" w:after="156" w:line="400" w:lineRule="exact"/>
    </w:pPr>
    <w:rPr>
      <w:rFonts w:ascii="Times New Roman" w:eastAsia="宋体" w:hAnsi="Times New Roman" w:cs="Times New Roman"/>
      <w:bCs/>
      <w:iCs/>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694</Words>
  <Characters>3961</Characters>
  <Application>Microsoft Office Word</Application>
  <DocSecurity>0</DocSecurity>
  <Lines>33</Lines>
  <Paragraphs>9</Paragraphs>
  <ScaleCrop>false</ScaleCrop>
  <Company>Microsoft</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何颖</dc:creator>
  <cp:lastModifiedBy>China</cp:lastModifiedBy>
  <cp:revision>2</cp:revision>
  <dcterms:created xsi:type="dcterms:W3CDTF">2025-09-02T05:19:00Z</dcterms:created>
  <dcterms:modified xsi:type="dcterms:W3CDTF">2025-09-03T06:11:00Z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