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2687" w14:textId="7DB8F7C0" w:rsidR="008E5D0E" w:rsidRPr="007B50F5" w:rsidRDefault="008E5D0E" w:rsidP="008E5D0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bookmarkStart w:id="0" w:name="_Hlk135225506"/>
      <w:r w:rsidRPr="007B50F5">
        <w:rPr>
          <w:rFonts w:ascii="宋体" w:eastAsia="宋体" w:hAnsi="宋体" w:hint="eastAsia"/>
          <w:sz w:val="24"/>
          <w:szCs w:val="28"/>
        </w:rPr>
        <w:t>证券代码：</w:t>
      </w:r>
      <w:r>
        <w:rPr>
          <w:rFonts w:ascii="宋体" w:eastAsia="宋体" w:hAnsi="宋体" w:hint="eastAsia"/>
          <w:sz w:val="24"/>
          <w:szCs w:val="28"/>
        </w:rPr>
        <w:t>6</w:t>
      </w:r>
      <w:r>
        <w:rPr>
          <w:rFonts w:ascii="宋体" w:eastAsia="宋体" w:hAnsi="宋体"/>
          <w:sz w:val="24"/>
          <w:szCs w:val="28"/>
        </w:rPr>
        <w:t>00790</w:t>
      </w:r>
      <w:r w:rsidRPr="007B50F5">
        <w:rPr>
          <w:rFonts w:ascii="宋体" w:eastAsia="宋体" w:hAnsi="宋体" w:hint="eastAsia"/>
          <w:sz w:val="24"/>
          <w:szCs w:val="28"/>
        </w:rPr>
        <w:t xml:space="preserve"> </w:t>
      </w:r>
      <w:r w:rsidRPr="007B50F5">
        <w:rPr>
          <w:rFonts w:ascii="宋体" w:eastAsia="宋体" w:hAnsi="宋体"/>
          <w:sz w:val="24"/>
          <w:szCs w:val="28"/>
        </w:rPr>
        <w:t xml:space="preserve">                            </w:t>
      </w:r>
      <w:r w:rsidRPr="007B50F5">
        <w:rPr>
          <w:rFonts w:ascii="宋体" w:eastAsia="宋体" w:hAnsi="宋体" w:hint="eastAsia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轻纺城</w:t>
      </w:r>
    </w:p>
    <w:bookmarkEnd w:id="0"/>
    <w:p w14:paraId="7CC6D4B8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72DB8237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6A1F5D0E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6"/>
          <w:szCs w:val="40"/>
        </w:rPr>
      </w:pPr>
      <w:bookmarkStart w:id="1" w:name="_Hlk135225512"/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浙江中国轻纺城集团股份有限公司</w:t>
      </w:r>
    </w:p>
    <w:p w14:paraId="5041E3A3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2"/>
          <w:szCs w:val="36"/>
        </w:rPr>
      </w:pPr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投资者关系活动记录表</w:t>
      </w:r>
    </w:p>
    <w:p w14:paraId="462699D3" w14:textId="0C27433E" w:rsidR="008E5D0E" w:rsidRPr="008E5D0E" w:rsidRDefault="008E5D0E" w:rsidP="008E5D0E">
      <w:pPr>
        <w:jc w:val="right"/>
        <w:rPr>
          <w:rFonts w:ascii="宋体" w:eastAsia="宋体" w:hAnsi="宋体" w:hint="eastAsia"/>
          <w:sz w:val="24"/>
          <w:szCs w:val="28"/>
        </w:rPr>
      </w:pPr>
      <w:bookmarkStart w:id="2" w:name="_Hlk135225535"/>
      <w:bookmarkEnd w:id="1"/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 w:rsidR="0015432B">
        <w:rPr>
          <w:rFonts w:ascii="宋体" w:eastAsia="宋体" w:hAnsi="宋体"/>
          <w:sz w:val="24"/>
          <w:szCs w:val="28"/>
        </w:rPr>
        <w:t xml:space="preserve">  </w:t>
      </w:r>
      <w:r w:rsidRPr="007B50F5">
        <w:rPr>
          <w:rFonts w:ascii="宋体" w:eastAsia="宋体" w:hAnsi="宋体" w:hint="eastAsia"/>
          <w:sz w:val="24"/>
          <w:szCs w:val="28"/>
        </w:rPr>
        <w:t>编号：</w:t>
      </w:r>
      <w:bookmarkEnd w:id="2"/>
      <w:r w:rsidR="008D2C4C">
        <w:rPr>
          <w:rFonts w:ascii="宋体" w:eastAsia="宋体" w:hAnsi="宋体" w:hint="eastAsia"/>
          <w:sz w:val="24"/>
          <w:szCs w:val="28"/>
        </w:rPr>
        <w:t>2</w:t>
      </w:r>
      <w:r w:rsidR="008D2C4C">
        <w:rPr>
          <w:rFonts w:ascii="宋体" w:eastAsia="宋体" w:hAnsi="宋体"/>
          <w:sz w:val="24"/>
          <w:szCs w:val="28"/>
        </w:rPr>
        <w:t>02</w:t>
      </w:r>
      <w:r w:rsidR="00DC0765">
        <w:rPr>
          <w:rFonts w:ascii="宋体" w:eastAsia="宋体" w:hAnsi="宋体" w:hint="eastAsia"/>
          <w:sz w:val="24"/>
          <w:szCs w:val="28"/>
        </w:rPr>
        <w:t>5</w:t>
      </w:r>
      <w:r w:rsidR="008D2C4C">
        <w:rPr>
          <w:rFonts w:ascii="宋体" w:eastAsia="宋体" w:hAnsi="宋体"/>
          <w:sz w:val="24"/>
          <w:szCs w:val="28"/>
        </w:rPr>
        <w:t>-001</w:t>
      </w:r>
    </w:p>
    <w:tbl>
      <w:tblPr>
        <w:tblW w:w="94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7645"/>
      </w:tblGrid>
      <w:tr w:rsidR="008E5D0E" w:rsidRPr="007B50F5" w14:paraId="5CB333AE" w14:textId="77777777" w:rsidTr="00AC0D63">
        <w:trPr>
          <w:trHeight w:val="1454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A3A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0431676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8C17C38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8B6" w14:textId="6448591A" w:rsidR="00B10F4C" w:rsidRPr="00B10F4C" w:rsidRDefault="00931FB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 xml:space="preserve">特定对象调研        </w:t>
            </w:r>
            <w:r w:rsidR="00B10F4C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分析师会议</w:t>
            </w:r>
          </w:p>
          <w:p w14:paraId="68C3A78A" w14:textId="118D9EA7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媒体采访            </w:t>
            </w:r>
            <w:r w:rsidR="00DC0765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业绩说明会</w:t>
            </w:r>
          </w:p>
          <w:p w14:paraId="34FF48DA" w14:textId="5FBB0995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新闻发布会          </w:t>
            </w:r>
            <w:r w:rsidR="00491E8F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Pr="00B10F4C">
              <w:rPr>
                <w:rFonts w:ascii="宋体" w:eastAsia="宋体" w:hAnsi="宋体" w:hint="eastAsia"/>
                <w:sz w:val="24"/>
              </w:rPr>
              <w:t>路演活动</w:t>
            </w:r>
          </w:p>
          <w:p w14:paraId="58A568D2" w14:textId="320AB47E" w:rsidR="008E5D0E" w:rsidRPr="00B10F4C" w:rsidRDefault="00491E8F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现场参观</w:t>
            </w:r>
            <w:r w:rsidR="00B10F4C" w:rsidRPr="00B10F4C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     </w:t>
            </w:r>
            <w:r w:rsidR="00DC0765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8E5D0E" w:rsidRPr="007B50F5" w14:paraId="1372F9B8" w14:textId="77777777" w:rsidTr="0047782E">
        <w:trPr>
          <w:trHeight w:val="591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F2CC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57D2" w14:textId="1E3847B1" w:rsidR="008E5D0E" w:rsidRPr="007B50F5" w:rsidRDefault="008D2C4C" w:rsidP="0054641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02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1日-2025年9月5日</w:t>
            </w:r>
          </w:p>
        </w:tc>
      </w:tr>
      <w:tr w:rsidR="008E5D0E" w:rsidRPr="007B50F5" w14:paraId="05544B33" w14:textId="77777777" w:rsidTr="00B76319">
        <w:trPr>
          <w:trHeight w:val="95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53D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56FA0D6" w14:textId="4DA86EA6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参与单位名称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31F2" w14:textId="77777777" w:rsidR="00453063" w:rsidRDefault="00DC0765" w:rsidP="000D7CAD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民生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证券</w:t>
            </w:r>
            <w:r w:rsidR="00931FBC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46413"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华西证券</w:t>
            </w:r>
            <w:r w:rsidR="00546413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453063">
              <w:rPr>
                <w:rFonts w:ascii="宋体" w:eastAsia="宋体" w:hAnsi="宋体" w:hint="eastAsia"/>
                <w:sz w:val="24"/>
                <w:szCs w:val="28"/>
              </w:rPr>
              <w:t xml:space="preserve">        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浙商证券</w:t>
            </w:r>
            <w:proofErr w:type="gramEnd"/>
            <w:r w:rsidR="00546413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46413">
              <w:rPr>
                <w:rFonts w:ascii="宋体" w:eastAsia="宋体" w:hAnsi="宋体"/>
                <w:sz w:val="24"/>
                <w:szCs w:val="28"/>
              </w:rPr>
              <w:t xml:space="preserve">            </w:t>
            </w:r>
          </w:p>
          <w:p w14:paraId="3DD3E52C" w14:textId="155ECC52" w:rsidR="008E5D0E" w:rsidRDefault="00DC0765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上投摩根</w:t>
            </w:r>
            <w:r w:rsidR="00453063">
              <w:rPr>
                <w:rFonts w:ascii="宋体" w:eastAsia="宋体" w:hAnsi="宋体" w:hint="eastAsia"/>
                <w:sz w:val="24"/>
                <w:szCs w:val="28"/>
              </w:rPr>
              <w:t xml:space="preserve">             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 xml:space="preserve">兴业证券           </w:t>
            </w:r>
            <w:proofErr w:type="gramStart"/>
            <w:r w:rsidR="00B76319">
              <w:rPr>
                <w:rFonts w:ascii="宋体" w:eastAsia="宋体" w:hAnsi="宋体" w:hint="eastAsia"/>
                <w:sz w:val="24"/>
                <w:szCs w:val="28"/>
              </w:rPr>
              <w:t>路博迈</w:t>
            </w:r>
            <w:proofErr w:type="gramEnd"/>
            <w:r w:rsidR="00B76319">
              <w:rPr>
                <w:rFonts w:ascii="宋体" w:eastAsia="宋体" w:hAnsi="宋体" w:hint="eastAsia"/>
                <w:sz w:val="24"/>
                <w:szCs w:val="28"/>
              </w:rPr>
              <w:t>基金</w:t>
            </w:r>
          </w:p>
          <w:p w14:paraId="2F467B8E" w14:textId="77777777" w:rsidR="00453063" w:rsidRDefault="00B76319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华泰保兴基金         万家基金</w:t>
            </w:r>
            <w:r w:rsidR="00453063">
              <w:rPr>
                <w:rFonts w:ascii="宋体" w:eastAsia="宋体" w:hAnsi="宋体" w:hint="eastAsia"/>
                <w:sz w:val="24"/>
                <w:szCs w:val="28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野村资管       </w:t>
            </w:r>
          </w:p>
          <w:p w14:paraId="5B630A98" w14:textId="77777777" w:rsidR="0047782E" w:rsidRDefault="00B76319" w:rsidP="0045306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华安基金</w:t>
            </w:r>
            <w:r w:rsidR="00453063">
              <w:rPr>
                <w:rFonts w:ascii="宋体" w:eastAsia="宋体" w:hAnsi="宋体" w:hint="eastAsia"/>
                <w:sz w:val="24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财通证券</w:t>
            </w:r>
            <w:r w:rsidR="0047782E">
              <w:rPr>
                <w:rFonts w:ascii="宋体" w:eastAsia="宋体" w:hAnsi="宋体" w:hint="eastAsia"/>
                <w:sz w:val="24"/>
                <w:szCs w:val="28"/>
              </w:rPr>
              <w:t xml:space="preserve">           </w:t>
            </w:r>
            <w:r w:rsidR="0047782E" w:rsidRPr="0047782E">
              <w:rPr>
                <w:rFonts w:ascii="宋体" w:eastAsia="宋体" w:hAnsi="宋体" w:hint="eastAsia"/>
                <w:sz w:val="24"/>
                <w:szCs w:val="28"/>
              </w:rPr>
              <w:t>长安基金</w:t>
            </w:r>
          </w:p>
          <w:p w14:paraId="367A1A6B" w14:textId="5D2B2624" w:rsidR="00B76319" w:rsidRPr="007B50F5" w:rsidRDefault="0047782E" w:rsidP="004530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47782E">
              <w:rPr>
                <w:rFonts w:ascii="宋体" w:eastAsia="宋体" w:hAnsi="宋体" w:hint="eastAsia"/>
                <w:sz w:val="24"/>
                <w:szCs w:val="28"/>
              </w:rPr>
              <w:t>华商基金</w:t>
            </w:r>
          </w:p>
        </w:tc>
      </w:tr>
      <w:tr w:rsidR="008E5D0E" w:rsidRPr="007B50F5" w14:paraId="199CD862" w14:textId="77777777" w:rsidTr="0047782E">
        <w:trPr>
          <w:trHeight w:val="605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E5A8" w14:textId="63CA5E9D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6C" w14:textId="44F4D3C8" w:rsidR="008E5D0E" w:rsidRPr="007B50F5" w:rsidRDefault="008E5D0E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8E5D0E" w:rsidRPr="007B50F5" w14:paraId="42DF512B" w14:textId="77777777" w:rsidTr="00B76319">
        <w:trPr>
          <w:trHeight w:val="717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A67" w14:textId="61495A2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上市公司</w:t>
            </w:r>
          </w:p>
          <w:p w14:paraId="1438811B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接待人员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8F" w14:textId="4344E6A1" w:rsidR="008E5D0E" w:rsidRPr="007B50F5" w:rsidRDefault="00100369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100369">
              <w:rPr>
                <w:rFonts w:ascii="宋体" w:eastAsia="宋体" w:hAnsi="宋体" w:hint="eastAsia"/>
                <w:sz w:val="24"/>
                <w:szCs w:val="28"/>
              </w:rPr>
              <w:t>董事会秘书：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钱自强</w:t>
            </w:r>
            <w:r w:rsidR="00B76319" w:rsidRPr="007B50F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8E5D0E" w:rsidRPr="007B50F5" w14:paraId="733000FC" w14:textId="77777777" w:rsidTr="00AC0D63">
        <w:trPr>
          <w:trHeight w:val="421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3B5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1A4A1C5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82EEBCF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B193DB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026257D3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投资者关系活动主要内容记录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923E" w14:textId="7F9133B2" w:rsidR="00DD4ADE" w:rsidRDefault="008F2400" w:rsidP="00AC0D6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D22E72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D22E72" w:rsidRPr="001C2380">
              <w:rPr>
                <w:rFonts w:ascii="宋体" w:eastAsia="宋体" w:hAnsi="宋体"/>
                <w:b/>
                <w:bCs/>
                <w:sz w:val="24"/>
                <w:szCs w:val="28"/>
              </w:rPr>
              <w:t>1.</w:t>
            </w:r>
            <w:r w:rsidR="00D22E72" w:rsidRPr="001C238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</w:t>
            </w:r>
            <w:r w:rsidR="00644A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问公司</w:t>
            </w:r>
            <w:r w:rsidR="007D338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布局建设</w:t>
            </w:r>
            <w:r w:rsidR="00644A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AI大模型</w:t>
            </w:r>
            <w:r w:rsidR="007D338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的核心原因是什么？ </w:t>
            </w:r>
          </w:p>
          <w:p w14:paraId="26FA60B2" w14:textId="6A38136B" w:rsidR="00BB0025" w:rsidRDefault="00D22E72" w:rsidP="006C67BB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B0025">
              <w:rPr>
                <w:rFonts w:ascii="宋体" w:eastAsia="宋体" w:hAnsi="宋体" w:hint="eastAsia"/>
                <w:sz w:val="24"/>
                <w:szCs w:val="28"/>
              </w:rPr>
              <w:t>AI技术将全面</w:t>
            </w:r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赋能</w:t>
            </w:r>
            <w:proofErr w:type="gramStart"/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产业链各关键</w:t>
            </w:r>
            <w:proofErr w:type="gramEnd"/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节点</w:t>
            </w:r>
            <w:r w:rsidR="00BB0025">
              <w:rPr>
                <w:rFonts w:ascii="宋体" w:eastAsia="宋体" w:hAnsi="宋体" w:hint="eastAsia"/>
                <w:sz w:val="24"/>
                <w:szCs w:val="28"/>
              </w:rPr>
              <w:t>，深度挖掘</w:t>
            </w:r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实体市场的数据</w:t>
            </w:r>
            <w:r w:rsidR="00BB0025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实现对市场、商户、产品及渠道的全方位智能化支持</w:t>
            </w:r>
            <w:r w:rsidR="006C5133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为线上线</w:t>
            </w:r>
            <w:proofErr w:type="gramStart"/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下业务</w:t>
            </w:r>
            <w:proofErr w:type="gramEnd"/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的</w:t>
            </w:r>
            <w:r w:rsidR="00BB0025">
              <w:rPr>
                <w:rFonts w:ascii="宋体" w:eastAsia="宋体" w:hAnsi="宋体" w:hint="eastAsia"/>
                <w:sz w:val="24"/>
                <w:szCs w:val="28"/>
              </w:rPr>
              <w:t>高度</w:t>
            </w:r>
            <w:r w:rsidR="00BB0025" w:rsidRPr="00BB0025">
              <w:rPr>
                <w:rFonts w:ascii="宋体" w:eastAsia="宋体" w:hAnsi="宋体" w:hint="eastAsia"/>
                <w:sz w:val="24"/>
                <w:szCs w:val="28"/>
              </w:rPr>
              <w:t>融合及境外市场的拓展提供强大的技术驱动力</w:t>
            </w:r>
            <w:r w:rsidR="006C5133"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="006C5133" w:rsidRPr="006C5133">
              <w:rPr>
                <w:rFonts w:ascii="宋体" w:eastAsia="宋体" w:hAnsi="宋体" w:hint="eastAsia"/>
                <w:sz w:val="24"/>
                <w:szCs w:val="28"/>
              </w:rPr>
              <w:t>公司</w:t>
            </w:r>
            <w:r w:rsidR="006C67BB">
              <w:rPr>
                <w:rFonts w:ascii="宋体" w:eastAsia="宋体" w:hAnsi="宋体" w:hint="eastAsia"/>
                <w:sz w:val="24"/>
                <w:szCs w:val="28"/>
              </w:rPr>
              <w:t>致力于</w:t>
            </w:r>
            <w:r w:rsidR="006C5133" w:rsidRPr="006C5133">
              <w:rPr>
                <w:rFonts w:ascii="宋体" w:eastAsia="宋体" w:hAnsi="宋体" w:hint="eastAsia"/>
                <w:sz w:val="24"/>
                <w:szCs w:val="28"/>
              </w:rPr>
              <w:t>通过技术创新巩固行业引领地位</w:t>
            </w:r>
            <w:r w:rsidR="006C5133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6C5133" w:rsidRPr="006C5133">
              <w:rPr>
                <w:rFonts w:ascii="宋体" w:eastAsia="宋体" w:hAnsi="宋体" w:hint="eastAsia"/>
                <w:sz w:val="24"/>
                <w:szCs w:val="28"/>
              </w:rPr>
              <w:t>全面提升产业</w:t>
            </w:r>
            <w:proofErr w:type="gramStart"/>
            <w:r w:rsidR="006C5133" w:rsidRPr="006C5133">
              <w:rPr>
                <w:rFonts w:ascii="宋体" w:eastAsia="宋体" w:hAnsi="宋体" w:hint="eastAsia"/>
                <w:sz w:val="24"/>
                <w:szCs w:val="28"/>
              </w:rPr>
              <w:t>链运行</w:t>
            </w:r>
            <w:proofErr w:type="gramEnd"/>
            <w:r w:rsidR="006C5133" w:rsidRPr="006C5133">
              <w:rPr>
                <w:rFonts w:ascii="宋体" w:eastAsia="宋体" w:hAnsi="宋体" w:hint="eastAsia"/>
                <w:sz w:val="24"/>
                <w:szCs w:val="28"/>
              </w:rPr>
              <w:t>效率，降低整体运营成本，并依托数据资产化运营与生态化服务体系，引领纺织产业</w:t>
            </w:r>
            <w:r w:rsidR="006C5133">
              <w:rPr>
                <w:rFonts w:ascii="宋体" w:eastAsia="宋体" w:hAnsi="宋体" w:hint="eastAsia"/>
                <w:sz w:val="24"/>
                <w:szCs w:val="28"/>
              </w:rPr>
              <w:t>可持续发展。</w:t>
            </w:r>
          </w:p>
          <w:p w14:paraId="1D0E3DD0" w14:textId="3A9CA889" w:rsidR="00DD4ADE" w:rsidRDefault="001C2380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</w:p>
          <w:p w14:paraId="5829016F" w14:textId="3CE31B37" w:rsidR="00DD4ADE" w:rsidRDefault="001C2380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1C2380">
              <w:rPr>
                <w:rFonts w:ascii="宋体" w:eastAsia="宋体" w:hAnsi="宋体"/>
                <w:b/>
                <w:bCs/>
                <w:sz w:val="24"/>
                <w:szCs w:val="28"/>
              </w:rPr>
              <w:t>2.</w:t>
            </w:r>
            <w:bookmarkStart w:id="3" w:name="OLE_LINK1"/>
            <w:r w:rsidR="00E0711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请公司介绍一下关于建设轻纺城AI大模型的</w:t>
            </w:r>
            <w:proofErr w:type="gramStart"/>
            <w:r w:rsidR="00E0711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的</w:t>
            </w:r>
            <w:proofErr w:type="gramEnd"/>
            <w:r w:rsidR="00E0711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具体实施路径规划</w:t>
            </w:r>
            <w:r w:rsidR="00D40BB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以及对业务的影响？</w:t>
            </w:r>
            <w:bookmarkEnd w:id="3"/>
          </w:p>
          <w:p w14:paraId="15788B65" w14:textId="79F3EAD3" w:rsidR="00DD4ADE" w:rsidRDefault="001C2380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444719">
              <w:rPr>
                <w:rFonts w:ascii="宋体" w:eastAsia="宋体" w:hAnsi="宋体" w:hint="eastAsia"/>
                <w:sz w:val="24"/>
                <w:szCs w:val="28"/>
              </w:rPr>
              <w:t xml:space="preserve"> 公司具体的实施路径主要为：一是</w:t>
            </w:r>
            <w:r w:rsidR="00444719" w:rsidRPr="00444719">
              <w:rPr>
                <w:rFonts w:ascii="宋体" w:eastAsia="宋体" w:hAnsi="宋体" w:hint="eastAsia"/>
                <w:sz w:val="24"/>
                <w:szCs w:val="28"/>
              </w:rPr>
              <w:t>数据整合与平台构建</w:t>
            </w:r>
            <w:r w:rsidR="00444719">
              <w:rPr>
                <w:rFonts w:ascii="宋体" w:eastAsia="宋体" w:hAnsi="宋体" w:hint="eastAsia"/>
                <w:sz w:val="24"/>
                <w:szCs w:val="28"/>
              </w:rPr>
              <w:t>；二是</w:t>
            </w:r>
            <w:r w:rsidR="00444719" w:rsidRPr="00444719">
              <w:rPr>
                <w:rFonts w:ascii="宋体" w:eastAsia="宋体" w:hAnsi="宋体" w:hint="eastAsia"/>
                <w:sz w:val="24"/>
                <w:szCs w:val="28"/>
              </w:rPr>
              <w:t>核心能力开发</w:t>
            </w:r>
            <w:r w:rsidR="00444719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6F719B" w:rsidRPr="006F719B">
              <w:rPr>
                <w:rFonts w:ascii="宋体" w:eastAsia="宋体" w:hAnsi="宋体" w:hint="eastAsia"/>
                <w:sz w:val="24"/>
                <w:szCs w:val="28"/>
              </w:rPr>
              <w:t>重点开发三个核心智能体平台</w:t>
            </w:r>
            <w:r w:rsidR="006F719B">
              <w:rPr>
                <w:rFonts w:ascii="宋体" w:eastAsia="宋体" w:hAnsi="宋体" w:hint="eastAsia"/>
                <w:sz w:val="24"/>
                <w:szCs w:val="28"/>
              </w:rPr>
              <w:t>，商户智能体、产品智能体以及渠道销售智能体，分别作用于辅助设计、研发打样和营销推广；三是</w:t>
            </w:r>
            <w:r w:rsidR="006F719B" w:rsidRPr="006F719B">
              <w:rPr>
                <w:rFonts w:ascii="宋体" w:eastAsia="宋体" w:hAnsi="宋体" w:hint="eastAsia"/>
                <w:sz w:val="24"/>
                <w:szCs w:val="28"/>
              </w:rPr>
              <w:t>迭代优化与全面赋能</w:t>
            </w:r>
            <w:r w:rsidR="006F719B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B94ED6" w:rsidRPr="00B94ED6">
              <w:rPr>
                <w:rFonts w:ascii="宋体" w:eastAsia="宋体" w:hAnsi="宋体" w:hint="eastAsia"/>
                <w:sz w:val="24"/>
                <w:szCs w:val="28"/>
              </w:rPr>
              <w:t>持续优化模型能力，最终形成覆盖市场、商户、产品、渠道的全方位AI赋能体系。</w:t>
            </w:r>
          </w:p>
          <w:p w14:paraId="3C05EA2E" w14:textId="0432C246" w:rsidR="00B94ED6" w:rsidRDefault="00B94ED6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 xml:space="preserve"> 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项目实施将多方位影响公司业务，</w:t>
            </w:r>
            <w:r w:rsidRPr="00B94ED6">
              <w:rPr>
                <w:rFonts w:ascii="宋体" w:eastAsia="宋体" w:hAnsi="宋体" w:hint="eastAsia"/>
                <w:sz w:val="24"/>
                <w:szCs w:val="28"/>
              </w:rPr>
              <w:t>通过大幅提升从设计、打样到营销的全产业链效率，帮助商户更快响应市场需求并缩短新品研发周期；有效降低运营成本，具体体现在以数字样品替代物理打样从而减少物料消耗，并通过自动化生成营销素材降低内容制作成本；进而增强市场竞争力和品牌价值，依托数据驱动的趋势预测与个性化设计提升产品市场命中率，同时借助高质量的全球化营销输出提升“中国轻纺城”的整体品牌声量与国际影响力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B94ED6">
              <w:rPr>
                <w:rFonts w:ascii="宋体" w:eastAsia="宋体" w:hAnsi="宋体" w:hint="eastAsia"/>
                <w:sz w:val="24"/>
                <w:szCs w:val="28"/>
              </w:rPr>
              <w:t>巩固公司在中国纺织面料行业的创新引领地位。</w:t>
            </w:r>
          </w:p>
          <w:p w14:paraId="2515A5D9" w14:textId="77777777" w:rsidR="00DD4ADE" w:rsidRDefault="00DD4ADE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663DBB01" w14:textId="68996363" w:rsidR="00DD4ADE" w:rsidRDefault="001C2380" w:rsidP="00AC0D63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216D18"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 w:rsidR="00713165">
              <w:rPr>
                <w:rFonts w:ascii="宋体" w:eastAsia="宋体" w:hAnsi="宋体"/>
                <w:b/>
                <w:bCs/>
                <w:sz w:val="24"/>
                <w:szCs w:val="28"/>
              </w:rPr>
              <w:t>3.</w:t>
            </w:r>
            <w:r w:rsidR="007B6D2C">
              <w:rPr>
                <w:rFonts w:hint="eastAsia"/>
              </w:rPr>
              <w:t xml:space="preserve"> </w:t>
            </w:r>
            <w:r w:rsidR="007B6D2C" w:rsidRPr="007B6D2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根据公司战略规划，未来将重点开展全球面料贸易及供应链服务</w:t>
            </w:r>
            <w:r w:rsidR="007B6D2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，</w:t>
            </w:r>
            <w:r w:rsidR="007B6D2C" w:rsidRPr="007B6D2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这项业务具体涵盖哪些核心环节？</w:t>
            </w:r>
            <w:r w:rsidR="00D8620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</w:p>
          <w:p w14:paraId="3F8D3EF0" w14:textId="50F2A25F" w:rsidR="00DD4ADE" w:rsidRDefault="00713165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 w:rsidRPr="00713165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920F4F" w:rsidRPr="00920F4F">
              <w:rPr>
                <w:rFonts w:ascii="宋体" w:eastAsia="宋体" w:hAnsi="宋体" w:hint="eastAsia"/>
                <w:sz w:val="24"/>
                <w:szCs w:val="28"/>
              </w:rPr>
              <w:t>这项业务的核心环节主要涵盖三大</w:t>
            </w:r>
            <w:r w:rsidR="00920F4F">
              <w:rPr>
                <w:rFonts w:ascii="宋体" w:eastAsia="宋体" w:hAnsi="宋体" w:hint="eastAsia"/>
                <w:sz w:val="24"/>
                <w:szCs w:val="28"/>
              </w:rPr>
              <w:t>方面</w:t>
            </w:r>
            <w:r w:rsidR="00920F4F" w:rsidRPr="00920F4F"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920F4F">
              <w:rPr>
                <w:rFonts w:ascii="宋体" w:eastAsia="宋体" w:hAnsi="宋体" w:hint="eastAsia"/>
                <w:sz w:val="24"/>
                <w:szCs w:val="28"/>
              </w:rPr>
              <w:t xml:space="preserve">一是国内面料采购服务， </w:t>
            </w:r>
          </w:p>
          <w:p w14:paraId="3C078487" w14:textId="72BAE6CA" w:rsidR="00920F4F" w:rsidRDefault="00920F4F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920F4F">
              <w:rPr>
                <w:rFonts w:ascii="宋体" w:eastAsia="宋体" w:hAnsi="宋体" w:hint="eastAsia"/>
                <w:sz w:val="24"/>
                <w:szCs w:val="28"/>
              </w:rPr>
              <w:t>依托中国轻纺城庞大的供应商网络，为服装厂、电商等客户提供</w:t>
            </w:r>
            <w:proofErr w:type="gramStart"/>
            <w:r w:rsidRPr="00920F4F">
              <w:rPr>
                <w:rFonts w:ascii="宋体" w:eastAsia="宋体" w:hAnsi="宋体" w:hint="eastAsia"/>
                <w:sz w:val="24"/>
                <w:szCs w:val="28"/>
              </w:rPr>
              <w:t>集中代采服务</w:t>
            </w:r>
            <w:proofErr w:type="gramEnd"/>
            <w:r w:rsidRPr="00920F4F">
              <w:rPr>
                <w:rFonts w:ascii="宋体" w:eastAsia="宋体" w:hAnsi="宋体" w:hint="eastAsia"/>
                <w:sz w:val="24"/>
                <w:szCs w:val="28"/>
              </w:rPr>
              <w:t>，核心解决其“多款式、小单量、供应商分散”的采购痛点。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二是成品窗帘与家纺供应，</w:t>
            </w:r>
            <w:r w:rsidRPr="00920F4F">
              <w:rPr>
                <w:rFonts w:ascii="宋体" w:eastAsia="宋体" w:hAnsi="宋体" w:hint="eastAsia"/>
                <w:sz w:val="24"/>
                <w:szCs w:val="28"/>
              </w:rPr>
              <w:t>基于柯桥完整的产业链和公司的品牌信誉，直接向终端消费者提供成品窗帘、家纺及配套产品的销售，满足个性化消费需求。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三是</w:t>
            </w:r>
            <w:r w:rsidRPr="00920F4F">
              <w:rPr>
                <w:rFonts w:ascii="宋体" w:eastAsia="宋体" w:hAnsi="宋体" w:hint="eastAsia"/>
                <w:sz w:val="24"/>
                <w:szCs w:val="28"/>
              </w:rPr>
              <w:t>海外面料展贸与采购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920F4F">
              <w:rPr>
                <w:rFonts w:ascii="宋体" w:eastAsia="宋体" w:hAnsi="宋体" w:hint="eastAsia"/>
                <w:sz w:val="24"/>
                <w:szCs w:val="28"/>
              </w:rPr>
              <w:t>在需求旺盛的重点海外市场设立展贸一体展厅，将柯桥优质面料前置展示，打造“线下体验+线上下单”的融合平台，高效</w:t>
            </w:r>
            <w:proofErr w:type="gramStart"/>
            <w:r w:rsidRPr="00920F4F">
              <w:rPr>
                <w:rFonts w:ascii="宋体" w:eastAsia="宋体" w:hAnsi="宋体" w:hint="eastAsia"/>
                <w:sz w:val="24"/>
                <w:szCs w:val="28"/>
              </w:rPr>
              <w:t>触达海外</w:t>
            </w:r>
            <w:proofErr w:type="gramEnd"/>
            <w:r w:rsidRPr="00920F4F">
              <w:rPr>
                <w:rFonts w:ascii="宋体" w:eastAsia="宋体" w:hAnsi="宋体" w:hint="eastAsia"/>
                <w:sz w:val="24"/>
                <w:szCs w:val="28"/>
              </w:rPr>
              <w:t>客户，实现市场功能前移。</w:t>
            </w:r>
          </w:p>
          <w:p w14:paraId="04307F32" w14:textId="77777777" w:rsidR="00B84A39" w:rsidRDefault="00B84A39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A32BBDC" w14:textId="07871BEA" w:rsidR="00DD4ADE" w:rsidRDefault="00713165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 w:rsidR="00465603">
              <w:rPr>
                <w:rFonts w:ascii="宋体" w:eastAsia="宋体" w:hAnsi="宋体"/>
                <w:b/>
                <w:bCs/>
                <w:sz w:val="24"/>
                <w:szCs w:val="28"/>
              </w:rPr>
              <w:t>4</w:t>
            </w:r>
            <w:r w:rsidR="00BE62EA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BE62EA" w:rsidRPr="00BE62EA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B84A3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开展全球面料贸易与供应链服务，这与我们现有的</w:t>
            </w:r>
            <w:r w:rsidR="00DF69E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业务如何协同？</w:t>
            </w:r>
          </w:p>
          <w:p w14:paraId="40CC312C" w14:textId="5F473135" w:rsidR="00DD4ADE" w:rsidRDefault="00BE62EA" w:rsidP="00B77919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DF69EF">
              <w:rPr>
                <w:rFonts w:ascii="宋体" w:eastAsia="宋体" w:hAnsi="宋体" w:hint="eastAsia"/>
                <w:sz w:val="24"/>
                <w:szCs w:val="28"/>
              </w:rPr>
              <w:t>公司</w:t>
            </w:r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未来重点发展</w:t>
            </w:r>
            <w:r w:rsidR="00DF69EF">
              <w:rPr>
                <w:rFonts w:ascii="宋体" w:eastAsia="宋体" w:hAnsi="宋体" w:hint="eastAsia"/>
                <w:sz w:val="24"/>
                <w:szCs w:val="28"/>
              </w:rPr>
              <w:t>这项业务</w:t>
            </w:r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，并非一个独立的新业务，而是与公司现有资源与能力高度协同、深度融合的战略延伸</w:t>
            </w:r>
            <w:r w:rsidR="00DF69EF">
              <w:rPr>
                <w:rFonts w:ascii="宋体" w:eastAsia="宋体" w:hAnsi="宋体" w:hint="eastAsia"/>
                <w:sz w:val="24"/>
                <w:szCs w:val="28"/>
              </w:rPr>
              <w:t>。它</w:t>
            </w:r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直接依托并整合轻纺城庞大的供应</w:t>
            </w:r>
            <w:proofErr w:type="gramStart"/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商资源</w:t>
            </w:r>
            <w:proofErr w:type="gramEnd"/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库，为</w:t>
            </w:r>
            <w:proofErr w:type="gramStart"/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代采业务</w:t>
            </w:r>
            <w:proofErr w:type="gramEnd"/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提供稳定高效的货源保障，同时服务于平台上海量客户，解决其采购痛点、提升客户粘性，并借助“轻纺城”品牌的公信</w:t>
            </w:r>
            <w:proofErr w:type="gramStart"/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力快速</w:t>
            </w:r>
            <w:proofErr w:type="gramEnd"/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建立信任、降低交易成本。</w:t>
            </w:r>
            <w:r w:rsidR="00DF69EF">
              <w:rPr>
                <w:rFonts w:ascii="宋体" w:eastAsia="宋体" w:hAnsi="宋体" w:hint="eastAsia"/>
                <w:sz w:val="24"/>
                <w:szCs w:val="28"/>
              </w:rPr>
              <w:t>其次</w:t>
            </w:r>
            <w:r w:rsidR="00DF69EF" w:rsidRPr="00DF69EF">
              <w:rPr>
                <w:rFonts w:ascii="宋体" w:eastAsia="宋体" w:hAnsi="宋体" w:hint="eastAsia"/>
                <w:sz w:val="24"/>
                <w:szCs w:val="28"/>
              </w:rPr>
              <w:t>公司多年积累的市场管理、商户服务及会展经验可平滑迁移至海外展厅运营及供应链流程设计，并通过推动线上平台与线下展厅数据互通，实现“买全球、卖全球”的功能延伸。战略上，该业务是公司从“市场管理者”迈向“产业运营商”转型的核心载体，不仅开辟了参与交易环节的营收新曲线，更通过服务终端、拓展海外，为经营户带来增量订单与渠道，最终形成与现有市场业务共生共荣的良性生态循环。</w:t>
            </w:r>
            <w:r w:rsidR="00DF69EF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07A9C795" w14:textId="0E208514" w:rsidR="00DD4ADE" w:rsidRDefault="00DD4ADE" w:rsidP="00EB4FD5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9A8F42E" w14:textId="79EE878B" w:rsidR="00DD4ADE" w:rsidRDefault="00713165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465603">
              <w:rPr>
                <w:rFonts w:ascii="宋体" w:eastAsia="宋体" w:hAnsi="宋体"/>
                <w:b/>
                <w:bCs/>
                <w:sz w:val="24"/>
                <w:szCs w:val="28"/>
              </w:rPr>
              <w:t>5</w:t>
            </w:r>
            <w:r w:rsidR="00851C84" w:rsidRPr="007213F7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D4614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公司目前在网上轻纺城这方面有什么具体发展规划？</w:t>
            </w:r>
            <w:r w:rsidR="00D4614B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6D5EA85F" w14:textId="3C8C6AB4" w:rsidR="00EE040D" w:rsidRDefault="007213F7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15198B" w:rsidRPr="0015198B">
              <w:rPr>
                <w:rFonts w:ascii="宋体" w:eastAsia="宋体" w:hAnsi="宋体" w:hint="eastAsia"/>
                <w:sz w:val="24"/>
                <w:szCs w:val="28"/>
              </w:rPr>
              <w:t>公司正全面升级“网上轻纺城”，以构建智能化、沉浸式、可交易的数字化面料交易体系。具体通过实施平台矩阵战略，强化技术赋能如3D、AI等技术应用，构建整合物流、金融等的生态服务体系，并深化数据应用以支撑AI大模型开发，从而突破传统交易模式，提升行业效率与价值。</w:t>
            </w:r>
          </w:p>
          <w:p w14:paraId="6E1ABA0E" w14:textId="71E63D53" w:rsidR="0094660B" w:rsidRPr="0094660B" w:rsidRDefault="0056551B" w:rsidP="0094660B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lastRenderedPageBreak/>
              <w:t xml:space="preserve"> </w:t>
            </w:r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6.</w:t>
            </w:r>
            <w:r w:rsidR="0094660B" w:rsidRPr="0094660B">
              <w:rPr>
                <w:rFonts w:hint="eastAsia"/>
                <w:b/>
                <w:bCs/>
              </w:rPr>
              <w:t xml:space="preserve"> </w:t>
            </w:r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若</w:t>
            </w:r>
            <w:proofErr w:type="gramStart"/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纺织外贸</w:t>
            </w:r>
            <w:proofErr w:type="gramEnd"/>
            <w:r w:rsidR="0094660B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订单持续向东南亚转移，是否会影响轻纺城商户的结构（例如内销占比提升）？ </w:t>
            </w:r>
          </w:p>
          <w:p w14:paraId="5FED43F2" w14:textId="77777777" w:rsidR="0094660B" w:rsidRDefault="0094660B" w:rsidP="0094660B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Pr="0094660B">
              <w:rPr>
                <w:rFonts w:ascii="宋体" w:eastAsia="宋体" w:hAnsi="宋体" w:hint="eastAsia"/>
                <w:sz w:val="24"/>
                <w:szCs w:val="28"/>
              </w:rPr>
              <w:t>根据商务局统计，2024年，轻纺城成交突破4000亿元，柯桥全区纺织品出口1196.79亿元，轻纺面料保持以内销为主。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受到</w:t>
            </w:r>
            <w:r w:rsidRPr="0094660B">
              <w:rPr>
                <w:rFonts w:ascii="宋体" w:eastAsia="宋体" w:hAnsi="宋体" w:hint="eastAsia"/>
                <w:sz w:val="24"/>
                <w:szCs w:val="28"/>
              </w:rPr>
              <w:t>外贸整体形势变化，公司积极布局海外市场，比如在新疆投建原料市场，强化与一带</w:t>
            </w:r>
            <w:proofErr w:type="gramStart"/>
            <w:r w:rsidRPr="0094660B">
              <w:rPr>
                <w:rFonts w:ascii="宋体" w:eastAsia="宋体" w:hAnsi="宋体" w:hint="eastAsia"/>
                <w:sz w:val="24"/>
                <w:szCs w:val="28"/>
              </w:rPr>
              <w:t>一路国家</w:t>
            </w:r>
            <w:proofErr w:type="gramEnd"/>
            <w:r w:rsidRPr="0094660B">
              <w:rPr>
                <w:rFonts w:ascii="宋体" w:eastAsia="宋体" w:hAnsi="宋体" w:hint="eastAsia"/>
                <w:sz w:val="24"/>
                <w:szCs w:val="28"/>
              </w:rPr>
              <w:t>的链接；比如建设米兰展贸中心，作为轻纺城的对外展示窗口；深化迪拜海外仓建设，进一步增强物流辐射功能，提升</w:t>
            </w:r>
            <w:proofErr w:type="gramStart"/>
            <w:r w:rsidRPr="0094660B">
              <w:rPr>
                <w:rFonts w:ascii="宋体" w:eastAsia="宋体" w:hAnsi="宋体" w:hint="eastAsia"/>
                <w:sz w:val="24"/>
                <w:szCs w:val="28"/>
              </w:rPr>
              <w:t>市场外贸</w:t>
            </w:r>
            <w:proofErr w:type="gramEnd"/>
            <w:r w:rsidRPr="0094660B">
              <w:rPr>
                <w:rFonts w:ascii="宋体" w:eastAsia="宋体" w:hAnsi="宋体" w:hint="eastAsia"/>
                <w:sz w:val="24"/>
                <w:szCs w:val="28"/>
              </w:rPr>
              <w:t>出口服务能力。</w:t>
            </w:r>
          </w:p>
          <w:p w14:paraId="300F468B" w14:textId="5EA42E3A" w:rsidR="0094660B" w:rsidRPr="0094660B" w:rsidRDefault="0094660B" w:rsidP="0094660B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7. 对于市值管理，大股东、高管是否有增持计划？</w:t>
            </w:r>
          </w:p>
          <w:p w14:paraId="11CFFD2A" w14:textId="17A11596" w:rsidR="0094660B" w:rsidRPr="00835872" w:rsidRDefault="0094660B" w:rsidP="0094660B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94660B">
              <w:rPr>
                <w:rFonts w:ascii="宋体" w:eastAsia="宋体" w:hAnsi="宋体" w:hint="eastAsia"/>
                <w:sz w:val="24"/>
                <w:szCs w:val="28"/>
              </w:rPr>
              <w:t>公司管理层高度重视市值管理，专注公司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市场主业的同时，积极围绕产业链上下游进行拓展，不断寻求新的业务和利润增长点，</w:t>
            </w:r>
            <w:r w:rsidRPr="0094660B">
              <w:rPr>
                <w:rFonts w:ascii="宋体" w:eastAsia="宋体" w:hAnsi="宋体" w:hint="eastAsia"/>
                <w:sz w:val="24"/>
                <w:szCs w:val="28"/>
              </w:rPr>
              <w:t>维护投资者的长期利益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Pr="0094660B">
              <w:rPr>
                <w:rFonts w:ascii="宋体" w:eastAsia="宋体" w:hAnsi="宋体" w:hint="eastAsia"/>
                <w:sz w:val="24"/>
                <w:szCs w:val="28"/>
              </w:rPr>
              <w:t>目前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大股东正在实施增持计划，</w:t>
            </w:r>
            <w:r w:rsidRPr="0094660B">
              <w:rPr>
                <w:rFonts w:ascii="宋体" w:eastAsia="宋体" w:hAnsi="宋体" w:hint="eastAsia"/>
                <w:sz w:val="24"/>
                <w:szCs w:val="28"/>
              </w:rPr>
              <w:t>截止8月26日，开发经营集团通过集中竞价交易方式累计增持轻纺城股份 17,172,134.00 股，增</w:t>
            </w:r>
            <w:proofErr w:type="gramStart"/>
            <w:r w:rsidRPr="0094660B">
              <w:rPr>
                <w:rFonts w:ascii="宋体" w:eastAsia="宋体" w:hAnsi="宋体" w:hint="eastAsia"/>
                <w:sz w:val="24"/>
                <w:szCs w:val="28"/>
              </w:rPr>
              <w:t>持金额</w:t>
            </w:r>
            <w:proofErr w:type="gramEnd"/>
            <w:r w:rsidRPr="0094660B">
              <w:rPr>
                <w:rFonts w:ascii="宋体" w:eastAsia="宋体" w:hAnsi="宋体" w:hint="eastAsia"/>
                <w:sz w:val="24"/>
                <w:szCs w:val="28"/>
              </w:rPr>
              <w:t>合计人民币 62,568,420.80 元。</w:t>
            </w:r>
          </w:p>
        </w:tc>
      </w:tr>
    </w:tbl>
    <w:p w14:paraId="51358BD7" w14:textId="3D92DC9F" w:rsidR="00A03B5D" w:rsidRDefault="00A03B5D">
      <w:pPr>
        <w:rPr>
          <w:rFonts w:hint="eastAsia"/>
        </w:rPr>
      </w:pPr>
    </w:p>
    <w:sectPr w:rsidR="00A0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498C3" w14:textId="77777777" w:rsidR="0088263F" w:rsidRDefault="0088263F" w:rsidP="008E5D0E">
      <w:pPr>
        <w:rPr>
          <w:rFonts w:hint="eastAsia"/>
        </w:rPr>
      </w:pPr>
      <w:r>
        <w:separator/>
      </w:r>
    </w:p>
  </w:endnote>
  <w:endnote w:type="continuationSeparator" w:id="0">
    <w:p w14:paraId="5D716049" w14:textId="77777777" w:rsidR="0088263F" w:rsidRDefault="0088263F" w:rsidP="008E5D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C47C" w14:textId="77777777" w:rsidR="0088263F" w:rsidRDefault="0088263F" w:rsidP="008E5D0E">
      <w:pPr>
        <w:rPr>
          <w:rFonts w:hint="eastAsia"/>
        </w:rPr>
      </w:pPr>
      <w:r>
        <w:separator/>
      </w:r>
    </w:p>
  </w:footnote>
  <w:footnote w:type="continuationSeparator" w:id="0">
    <w:p w14:paraId="37C4B770" w14:textId="77777777" w:rsidR="0088263F" w:rsidRDefault="0088263F" w:rsidP="008E5D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0"/>
    <w:rsid w:val="000146C6"/>
    <w:rsid w:val="000C530B"/>
    <w:rsid w:val="000D7CAD"/>
    <w:rsid w:val="00100369"/>
    <w:rsid w:val="001172ED"/>
    <w:rsid w:val="0015198B"/>
    <w:rsid w:val="0015432B"/>
    <w:rsid w:val="00164CA3"/>
    <w:rsid w:val="001A11C3"/>
    <w:rsid w:val="001C2380"/>
    <w:rsid w:val="001C7613"/>
    <w:rsid w:val="00216D18"/>
    <w:rsid w:val="002863FC"/>
    <w:rsid w:val="002A59DC"/>
    <w:rsid w:val="002C794E"/>
    <w:rsid w:val="002D45E5"/>
    <w:rsid w:val="002D5D40"/>
    <w:rsid w:val="002F63DD"/>
    <w:rsid w:val="00314975"/>
    <w:rsid w:val="003C4F7A"/>
    <w:rsid w:val="003D07A0"/>
    <w:rsid w:val="00401716"/>
    <w:rsid w:val="00422A40"/>
    <w:rsid w:val="00444719"/>
    <w:rsid w:val="00453063"/>
    <w:rsid w:val="00465603"/>
    <w:rsid w:val="0047782E"/>
    <w:rsid w:val="00484641"/>
    <w:rsid w:val="00491E8F"/>
    <w:rsid w:val="004B244D"/>
    <w:rsid w:val="004D6A2C"/>
    <w:rsid w:val="004E3EDC"/>
    <w:rsid w:val="00516A9B"/>
    <w:rsid w:val="00533A40"/>
    <w:rsid w:val="00546413"/>
    <w:rsid w:val="0056551B"/>
    <w:rsid w:val="005D1CF2"/>
    <w:rsid w:val="005F7C47"/>
    <w:rsid w:val="006354B6"/>
    <w:rsid w:val="00644A8F"/>
    <w:rsid w:val="00677C55"/>
    <w:rsid w:val="006B2221"/>
    <w:rsid w:val="006B7080"/>
    <w:rsid w:val="006C5133"/>
    <w:rsid w:val="006C67BB"/>
    <w:rsid w:val="006F719B"/>
    <w:rsid w:val="007025C8"/>
    <w:rsid w:val="00713165"/>
    <w:rsid w:val="007213F7"/>
    <w:rsid w:val="0072336D"/>
    <w:rsid w:val="007A310B"/>
    <w:rsid w:val="007B6D2C"/>
    <w:rsid w:val="007D338B"/>
    <w:rsid w:val="007F3F1E"/>
    <w:rsid w:val="0080050E"/>
    <w:rsid w:val="00835872"/>
    <w:rsid w:val="00851C84"/>
    <w:rsid w:val="00853047"/>
    <w:rsid w:val="0088263F"/>
    <w:rsid w:val="008C41F8"/>
    <w:rsid w:val="008D2C4C"/>
    <w:rsid w:val="008E5D0E"/>
    <w:rsid w:val="008F2400"/>
    <w:rsid w:val="00920F4F"/>
    <w:rsid w:val="00931FBC"/>
    <w:rsid w:val="0094660B"/>
    <w:rsid w:val="00971F08"/>
    <w:rsid w:val="00974360"/>
    <w:rsid w:val="00975F35"/>
    <w:rsid w:val="009C4816"/>
    <w:rsid w:val="009D6C01"/>
    <w:rsid w:val="009E2AF5"/>
    <w:rsid w:val="009E7485"/>
    <w:rsid w:val="00A03B5D"/>
    <w:rsid w:val="00A20389"/>
    <w:rsid w:val="00A26128"/>
    <w:rsid w:val="00A41874"/>
    <w:rsid w:val="00AB5CFD"/>
    <w:rsid w:val="00AC0D63"/>
    <w:rsid w:val="00AD5418"/>
    <w:rsid w:val="00AE5B6D"/>
    <w:rsid w:val="00B10F4C"/>
    <w:rsid w:val="00B65ACF"/>
    <w:rsid w:val="00B70080"/>
    <w:rsid w:val="00B76319"/>
    <w:rsid w:val="00B77919"/>
    <w:rsid w:val="00B82130"/>
    <w:rsid w:val="00B84A39"/>
    <w:rsid w:val="00B94ED6"/>
    <w:rsid w:val="00BB0025"/>
    <w:rsid w:val="00BE62EA"/>
    <w:rsid w:val="00C065B2"/>
    <w:rsid w:val="00C153B0"/>
    <w:rsid w:val="00C60FA0"/>
    <w:rsid w:val="00CD7709"/>
    <w:rsid w:val="00D22E72"/>
    <w:rsid w:val="00D30227"/>
    <w:rsid w:val="00D336F5"/>
    <w:rsid w:val="00D37AF5"/>
    <w:rsid w:val="00D40BBE"/>
    <w:rsid w:val="00D4614B"/>
    <w:rsid w:val="00D678FD"/>
    <w:rsid w:val="00D8620C"/>
    <w:rsid w:val="00DC0765"/>
    <w:rsid w:val="00DD4ADE"/>
    <w:rsid w:val="00DF5420"/>
    <w:rsid w:val="00DF69EF"/>
    <w:rsid w:val="00E07111"/>
    <w:rsid w:val="00E35C07"/>
    <w:rsid w:val="00E63E21"/>
    <w:rsid w:val="00EB4FD5"/>
    <w:rsid w:val="00EE040D"/>
    <w:rsid w:val="00EF4629"/>
    <w:rsid w:val="00F009C9"/>
    <w:rsid w:val="00F33941"/>
    <w:rsid w:val="00F42A31"/>
    <w:rsid w:val="00F7791F"/>
    <w:rsid w:val="00FA5FDA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0A353"/>
  <w15:chartTrackingRefBased/>
  <w15:docId w15:val="{30140119-291A-4DD1-B725-F33436F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D0E"/>
    <w:rPr>
      <w:sz w:val="18"/>
      <w:szCs w:val="18"/>
      <w14:ligatures w14:val="none"/>
    </w:rPr>
  </w:style>
  <w:style w:type="character" w:styleId="a7">
    <w:name w:val="Hyperlink"/>
    <w:basedOn w:val="a0"/>
    <w:uiPriority w:val="99"/>
    <w:semiHidden/>
    <w:unhideWhenUsed/>
    <w:rsid w:val="008F2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琦青</dc:creator>
  <cp:keywords/>
  <dc:description/>
  <cp:lastModifiedBy>微软用户</cp:lastModifiedBy>
  <cp:revision>5</cp:revision>
  <cp:lastPrinted>2023-05-30T01:28:00Z</cp:lastPrinted>
  <dcterms:created xsi:type="dcterms:W3CDTF">2025-09-05T07:11:00Z</dcterms:created>
  <dcterms:modified xsi:type="dcterms:W3CDTF">2025-09-05T08:52:00Z</dcterms:modified>
</cp:coreProperties>
</file>