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C49E">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603409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汇通控股</w:t>
      </w:r>
    </w:p>
    <w:p w14:paraId="4E1BBB01">
      <w:pPr>
        <w:spacing w:line="360" w:lineRule="auto"/>
        <w:jc w:val="center"/>
        <w:rPr>
          <w:rFonts w:ascii="宋体" w:hAnsi="宋体" w:eastAsia="宋体" w:cs="宋体"/>
          <w:b/>
          <w:bCs/>
          <w:sz w:val="44"/>
          <w:szCs w:val="44"/>
        </w:rPr>
      </w:pPr>
    </w:p>
    <w:p w14:paraId="7572ACBB">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合肥汇通控股股份有限公司</w:t>
      </w:r>
    </w:p>
    <w:p w14:paraId="343CC452">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4B2999B3">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lang w:val="en-US" w:eastAsia="zh-CN"/>
        </w:rPr>
        <w:t>0905</w:t>
      </w: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428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6A799CA3">
            <w:pPr>
              <w:pStyle w:val="12"/>
              <w:spacing w:before="7"/>
              <w:rPr>
                <w:rFonts w:ascii="宋体" w:hAnsi="宋体" w:eastAsia="宋体" w:cs="宋体"/>
                <w:b/>
                <w:bCs/>
                <w:sz w:val="20"/>
                <w:szCs w:val="20"/>
              </w:rPr>
            </w:pPr>
          </w:p>
          <w:p w14:paraId="7EFAEA3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EF5D219">
            <w:pPr>
              <w:pStyle w:val="12"/>
              <w:spacing w:before="7"/>
              <w:rPr>
                <w:rFonts w:ascii="宋体" w:hAnsi="宋体" w:eastAsia="宋体" w:cs="宋体"/>
                <w:sz w:val="20"/>
                <w:szCs w:val="20"/>
              </w:rPr>
            </w:pPr>
          </w:p>
          <w:p w14:paraId="00112D73">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E9BC7F8">
            <w:pPr>
              <w:pStyle w:val="12"/>
              <w:spacing w:before="11"/>
              <w:rPr>
                <w:rFonts w:ascii="宋体" w:hAnsi="宋体" w:eastAsia="宋体" w:cs="宋体"/>
                <w:sz w:val="20"/>
                <w:szCs w:val="20"/>
              </w:rPr>
            </w:pPr>
          </w:p>
          <w:p w14:paraId="5D97A69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DC3AB9D">
            <w:pPr>
              <w:pStyle w:val="12"/>
              <w:spacing w:before="8"/>
              <w:rPr>
                <w:rFonts w:ascii="宋体" w:hAnsi="宋体" w:eastAsia="宋体" w:cs="宋体"/>
                <w:sz w:val="20"/>
                <w:szCs w:val="20"/>
              </w:rPr>
            </w:pPr>
          </w:p>
          <w:p w14:paraId="75C1EDD5">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E42EE90">
            <w:pPr>
              <w:pStyle w:val="12"/>
              <w:spacing w:before="8"/>
              <w:rPr>
                <w:rFonts w:ascii="宋体" w:hAnsi="宋体" w:eastAsia="宋体" w:cs="宋体"/>
                <w:sz w:val="20"/>
                <w:szCs w:val="20"/>
              </w:rPr>
            </w:pPr>
          </w:p>
          <w:p w14:paraId="2A521FA5">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4AC7AB2">
            <w:pPr>
              <w:pStyle w:val="12"/>
              <w:spacing w:before="11"/>
              <w:rPr>
                <w:rFonts w:ascii="宋体" w:hAnsi="宋体" w:eastAsia="宋体" w:cs="宋体"/>
                <w:sz w:val="20"/>
                <w:szCs w:val="20"/>
              </w:rPr>
            </w:pPr>
          </w:p>
          <w:p w14:paraId="6DA19A4C">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1F89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50A44C0A">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B7D13D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线上参与公司2025年半年度业绩说明会的全体投资者</w:t>
            </w:r>
          </w:p>
        </w:tc>
      </w:tr>
      <w:tr w14:paraId="539A4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87F1C4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74C9019D">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2025年09月05日 15:00-16:00</w:t>
            </w:r>
          </w:p>
        </w:tc>
      </w:tr>
      <w:tr w14:paraId="087B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51CCFE5">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D516DD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542B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104FBD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11F3DE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陈王保</w:t>
            </w:r>
            <w:r>
              <w:rPr>
                <w:rFonts w:ascii="宋体" w:hAnsi="宋体" w:eastAsia="宋体" w:cs="宋体"/>
                <w:sz w:val="20"/>
                <w:szCs w:val="20"/>
              </w:rPr>
              <w:br w:type="textWrapping"/>
            </w:r>
            <w:r>
              <w:rPr>
                <w:rFonts w:ascii="宋体" w:hAnsi="宋体" w:eastAsia="宋体" w:cs="宋体"/>
                <w:sz w:val="20"/>
                <w:szCs w:val="20"/>
              </w:rPr>
              <w:t>财务总监 王巧生</w:t>
            </w:r>
            <w:r>
              <w:rPr>
                <w:rFonts w:ascii="宋体" w:hAnsi="宋体" w:eastAsia="宋体" w:cs="宋体"/>
                <w:sz w:val="20"/>
                <w:szCs w:val="20"/>
              </w:rPr>
              <w:br w:type="textWrapping"/>
            </w:r>
            <w:r>
              <w:rPr>
                <w:rFonts w:ascii="宋体" w:hAnsi="宋体" w:eastAsia="宋体" w:cs="宋体"/>
                <w:sz w:val="20"/>
                <w:szCs w:val="20"/>
              </w:rPr>
              <w:t>董事会秘书 周文竹</w:t>
            </w:r>
            <w:r>
              <w:rPr>
                <w:rFonts w:ascii="宋体" w:hAnsi="宋体" w:eastAsia="宋体" w:cs="宋体"/>
                <w:sz w:val="20"/>
                <w:szCs w:val="20"/>
              </w:rPr>
              <w:br w:type="textWrapping"/>
            </w:r>
            <w:r>
              <w:rPr>
                <w:rFonts w:ascii="宋体" w:hAnsi="宋体" w:eastAsia="宋体" w:cs="宋体"/>
                <w:sz w:val="20"/>
                <w:szCs w:val="20"/>
              </w:rPr>
              <w:t>独立董事 戴欣苗</w:t>
            </w:r>
          </w:p>
        </w:tc>
      </w:tr>
      <w:tr w14:paraId="4418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89DB500">
            <w:pPr>
              <w:pStyle w:val="12"/>
              <w:rPr>
                <w:rFonts w:ascii="宋体" w:hAnsi="宋体" w:eastAsia="宋体" w:cs="宋体"/>
                <w:b/>
                <w:bCs/>
                <w:sz w:val="20"/>
                <w:szCs w:val="20"/>
              </w:rPr>
            </w:pPr>
          </w:p>
          <w:p w14:paraId="4D5CC600">
            <w:pPr>
              <w:pStyle w:val="12"/>
              <w:rPr>
                <w:rFonts w:ascii="宋体" w:hAnsi="宋体" w:eastAsia="宋体" w:cs="宋体"/>
                <w:b/>
                <w:bCs/>
                <w:sz w:val="20"/>
                <w:szCs w:val="20"/>
              </w:rPr>
            </w:pPr>
          </w:p>
          <w:p w14:paraId="7ABC5C8D">
            <w:pPr>
              <w:pStyle w:val="12"/>
              <w:spacing w:before="5"/>
              <w:rPr>
                <w:rFonts w:ascii="宋体" w:hAnsi="宋体" w:eastAsia="宋体" w:cs="宋体"/>
                <w:b/>
                <w:bCs/>
                <w:sz w:val="20"/>
                <w:szCs w:val="20"/>
              </w:rPr>
            </w:pPr>
          </w:p>
          <w:p w14:paraId="71396E5A">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30AC6B6B">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2" w:firstLineChars="200"/>
              <w:textAlignment w:val="auto"/>
              <w:rPr>
                <w:rFonts w:ascii="宋体" w:hAnsi="宋体" w:eastAsia="宋体" w:cs="宋体"/>
                <w:b w:val="0"/>
                <w:sz w:val="20"/>
              </w:rPr>
            </w:pPr>
            <w:r>
              <w:rPr>
                <w:rFonts w:ascii="宋体" w:hAnsi="宋体" w:eastAsia="宋体" w:cs="宋体"/>
                <w:b/>
                <w:sz w:val="20"/>
              </w:rPr>
              <w:t>1.公司在芜湖、安庆新建大型保险杠涂装生产线，且已获取奇瑞汽车多个重要车型的保险杠总成项目定点，保险杠业务作为新增长点，目前产能建设进度如何？预计何时贡献收入增量？</w:t>
            </w:r>
            <w:r>
              <w:rPr>
                <w:rFonts w:ascii="宋体" w:hAnsi="宋体" w:eastAsia="宋体" w:cs="宋体"/>
                <w:b/>
                <w:sz w:val="20"/>
              </w:rPr>
              <w:br w:type="textWrapping"/>
            </w:r>
            <w:r>
              <w:rPr>
                <w:rFonts w:ascii="宋体" w:hAnsi="宋体" w:eastAsia="宋体" w:cs="宋体"/>
                <w:b w:val="0"/>
                <w:sz w:val="20"/>
              </w:rPr>
              <w:t xml:space="preserve">    答:尊敬的投资者，您好！截至目前，芜湖、安庆新建的保险杠涂装生产线已投入使用，并且所获取的定点项目已逐步实现量产，随着以上生产线的产能利用率不断提升，保险杠业务将在四季度有较大增长。</w:t>
            </w:r>
            <w:r>
              <w:rPr>
                <w:rFonts w:ascii="宋体" w:hAnsi="宋体" w:eastAsia="宋体" w:cs="宋体"/>
                <w:b w:val="0"/>
                <w:sz w:val="20"/>
              </w:rPr>
              <w:br w:type="textWrapping"/>
            </w:r>
            <w:r>
              <w:rPr>
                <w:rFonts w:ascii="宋体" w:hAnsi="宋体" w:eastAsia="宋体" w:cs="宋体"/>
                <w:b/>
                <w:sz w:val="20"/>
              </w:rPr>
              <w:t xml:space="preserve">    2.公司成功进入上汽集团、广汽集团配套体系，并取得上汽、东风日产项目定点，这些新客户项目预计何时量产？对公司收入结构会产生怎样的影响？</w:t>
            </w:r>
            <w:r>
              <w:rPr>
                <w:rFonts w:ascii="宋体" w:hAnsi="宋体" w:eastAsia="宋体" w:cs="宋体"/>
                <w:b/>
                <w:sz w:val="20"/>
              </w:rPr>
              <w:br w:type="textWrapping"/>
            </w:r>
            <w:r>
              <w:rPr>
                <w:rFonts w:ascii="宋体" w:hAnsi="宋体" w:eastAsia="宋体" w:cs="宋体"/>
                <w:b w:val="0"/>
                <w:sz w:val="20"/>
              </w:rPr>
              <w:t xml:space="preserve">    答:尊敬的投资者，您好！公司不断积极拓展新客户，已取得的上汽集团、东风日产等项目定点将陆续在2025年下半年及2026年实现量产，量产后将进一步提升公司造型部件和声学产品的收入规模。</w:t>
            </w:r>
            <w:r>
              <w:rPr>
                <w:rFonts w:ascii="宋体" w:hAnsi="宋体" w:eastAsia="宋体" w:cs="宋体"/>
                <w:b w:val="0"/>
                <w:sz w:val="20"/>
              </w:rPr>
              <w:br w:type="textWrapping"/>
            </w:r>
            <w:r>
              <w:rPr>
                <w:rFonts w:ascii="宋体" w:hAnsi="宋体" w:eastAsia="宋体" w:cs="宋体"/>
                <w:b/>
                <w:sz w:val="20"/>
              </w:rPr>
              <w:t xml:space="preserve">    3.公司汽车声学产品收入同比增长 58.54%，车轮总成分装业务收入同比增长33.13%，这两大业务高增长的驱动因素是什么？未来增长潜力如何？</w:t>
            </w:r>
            <w:r>
              <w:rPr>
                <w:rFonts w:ascii="宋体" w:hAnsi="宋体" w:eastAsia="宋体" w:cs="宋体"/>
                <w:b/>
                <w:sz w:val="20"/>
              </w:rPr>
              <w:br w:type="textWrapping"/>
            </w:r>
            <w:r>
              <w:rPr>
                <w:rFonts w:ascii="宋体" w:hAnsi="宋体" w:eastAsia="宋体" w:cs="宋体"/>
                <w:b w:val="0"/>
                <w:sz w:val="20"/>
              </w:rPr>
              <w:t xml:space="preserve">    答:尊敬的投资者，您好！</w:t>
            </w:r>
          </w:p>
          <w:p w14:paraId="4AFBCCD5">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2025年1-6月，公司汽车声学产品收入同比增长58.54%，收入增量主要系来自福州和大连生产基地配套的系列产品销售收入增加。公司为提升快速响应能力和覆盖范围，跟随主机厂就近配套，布局多个外地生产基地，提升公司产能。</w:t>
            </w:r>
          </w:p>
          <w:p w14:paraId="072D7160">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公司深耕汽车声学产品领域近20年，与主机厂合资合作，并吸收国外先进的技术，技术上具有先发优势。公司积累了较强的声学实验能力，建立了声学材料测试的数据库以及声学包产品设计标准，具备与主机厂同步设计开发汽车声学包的能力。未来，公司仍将加大技术投入，提升产品竞争力。</w:t>
            </w:r>
          </w:p>
          <w:p w14:paraId="0381C294">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2025年1-6月，公司车轮总成分装业务收入同比增长33.13%。公司始终坚持质量保证和效率驱动，通过引进先进设备，建立了信息化、自动化的作业系统，实现对单个车轮自动识别，生产全程监控，自动排序供货，全面匹配主机厂的总装需求。</w:t>
            </w:r>
          </w:p>
          <w:p w14:paraId="0C7F6F58">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上半年，公司已取得华为尊界项目车轮分装项目定点，并实现量产供货；同时，蔚来汽车乐道品牌、萤火虫品牌的车轮分装业务已量产供货，为公司收入带来新的增长点。公司还将通过产业链协同优势，进一步深化与现有客户的合作，开拓新客户，增强整体竞争力。</w:t>
            </w:r>
            <w:r>
              <w:rPr>
                <w:rFonts w:ascii="宋体" w:hAnsi="宋体" w:eastAsia="宋体" w:cs="宋体"/>
                <w:b w:val="0"/>
                <w:sz w:val="20"/>
              </w:rPr>
              <w:br w:type="textWrapping"/>
            </w:r>
            <w:r>
              <w:rPr>
                <w:rFonts w:ascii="宋体" w:hAnsi="宋体" w:eastAsia="宋体" w:cs="宋体"/>
                <w:b/>
                <w:sz w:val="20"/>
              </w:rPr>
              <w:t xml:space="preserve">    4.公司研发投入情况如何，对未来业务发展有何影响？</w:t>
            </w:r>
            <w:r>
              <w:rPr>
                <w:rFonts w:ascii="宋体" w:hAnsi="宋体" w:eastAsia="宋体" w:cs="宋体"/>
                <w:b/>
                <w:sz w:val="20"/>
              </w:rPr>
              <w:br w:type="textWrapping"/>
            </w:r>
            <w:r>
              <w:rPr>
                <w:rFonts w:ascii="宋体" w:hAnsi="宋体" w:eastAsia="宋体" w:cs="宋体"/>
                <w:b w:val="0"/>
                <w:sz w:val="20"/>
              </w:rPr>
              <w:t xml:space="preserve">    答:尊敬的投资者，您好！2025年1-6月，公司研发费用金额2</w:t>
            </w:r>
            <w:r>
              <w:rPr>
                <w:rFonts w:hint="eastAsia" w:ascii="宋体" w:hAnsi="宋体" w:eastAsia="宋体" w:cs="宋体"/>
                <w:b w:val="0"/>
                <w:sz w:val="20"/>
                <w:lang w:val="en-US" w:eastAsia="zh-CN"/>
              </w:rPr>
              <w:t>,</w:t>
            </w:r>
            <w:r>
              <w:rPr>
                <w:rFonts w:ascii="宋体" w:hAnsi="宋体" w:eastAsia="宋体" w:cs="宋体"/>
                <w:b w:val="0"/>
                <w:sz w:val="20"/>
              </w:rPr>
              <w:t>321</w:t>
            </w:r>
            <w:r>
              <w:rPr>
                <w:rFonts w:hint="eastAsia" w:ascii="宋体" w:hAnsi="宋体" w:eastAsia="宋体" w:cs="宋体"/>
                <w:b w:val="0"/>
                <w:sz w:val="20"/>
                <w:lang w:val="en-US" w:eastAsia="zh-CN"/>
              </w:rPr>
              <w:t>.</w:t>
            </w:r>
            <w:r>
              <w:rPr>
                <w:rFonts w:ascii="宋体" w:hAnsi="宋体" w:eastAsia="宋体" w:cs="宋体"/>
                <w:b w:val="0"/>
                <w:sz w:val="20"/>
              </w:rPr>
              <w:t>31</w:t>
            </w:r>
            <w:r>
              <w:rPr>
                <w:rFonts w:hint="eastAsia" w:ascii="宋体" w:hAnsi="宋体" w:eastAsia="宋体" w:cs="宋体"/>
                <w:b w:val="0"/>
                <w:sz w:val="20"/>
                <w:lang w:val="en-US" w:eastAsia="zh-CN"/>
              </w:rPr>
              <w:t>万</w:t>
            </w:r>
            <w:r>
              <w:rPr>
                <w:rFonts w:ascii="宋体" w:hAnsi="宋体" w:eastAsia="宋体" w:cs="宋体"/>
                <w:b w:val="0"/>
                <w:sz w:val="20"/>
              </w:rPr>
              <w:t>元，同比增长13.22%。公司将继续加大技术研发投入，数字化及研发中心建设项目募集资金计划投资总额8,000万元，目前正在建设中，项目建成后公司研发能力将会得到较大提升。</w:t>
            </w:r>
          </w:p>
          <w:p w14:paraId="4934EA16">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公司研发部门下设造型部件工程技术部、声学工程技术部、产品设计部、工艺工程部、汽车电子工程部和实验中心。芜湖创新研究院和汇通天下汽车科技（上海）有限责任公司陆续开展研发活动，已形成合肥、芜湖、上海三地研发中心布局，实行同步开发和自主开发相结合的研发模式。</w:t>
            </w:r>
            <w:r>
              <w:rPr>
                <w:rFonts w:ascii="宋体" w:hAnsi="宋体" w:eastAsia="宋体" w:cs="宋体"/>
                <w:b w:val="0"/>
                <w:sz w:val="20"/>
              </w:rPr>
              <w:br w:type="textWrapping"/>
            </w:r>
            <w:r>
              <w:rPr>
                <w:rFonts w:ascii="宋体" w:hAnsi="宋体" w:eastAsia="宋体" w:cs="宋体"/>
                <w:b/>
                <w:sz w:val="20"/>
              </w:rPr>
              <w:t xml:space="preserve">    5.公司预计2025年下半年营收情况？</w:t>
            </w:r>
            <w:r>
              <w:rPr>
                <w:rFonts w:ascii="宋体" w:hAnsi="宋体" w:eastAsia="宋体" w:cs="宋体"/>
                <w:b/>
                <w:sz w:val="20"/>
              </w:rPr>
              <w:br w:type="textWrapping"/>
            </w:r>
            <w:r>
              <w:rPr>
                <w:rFonts w:ascii="宋体" w:hAnsi="宋体" w:eastAsia="宋体" w:cs="宋体"/>
                <w:b w:val="0"/>
                <w:sz w:val="20"/>
              </w:rPr>
              <w:t xml:space="preserve">    答:尊敬的投资者，您好！根据公司在手订单，2025年下半年公司营收较上年同期延续增长态势。</w:t>
            </w:r>
          </w:p>
          <w:p w14:paraId="60788B75">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随着主要客户业务规模扩大，双方合作将进一步深化，为业绩增长提供持续支撑。</w:t>
            </w:r>
          </w:p>
          <w:p w14:paraId="648FAC25">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r>
              <w:rPr>
                <w:rFonts w:ascii="宋体" w:hAnsi="宋体" w:eastAsia="宋体" w:cs="宋体"/>
                <w:b w:val="0"/>
                <w:sz w:val="20"/>
              </w:rPr>
              <w:t>公司在芜湖、安庆新建的大型保险杠涂装生产线已量产，随着产能利用率的不断提升，保险杠业务将成为公司新的业务增长点。</w:t>
            </w:r>
          </w:p>
          <w:p w14:paraId="059BAD74">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公司正积极拓展新客户，已成功进入上汽集团、广汽集团等配套供应商体系，并取得上汽集团、东风日产等项目定点，部分项目定点产品将陆续在2025年下半年实现量产。</w:t>
            </w:r>
            <w:r>
              <w:rPr>
                <w:rFonts w:ascii="宋体" w:hAnsi="宋体" w:eastAsia="宋体" w:cs="宋体"/>
                <w:b w:val="0"/>
                <w:sz w:val="20"/>
              </w:rPr>
              <w:br w:type="textWrapping"/>
            </w:r>
            <w:r>
              <w:rPr>
                <w:rFonts w:ascii="宋体" w:hAnsi="宋体" w:eastAsia="宋体" w:cs="宋体"/>
                <w:b/>
                <w:sz w:val="20"/>
              </w:rPr>
              <w:t xml:space="preserve">    6.面对行业内的激烈竞争，公司认为自身的核心竞争优势是什么，未来如何进一步强化这些优势？</w:t>
            </w:r>
            <w:r>
              <w:rPr>
                <w:rFonts w:ascii="宋体" w:hAnsi="宋体" w:eastAsia="宋体" w:cs="宋体"/>
                <w:b/>
                <w:sz w:val="20"/>
              </w:rPr>
              <w:br w:type="textWrapping"/>
            </w:r>
            <w:r>
              <w:rPr>
                <w:rFonts w:ascii="宋体" w:hAnsi="宋体" w:eastAsia="宋体" w:cs="宋体"/>
                <w:b w:val="0"/>
                <w:sz w:val="20"/>
              </w:rPr>
              <w:t xml:space="preserve">    答:尊敬的投资者，您好！</w:t>
            </w:r>
          </w:p>
          <w:p w14:paraId="0BC5D2EB">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技术优势</w:t>
            </w:r>
          </w:p>
          <w:p w14:paraId="12F2A3A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公司专注主营业务近20年，培养了一支成熟高效的技工队伍，可以应对各类复杂工艺要求，解决不同的工艺难题，产品质量获得客户认可。</w:t>
            </w:r>
          </w:p>
          <w:p w14:paraId="7D6CACA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造型部件业务上，公司具有较为全面的非金属材料表面处理技术，是集烫印、喷涂、电镀、PVD、丝网印刷、转印、滴注等塑料表面处理工艺为一体的综合技术方案提供商。</w:t>
            </w:r>
          </w:p>
          <w:p w14:paraId="6A269FD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声学产品业务上，公司深耕汽车声学产品领域近20年，技术上具有先发优势，建立了声学材料测试的数据库以及声学包产品设计标准，具备与主机厂同步设计开发汽车声学包的能力。</w:t>
            </w:r>
          </w:p>
          <w:p w14:paraId="5E49803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车轮总成分装业务上，公司始终坚持质量保证和效率驱动，通过引进先进设备，建立了信息化、自动化的作业系统，全面匹配主机厂的总装需求。</w:t>
            </w:r>
          </w:p>
          <w:p w14:paraId="3E08E94D">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成本领先</w:t>
            </w:r>
          </w:p>
          <w:p w14:paraId="0245124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公司通过实施精益管理，坚持效率驱动，对供应链、生产制造、计划物流等环节持续改善，能够有效地控制生产成本并减少浪费。2025年1-6月，公司存货周转率为9.04次/年，公司存货周转率远高于同行业可比公司平均值，运营效率高，提升公司竞争力。</w:t>
            </w:r>
          </w:p>
          <w:p w14:paraId="22761FD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b w:val="0"/>
                <w:sz w:val="20"/>
              </w:rPr>
            </w:pPr>
            <w:r>
              <w:rPr>
                <w:rFonts w:ascii="宋体" w:hAnsi="宋体" w:eastAsia="宋体" w:cs="宋体"/>
                <w:b w:val="0"/>
                <w:sz w:val="20"/>
              </w:rPr>
              <w:t>公司跟随主机厂就近配套，降低物流运输成本，提高快速响应能力应对客户不断变化的订单需求，并减少产品运输中的损耗成本。</w:t>
            </w:r>
          </w:p>
          <w:p w14:paraId="7D852DA5">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sz w:val="20"/>
                <w:szCs w:val="20"/>
              </w:rPr>
            </w:pPr>
            <w:r>
              <w:rPr>
                <w:rFonts w:ascii="宋体" w:hAnsi="宋体" w:eastAsia="宋体" w:cs="宋体"/>
                <w:b w:val="0"/>
                <w:sz w:val="20"/>
              </w:rPr>
              <w:t>地域优势</w:t>
            </w:r>
          </w:p>
          <w:p w14:paraId="5AFFF2E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Chars="0" w:firstLine="400" w:firstLineChars="200"/>
              <w:textAlignment w:val="auto"/>
              <w:rPr>
                <w:rFonts w:ascii="宋体" w:hAnsi="宋体" w:eastAsia="宋体" w:cs="宋体"/>
                <w:sz w:val="20"/>
                <w:szCs w:val="20"/>
              </w:rPr>
            </w:pPr>
            <w:r>
              <w:rPr>
                <w:rFonts w:ascii="宋体" w:hAnsi="宋体" w:eastAsia="宋体" w:cs="宋体"/>
                <w:b w:val="0"/>
                <w:sz w:val="20"/>
              </w:rPr>
              <w:t>公司所处的合肥市位于汽车工业集群“长三角产业集群”范围，凭借产业协同效应和显著的区位优势，安徽省汽车产业得到飞速发展。当下，安徽已集聚奇瑞集团、蔚来汽车、大众安徽、合肥比亚迪、江汽集团、合肥长安、安凯客车等整车企业，拥有乘用车、商用车、专用车等全系列产品，有着配套完善的全产业链。2025年1-6月，安徽省汽车产量和新能源汽车产量跃居全国第一。</w:t>
            </w:r>
          </w:p>
          <w:p w14:paraId="5B584D2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0" w:leftChars="0" w:firstLine="400" w:firstLineChars="200"/>
              <w:textAlignment w:val="auto"/>
              <w:rPr>
                <w:rFonts w:ascii="宋体" w:hAnsi="宋体" w:eastAsia="宋体" w:cs="宋体"/>
                <w:sz w:val="20"/>
                <w:szCs w:val="20"/>
              </w:rPr>
            </w:pPr>
            <w:r>
              <w:rPr>
                <w:rFonts w:ascii="宋体" w:hAnsi="宋体" w:eastAsia="宋体" w:cs="宋体"/>
                <w:b w:val="0"/>
                <w:sz w:val="20"/>
              </w:rPr>
              <w:t>未来，公司通过持续加大研发投入，提升核心技术优势，引进吸收国际先进技术，实现自主研发、自主创新。同时，公司将稳固并深化与现有主要客户的合作关系，积极拓展新客户和国际市场。</w:t>
            </w:r>
          </w:p>
        </w:tc>
      </w:tr>
      <w:tr w14:paraId="0D3E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25B8882">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10FCBEC5">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A9D27E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055A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87CA728">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0EDA845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7EEB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F940C68">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56D9050">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2025年09月05日</w:t>
            </w:r>
          </w:p>
        </w:tc>
      </w:tr>
    </w:tbl>
    <w:p w14:paraId="48021132">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EAF42"/>
    <w:multiLevelType w:val="singleLevel"/>
    <w:tmpl w:val="42BEAF42"/>
    <w:lvl w:ilvl="0" w:tentative="0">
      <w:start w:val="1"/>
      <w:numFmt w:val="chineseCounting"/>
      <w:suff w:val="nothing"/>
      <w:lvlText w:val="%1、"/>
      <w:lvlJc w:val="left"/>
      <w:pPr>
        <w:ind w:left="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793751"/>
    <w:rsid w:val="01A93FA3"/>
    <w:rsid w:val="04B072D4"/>
    <w:rsid w:val="04BA2023"/>
    <w:rsid w:val="05972365"/>
    <w:rsid w:val="05CE01C7"/>
    <w:rsid w:val="05F575D4"/>
    <w:rsid w:val="064249C6"/>
    <w:rsid w:val="08641132"/>
    <w:rsid w:val="09186774"/>
    <w:rsid w:val="0945438F"/>
    <w:rsid w:val="0A71587A"/>
    <w:rsid w:val="0B792C38"/>
    <w:rsid w:val="0C28640C"/>
    <w:rsid w:val="0C547201"/>
    <w:rsid w:val="0E90599A"/>
    <w:rsid w:val="0ED720CD"/>
    <w:rsid w:val="0F69119C"/>
    <w:rsid w:val="112D098E"/>
    <w:rsid w:val="12070CAE"/>
    <w:rsid w:val="133815F1"/>
    <w:rsid w:val="13F54E26"/>
    <w:rsid w:val="13FC61B5"/>
    <w:rsid w:val="145F688C"/>
    <w:rsid w:val="14D47131"/>
    <w:rsid w:val="15680001"/>
    <w:rsid w:val="15DD2205"/>
    <w:rsid w:val="17072842"/>
    <w:rsid w:val="17A67110"/>
    <w:rsid w:val="17D6734C"/>
    <w:rsid w:val="1864189B"/>
    <w:rsid w:val="1881498A"/>
    <w:rsid w:val="18D73A7D"/>
    <w:rsid w:val="193006AE"/>
    <w:rsid w:val="19557370"/>
    <w:rsid w:val="1BD06B6A"/>
    <w:rsid w:val="1F782BDE"/>
    <w:rsid w:val="204A6A53"/>
    <w:rsid w:val="23317869"/>
    <w:rsid w:val="25650CAE"/>
    <w:rsid w:val="26406598"/>
    <w:rsid w:val="28080056"/>
    <w:rsid w:val="28734C1A"/>
    <w:rsid w:val="28C72DDD"/>
    <w:rsid w:val="29EE0E64"/>
    <w:rsid w:val="2BC4020A"/>
    <w:rsid w:val="2DBD47AF"/>
    <w:rsid w:val="2EF90F16"/>
    <w:rsid w:val="2F125C63"/>
    <w:rsid w:val="302C3D0A"/>
    <w:rsid w:val="3104598F"/>
    <w:rsid w:val="31A16195"/>
    <w:rsid w:val="320C360F"/>
    <w:rsid w:val="322F2868"/>
    <w:rsid w:val="33DE31BB"/>
    <w:rsid w:val="37467E16"/>
    <w:rsid w:val="389C49C0"/>
    <w:rsid w:val="39BC78F4"/>
    <w:rsid w:val="3B35486F"/>
    <w:rsid w:val="3D3D68F9"/>
    <w:rsid w:val="3EF1250A"/>
    <w:rsid w:val="40567DB0"/>
    <w:rsid w:val="40FF5CD2"/>
    <w:rsid w:val="42652DF5"/>
    <w:rsid w:val="42DB40B0"/>
    <w:rsid w:val="43B71B0A"/>
    <w:rsid w:val="44974EF2"/>
    <w:rsid w:val="44C67F95"/>
    <w:rsid w:val="44FA0589"/>
    <w:rsid w:val="45A663E3"/>
    <w:rsid w:val="469F09AF"/>
    <w:rsid w:val="4B756271"/>
    <w:rsid w:val="4C8E1CA8"/>
    <w:rsid w:val="4D16138E"/>
    <w:rsid w:val="4D6D36A4"/>
    <w:rsid w:val="4EAC3D58"/>
    <w:rsid w:val="4F785B69"/>
    <w:rsid w:val="50302767"/>
    <w:rsid w:val="510903EF"/>
    <w:rsid w:val="52BF41CD"/>
    <w:rsid w:val="53A849CE"/>
    <w:rsid w:val="53F137F4"/>
    <w:rsid w:val="543A6906"/>
    <w:rsid w:val="5449029B"/>
    <w:rsid w:val="56850CBB"/>
    <w:rsid w:val="58030761"/>
    <w:rsid w:val="58E467E4"/>
    <w:rsid w:val="594D25DB"/>
    <w:rsid w:val="59D8738A"/>
    <w:rsid w:val="5A666D76"/>
    <w:rsid w:val="5B2253C2"/>
    <w:rsid w:val="5CF02E0F"/>
    <w:rsid w:val="5DC04948"/>
    <w:rsid w:val="5FAD16DE"/>
    <w:rsid w:val="603269D2"/>
    <w:rsid w:val="61A52BCA"/>
    <w:rsid w:val="62775FD3"/>
    <w:rsid w:val="653F54CE"/>
    <w:rsid w:val="656E190F"/>
    <w:rsid w:val="65EC0F0B"/>
    <w:rsid w:val="67095496"/>
    <w:rsid w:val="67ED7463"/>
    <w:rsid w:val="681A546A"/>
    <w:rsid w:val="68507D37"/>
    <w:rsid w:val="685D143A"/>
    <w:rsid w:val="69CB37D4"/>
    <w:rsid w:val="6A0D5B9B"/>
    <w:rsid w:val="6A3B23B1"/>
    <w:rsid w:val="6AEA32DC"/>
    <w:rsid w:val="6B0625EA"/>
    <w:rsid w:val="6CC24AB5"/>
    <w:rsid w:val="6D4912F5"/>
    <w:rsid w:val="6D597BED"/>
    <w:rsid w:val="6D9271B2"/>
    <w:rsid w:val="6F134790"/>
    <w:rsid w:val="6FA523D2"/>
    <w:rsid w:val="6FE81F5F"/>
    <w:rsid w:val="72446028"/>
    <w:rsid w:val="73076EC0"/>
    <w:rsid w:val="74210CA6"/>
    <w:rsid w:val="746F4E76"/>
    <w:rsid w:val="74D602FF"/>
    <w:rsid w:val="758111EB"/>
    <w:rsid w:val="76006C44"/>
    <w:rsid w:val="76430096"/>
    <w:rsid w:val="788C25F5"/>
    <w:rsid w:val="79F72AA9"/>
    <w:rsid w:val="7A144529"/>
    <w:rsid w:val="7A9419C0"/>
    <w:rsid w:val="7C4A39BD"/>
    <w:rsid w:val="7DD37FAE"/>
    <w:rsid w:val="7E17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2350</Words>
  <Characters>2495</Characters>
  <Lines>2</Lines>
  <Paragraphs>1</Paragraphs>
  <TotalTime>2</TotalTime>
  <ScaleCrop>false</ScaleCrop>
  <LinksUpToDate>false</LinksUpToDate>
  <CharactersWithSpaces>2597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周文竹</cp:lastModifiedBy>
  <dcterms:modified xsi:type="dcterms:W3CDTF">2025-09-05T09:25:18Z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A34FF1A7B5B34066A8A2CBE6E2534F14_13</vt:lpwstr>
  </property>
  <property fmtid="{D5CDD505-2E9C-101B-9397-08002B2CF9AE}" pid="4" name="KSOTemplateDocerSaveRecord">
    <vt:lpwstr>eyJoZGlkIjoiZTczZGJiMzk3NmE4MTFmY2I0NmVkOTVhODY4OTk3OTciLCJ1c2VySWQiOiIyMzk3MjIwODAifQ==</vt:lpwstr>
  </property>
</Properties>
</file>