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43A9">
      <w:pPr>
        <w:keepNext w:val="0"/>
        <w:keepLines w:val="0"/>
        <w:pageBreakBefore w:val="0"/>
        <w:widowControl w:val="0"/>
        <w:kinsoku/>
        <w:wordWrap/>
        <w:overflowPunct/>
        <w:topLinePunct w:val="0"/>
        <w:autoSpaceDE/>
        <w:autoSpaceDN/>
        <w:bidi w:val="0"/>
        <w:adjustRightInd/>
        <w:snapToGrid w:val="0"/>
        <w:spacing w:line="360" w:lineRule="auto"/>
        <w:contextualSpacing/>
        <w:textAlignment w:val="auto"/>
        <w:rPr>
          <w:rFonts w:hint="default" w:ascii="宋体" w:hAnsi="宋体" w:cs="宋体"/>
          <w:sz w:val="24"/>
          <w:szCs w:val="24"/>
          <w:lang w:val="en-US" w:eastAsia="zh-CN"/>
        </w:rPr>
      </w:pPr>
      <w:r>
        <w:rPr>
          <w:rFonts w:hint="eastAsia" w:ascii="宋体" w:hAnsi="宋体" w:cs="宋体"/>
          <w:sz w:val="24"/>
          <w:szCs w:val="24"/>
          <w:lang w:eastAsia="zh-CN"/>
        </w:rPr>
        <w:t>证券代码：</w:t>
      </w:r>
      <w:r>
        <w:rPr>
          <w:rFonts w:hint="eastAsia" w:ascii="宋体" w:hAnsi="宋体" w:cs="宋体"/>
          <w:sz w:val="24"/>
          <w:szCs w:val="24"/>
          <w:lang w:val="en-US" w:eastAsia="zh-CN"/>
        </w:rPr>
        <w:t>603257                                  证券简称：中国瑞林</w:t>
      </w:r>
    </w:p>
    <w:p w14:paraId="4FCD7751">
      <w:pPr>
        <w:keepNext w:val="0"/>
        <w:keepLines w:val="0"/>
        <w:pageBreakBefore w:val="0"/>
        <w:widowControl w:val="0"/>
        <w:kinsoku/>
        <w:wordWrap/>
        <w:overflowPunct/>
        <w:topLinePunct w:val="0"/>
        <w:autoSpaceDE/>
        <w:autoSpaceDN/>
        <w:bidi w:val="0"/>
        <w:adjustRightInd/>
        <w:snapToGrid w:val="0"/>
        <w:spacing w:line="360" w:lineRule="auto"/>
        <w:contextualSpacing/>
        <w:textAlignment w:val="auto"/>
        <w:rPr>
          <w:rFonts w:hint="eastAsia" w:ascii="黑体" w:hAnsi="黑体" w:eastAsia="黑体" w:cs="黑体"/>
          <w:color w:val="FF0000"/>
          <w:sz w:val="24"/>
          <w:szCs w:val="24"/>
          <w:lang w:val="en-US" w:eastAsia="zh-CN"/>
        </w:rPr>
      </w:pPr>
    </w:p>
    <w:p w14:paraId="0FB095E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val="0"/>
          <w:iCs/>
          <w:color w:val="FF0000"/>
          <w:sz w:val="36"/>
          <w:szCs w:val="36"/>
        </w:rPr>
      </w:pPr>
      <w:r>
        <w:rPr>
          <w:rFonts w:hint="eastAsia" w:ascii="宋体" w:hAnsi="宋体" w:eastAsia="宋体" w:cs="宋体"/>
          <w:b/>
          <w:bCs w:val="0"/>
          <w:iCs/>
          <w:color w:val="FF0000"/>
          <w:sz w:val="36"/>
          <w:szCs w:val="36"/>
          <w:lang w:val="en-US" w:eastAsia="zh-CN"/>
        </w:rPr>
        <w:t>中国瑞林工程技术</w:t>
      </w:r>
      <w:r>
        <w:rPr>
          <w:rFonts w:hint="eastAsia" w:ascii="宋体" w:hAnsi="宋体" w:eastAsia="宋体" w:cs="宋体"/>
          <w:b/>
          <w:bCs w:val="0"/>
          <w:iCs/>
          <w:color w:val="FF0000"/>
          <w:sz w:val="36"/>
          <w:szCs w:val="36"/>
        </w:rPr>
        <w:t>股份有限公司</w:t>
      </w:r>
    </w:p>
    <w:p w14:paraId="4D14A2E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val="0"/>
          <w:iCs/>
          <w:color w:val="FF0000"/>
          <w:sz w:val="36"/>
          <w:szCs w:val="36"/>
          <w:lang w:eastAsia="zh-CN"/>
        </w:rPr>
      </w:pPr>
      <w:r>
        <w:rPr>
          <w:rFonts w:hint="eastAsia" w:ascii="宋体" w:hAnsi="宋体" w:eastAsia="宋体" w:cs="宋体"/>
          <w:b/>
          <w:bCs w:val="0"/>
          <w:iCs/>
          <w:color w:val="FF0000"/>
          <w:sz w:val="36"/>
          <w:szCs w:val="36"/>
        </w:rPr>
        <w:t>投资者关系活动记录表</w:t>
      </w:r>
    </w:p>
    <w:p w14:paraId="57C939F6">
      <w:pPr>
        <w:keepNext w:val="0"/>
        <w:keepLines w:val="0"/>
        <w:pageBreakBefore w:val="0"/>
        <w:widowControl w:val="0"/>
        <w:kinsoku/>
        <w:wordWrap/>
        <w:overflowPunct/>
        <w:topLinePunct w:val="0"/>
        <w:autoSpaceDE/>
        <w:autoSpaceDN/>
        <w:bidi w:val="0"/>
        <w:adjustRightInd/>
        <w:spacing w:line="360" w:lineRule="auto"/>
        <w:jc w:val="right"/>
        <w:textAlignment w:val="auto"/>
        <w:rPr>
          <w:rFonts w:hint="eastAsia" w:ascii="宋体" w:hAnsi="宋体" w:eastAsia="宋体" w:cs="宋体"/>
          <w:bCs/>
          <w:iCs/>
          <w:color w:val="000000"/>
          <w:sz w:val="24"/>
          <w:szCs w:val="24"/>
        </w:rPr>
      </w:pPr>
    </w:p>
    <w:p w14:paraId="5CF27303">
      <w:pPr>
        <w:keepNext w:val="0"/>
        <w:keepLines w:val="0"/>
        <w:pageBreakBefore w:val="0"/>
        <w:widowControl w:val="0"/>
        <w:kinsoku/>
        <w:wordWrap/>
        <w:overflowPunct/>
        <w:topLinePunct w:val="0"/>
        <w:autoSpaceDE/>
        <w:autoSpaceDN/>
        <w:bidi w:val="0"/>
        <w:adjustRightInd/>
        <w:spacing w:line="360" w:lineRule="auto"/>
        <w:jc w:val="right"/>
        <w:textAlignment w:val="auto"/>
        <w:rPr>
          <w:rFonts w:hint="default" w:ascii="宋体" w:hAnsi="宋体" w:eastAsia="宋体" w:cs="宋体"/>
          <w:bCs/>
          <w:iCs/>
          <w:color w:val="000000"/>
          <w:sz w:val="24"/>
          <w:szCs w:val="24"/>
          <w:lang w:val="en-US" w:eastAsia="zh-CN"/>
        </w:rPr>
      </w:pPr>
      <w:r>
        <w:rPr>
          <w:rFonts w:hint="eastAsia" w:ascii="宋体" w:hAnsi="宋体" w:eastAsia="宋体" w:cs="宋体"/>
          <w:bCs/>
          <w:iCs/>
          <w:color w:val="000000"/>
          <w:sz w:val="24"/>
          <w:szCs w:val="24"/>
        </w:rPr>
        <w:t>编号：</w:t>
      </w:r>
      <w:r>
        <w:rPr>
          <w:rFonts w:hint="eastAsia" w:ascii="宋体" w:hAnsi="宋体" w:cs="宋体"/>
          <w:bCs/>
          <w:iCs/>
          <w:color w:val="000000"/>
          <w:sz w:val="24"/>
          <w:szCs w:val="24"/>
          <w:lang w:val="en-US" w:eastAsia="zh-CN"/>
        </w:rPr>
        <w:t>2025-00</w:t>
      </w:r>
      <w:r>
        <w:rPr>
          <w:rFonts w:hint="default" w:ascii="宋体" w:hAnsi="宋体" w:cs="宋体"/>
          <w:bCs/>
          <w:iCs/>
          <w:color w:val="000000"/>
          <w:sz w:val="24"/>
          <w:szCs w:val="24"/>
          <w:lang w:val="en-US" w:eastAsia="zh-CN"/>
        </w:rPr>
        <w:t>4</w:t>
      </w:r>
      <w:bookmarkStart w:id="1" w:name="_GoBack"/>
      <w:bookmarkEnd w:id="1"/>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08"/>
        <w:gridCol w:w="6614"/>
      </w:tblGrid>
      <w:tr w14:paraId="32918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52773174">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w:t>
            </w:r>
          </w:p>
          <w:p w14:paraId="232F5198">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活动类别</w:t>
            </w:r>
          </w:p>
          <w:p w14:paraId="660ADAE0">
            <w:pPr>
              <w:spacing w:line="360" w:lineRule="auto"/>
              <w:jc w:val="center"/>
              <w:rPr>
                <w:rFonts w:hint="eastAsia" w:ascii="宋体" w:hAnsi="宋体" w:eastAsia="宋体" w:cs="宋体"/>
                <w:bCs/>
                <w:iCs/>
                <w:color w:val="000000"/>
                <w:sz w:val="24"/>
                <w:szCs w:val="24"/>
              </w:rPr>
            </w:pPr>
          </w:p>
        </w:tc>
        <w:tc>
          <w:tcPr>
            <w:tcW w:w="6614" w:type="dxa"/>
            <w:tcBorders>
              <w:tl2br w:val="nil"/>
              <w:tr2bl w:val="nil"/>
            </w:tcBorders>
            <w:noWrap w:val="0"/>
            <w:vAlign w:val="center"/>
          </w:tcPr>
          <w:p w14:paraId="67E0204F">
            <w:pPr>
              <w:spacing w:line="360" w:lineRule="auto"/>
              <w:jc w:val="both"/>
              <w:rPr>
                <w:rFonts w:hint="eastAsia" w:ascii="宋体" w:hAnsi="宋体" w:eastAsia="宋体" w:cs="宋体"/>
                <w:bCs/>
                <w:iCs/>
                <w:color w:val="000000"/>
                <w:sz w:val="24"/>
                <w:szCs w:val="24"/>
              </w:rPr>
            </w:pPr>
            <w:r>
              <w:rPr>
                <w:rFonts w:hint="eastAsia" w:ascii="宋体" w:hAnsi="宋体" w:cs="宋体"/>
                <w:bCs/>
                <w:iCs/>
                <w:color w:val="000000"/>
                <w:sz w:val="24"/>
                <w:szCs w:val="24"/>
                <w:lang w:eastAsia="zh-CN"/>
              </w:rPr>
              <w:t>☑</w:t>
            </w:r>
            <w:r>
              <w:rPr>
                <w:rFonts w:hint="eastAsia" w:ascii="宋体" w:hAnsi="宋体" w:eastAsia="宋体" w:cs="宋体"/>
                <w:color w:val="000000"/>
                <w:sz w:val="24"/>
                <w:szCs w:val="24"/>
              </w:rPr>
              <w:t>特定对象调研</w:t>
            </w:r>
            <w:r>
              <w:rPr>
                <w:rFonts w:hint="eastAsia" w:ascii="宋体" w:hAnsi="宋体" w:cs="宋体"/>
                <w:color w:val="000000"/>
                <w:sz w:val="24"/>
                <w:szCs w:val="24"/>
                <w:lang w:val="en-US" w:eastAsia="zh-CN"/>
              </w:rPr>
              <w:t xml:space="preserve">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分析师会议</w:t>
            </w:r>
          </w:p>
          <w:p w14:paraId="61228F2D">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媒体采访</w:t>
            </w:r>
            <w:r>
              <w:rPr>
                <w:rFonts w:hint="eastAsia" w:ascii="宋体" w:hAnsi="宋体" w:cs="宋体"/>
                <w:color w:val="000000"/>
                <w:sz w:val="24"/>
                <w:szCs w:val="24"/>
                <w:lang w:val="en-US" w:eastAsia="zh-CN"/>
              </w:rPr>
              <w:t xml:space="preserve">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业绩说明会</w:t>
            </w:r>
          </w:p>
          <w:p w14:paraId="4BCB17DC">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新闻发布会</w:t>
            </w:r>
            <w:r>
              <w:rPr>
                <w:rFonts w:hint="eastAsia" w:ascii="宋体" w:hAnsi="宋体" w:cs="宋体"/>
                <w:color w:val="000000"/>
                <w:sz w:val="24"/>
                <w:szCs w:val="24"/>
                <w:lang w:val="en-US" w:eastAsia="zh-CN"/>
              </w:rPr>
              <w:t xml:space="preserve">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路演活动</w:t>
            </w:r>
          </w:p>
          <w:p w14:paraId="605AA9E4">
            <w:pPr>
              <w:tabs>
                <w:tab w:val="left" w:pos="3045"/>
                <w:tab w:val="center" w:pos="3199"/>
              </w:tabs>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现场参观</w:t>
            </w:r>
            <w:r>
              <w:rPr>
                <w:rFonts w:hint="eastAsia" w:ascii="宋体" w:hAnsi="宋体" w:cs="宋体"/>
                <w:color w:val="000000"/>
                <w:sz w:val="24"/>
                <w:szCs w:val="24"/>
                <w:lang w:val="en-US" w:eastAsia="zh-CN"/>
              </w:rPr>
              <w:t xml:space="preserve">            </w:t>
            </w:r>
            <w:r>
              <w:rPr>
                <w:rFonts w:hint="eastAsia" w:ascii="宋体" w:hAnsi="宋体" w:cs="宋体"/>
                <w:bCs/>
                <w:iCs/>
                <w:color w:val="000000"/>
                <w:sz w:val="24"/>
                <w:szCs w:val="24"/>
                <w:lang w:eastAsia="zh-CN"/>
              </w:rPr>
              <w:t>□</w:t>
            </w:r>
            <w:r>
              <w:rPr>
                <w:rFonts w:hint="eastAsia" w:ascii="宋体" w:hAnsi="宋体" w:eastAsia="宋体" w:cs="宋体"/>
                <w:color w:val="000000"/>
                <w:sz w:val="24"/>
                <w:szCs w:val="24"/>
              </w:rPr>
              <w:t>其他</w:t>
            </w:r>
          </w:p>
        </w:tc>
      </w:tr>
      <w:tr w14:paraId="2D9D2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95" w:hRule="atLeast"/>
        </w:trPr>
        <w:tc>
          <w:tcPr>
            <w:tcW w:w="1908" w:type="dxa"/>
            <w:tcBorders>
              <w:tl2br w:val="nil"/>
              <w:tr2bl w:val="nil"/>
            </w:tcBorders>
            <w:noWrap w:val="0"/>
            <w:vAlign w:val="center"/>
          </w:tcPr>
          <w:p w14:paraId="0F296449">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参与单位名称</w:t>
            </w:r>
          </w:p>
          <w:p w14:paraId="1138309C">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及人员姓名</w:t>
            </w:r>
          </w:p>
        </w:tc>
        <w:tc>
          <w:tcPr>
            <w:tcW w:w="6614" w:type="dxa"/>
            <w:tcBorders>
              <w:tl2br w:val="nil"/>
              <w:tr2bl w:val="nil"/>
            </w:tcBorders>
            <w:noWrap w:val="0"/>
            <w:vAlign w:val="center"/>
          </w:tcPr>
          <w:p w14:paraId="7A858711">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民生证券 张弋清</w:t>
            </w:r>
          </w:p>
          <w:p w14:paraId="7A982BE6">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工银瑞信 董明斌</w:t>
            </w:r>
          </w:p>
          <w:p w14:paraId="5757AAF8">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乔戈里资本 倪泽伦</w:t>
            </w:r>
          </w:p>
          <w:p w14:paraId="14969AA7">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巴富罗投资 王琦欢</w:t>
            </w:r>
          </w:p>
          <w:p w14:paraId="5DBFE137">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鹏扬基金 李伟峰</w:t>
            </w:r>
          </w:p>
          <w:p w14:paraId="75F036DB">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人保资产 李一冉</w:t>
            </w:r>
          </w:p>
          <w:p w14:paraId="116EED6E">
            <w:pPr>
              <w:spacing w:line="360" w:lineRule="auto"/>
              <w:jc w:val="both"/>
              <w:rPr>
                <w:rFonts w:hint="default" w:ascii="宋体" w:hAnsi="宋体" w:eastAsia="宋体" w:cs="宋体"/>
                <w:bCs/>
                <w:iCs/>
                <w:color w:val="000000"/>
                <w:sz w:val="24"/>
                <w:szCs w:val="24"/>
                <w:lang w:val="en-US" w:eastAsia="zh-CN"/>
              </w:rPr>
            </w:pPr>
            <w:r>
              <w:rPr>
                <w:rFonts w:hint="eastAsia" w:ascii="宋体" w:hAnsi="宋体" w:eastAsia="宋体" w:cs="宋体"/>
                <w:bCs/>
                <w:iCs/>
                <w:color w:val="000000"/>
                <w:sz w:val="24"/>
                <w:szCs w:val="24"/>
              </w:rPr>
              <w:t>前海开源 何泽俊</w:t>
            </w:r>
          </w:p>
        </w:tc>
      </w:tr>
      <w:tr w14:paraId="505839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2940B0A">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时间</w:t>
            </w:r>
          </w:p>
        </w:tc>
        <w:tc>
          <w:tcPr>
            <w:tcW w:w="6614" w:type="dxa"/>
            <w:tcBorders>
              <w:tl2br w:val="nil"/>
              <w:tr2bl w:val="nil"/>
            </w:tcBorders>
            <w:noWrap w:val="0"/>
            <w:vAlign w:val="center"/>
          </w:tcPr>
          <w:p w14:paraId="0354AA2A">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2025年9月5日</w:t>
            </w:r>
          </w:p>
        </w:tc>
      </w:tr>
      <w:tr w14:paraId="1E5A1F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2CE6298">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地点</w:t>
            </w:r>
          </w:p>
        </w:tc>
        <w:tc>
          <w:tcPr>
            <w:tcW w:w="6614" w:type="dxa"/>
            <w:tcBorders>
              <w:tl2br w:val="nil"/>
              <w:tr2bl w:val="nil"/>
            </w:tcBorders>
            <w:noWrap w:val="0"/>
            <w:vAlign w:val="center"/>
          </w:tcPr>
          <w:p w14:paraId="133C57FB">
            <w:pPr>
              <w:spacing w:line="360" w:lineRule="auto"/>
              <w:jc w:val="left"/>
              <w:rPr>
                <w:rFonts w:hint="default" w:ascii="宋体" w:hAnsi="宋体" w:eastAsia="宋体" w:cs="宋体"/>
                <w:bCs/>
                <w:iCs/>
                <w:color w:val="000000"/>
                <w:sz w:val="24"/>
                <w:szCs w:val="24"/>
                <w:lang w:val="en-US" w:eastAsia="zh-CN"/>
              </w:rPr>
            </w:pPr>
            <w:r>
              <w:rPr>
                <w:rFonts w:hint="eastAsia" w:ascii="宋体" w:hAnsi="宋体" w:cs="宋体"/>
                <w:color w:val="auto"/>
                <w:sz w:val="24"/>
                <w:szCs w:val="24"/>
                <w:shd w:val="clear" w:color="auto" w:fill="auto"/>
                <w:lang w:val="en-US" w:eastAsia="zh-CN"/>
              </w:rPr>
              <w:t>中国瑞林</w:t>
            </w:r>
          </w:p>
        </w:tc>
      </w:tr>
      <w:tr w14:paraId="2E0A00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0A936C4C">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上市公司接待</w:t>
            </w:r>
          </w:p>
          <w:p w14:paraId="3A2DE527">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人员姓名</w:t>
            </w:r>
          </w:p>
        </w:tc>
        <w:tc>
          <w:tcPr>
            <w:tcW w:w="6614" w:type="dxa"/>
            <w:tcBorders>
              <w:tl2br w:val="nil"/>
              <w:tr2bl w:val="nil"/>
            </w:tcBorders>
            <w:noWrap w:val="0"/>
            <w:vAlign w:val="center"/>
          </w:tcPr>
          <w:p w14:paraId="21E7EC3E">
            <w:pPr>
              <w:spacing w:line="360" w:lineRule="auto"/>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eastAsia="zh-CN"/>
              </w:rPr>
              <w:t>董事会秘书：</w:t>
            </w:r>
            <w:r>
              <w:rPr>
                <w:rFonts w:hint="eastAsia" w:ascii="宋体" w:hAnsi="宋体" w:cs="宋体"/>
                <w:bCs/>
                <w:iCs/>
                <w:color w:val="000000"/>
                <w:sz w:val="24"/>
                <w:szCs w:val="24"/>
                <w:lang w:val="en-US" w:eastAsia="zh-CN"/>
              </w:rPr>
              <w:t>方填三先生</w:t>
            </w:r>
          </w:p>
          <w:p w14:paraId="69E320B8">
            <w:pPr>
              <w:spacing w:line="360" w:lineRule="auto"/>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财务总监：邱宁先生</w:t>
            </w:r>
          </w:p>
          <w:p w14:paraId="41399BD0">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财务部部长：廖云女士</w:t>
            </w:r>
          </w:p>
          <w:p w14:paraId="076E4589">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证券事务代表：郭兰宇先生</w:t>
            </w:r>
          </w:p>
        </w:tc>
      </w:tr>
      <w:tr w14:paraId="5EDEBA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22DCC55D">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投资者关系活动主要内容介绍</w:t>
            </w:r>
          </w:p>
          <w:p w14:paraId="22D3E716">
            <w:pPr>
              <w:spacing w:line="360" w:lineRule="auto"/>
              <w:jc w:val="center"/>
              <w:rPr>
                <w:rFonts w:hint="eastAsia" w:ascii="宋体" w:hAnsi="宋体" w:eastAsia="宋体" w:cs="宋体"/>
                <w:bCs/>
                <w:iCs/>
                <w:color w:val="000000"/>
                <w:sz w:val="24"/>
                <w:szCs w:val="24"/>
              </w:rPr>
            </w:pPr>
          </w:p>
        </w:tc>
        <w:tc>
          <w:tcPr>
            <w:tcW w:w="6614" w:type="dxa"/>
            <w:tcBorders>
              <w:tl2br w:val="nil"/>
              <w:tr2bl w:val="nil"/>
            </w:tcBorders>
            <w:noWrap w:val="0"/>
            <w:vAlign w:val="center"/>
          </w:tcPr>
          <w:p w14:paraId="4625E1A6">
            <w:pPr>
              <w:spacing w:line="360" w:lineRule="auto"/>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val="en-US" w:eastAsia="zh-CN"/>
              </w:rPr>
              <w:t>中国瑞林工程技术</w:t>
            </w:r>
            <w:r>
              <w:rPr>
                <w:rFonts w:hint="eastAsia" w:ascii="宋体" w:hAnsi="宋体" w:cs="宋体"/>
                <w:bCs/>
                <w:iCs/>
                <w:color w:val="000000"/>
                <w:sz w:val="24"/>
                <w:szCs w:val="24"/>
              </w:rPr>
              <w:t>股份有限公司于20</w:t>
            </w:r>
            <w:r>
              <w:rPr>
                <w:rFonts w:hint="eastAsia" w:ascii="宋体" w:hAnsi="宋体" w:cs="宋体"/>
                <w:bCs/>
                <w:iCs/>
                <w:color w:val="000000"/>
                <w:sz w:val="24"/>
                <w:szCs w:val="24"/>
                <w:lang w:val="en-US" w:eastAsia="zh-CN"/>
              </w:rPr>
              <w:t>25</w:t>
            </w:r>
            <w:r>
              <w:rPr>
                <w:rFonts w:hint="eastAsia" w:ascii="宋体" w:hAnsi="宋体" w:cs="宋体"/>
                <w:bCs/>
                <w:iCs/>
                <w:color w:val="000000"/>
                <w:sz w:val="24"/>
                <w:szCs w:val="24"/>
              </w:rPr>
              <w:t>年</w:t>
            </w:r>
            <w:r>
              <w:rPr>
                <w:rFonts w:hint="eastAsia" w:ascii="宋体" w:hAnsi="宋体" w:cs="宋体"/>
                <w:bCs/>
                <w:iCs/>
                <w:color w:val="000000"/>
                <w:sz w:val="24"/>
                <w:szCs w:val="24"/>
                <w:lang w:val="en-US" w:eastAsia="zh-CN"/>
              </w:rPr>
              <w:t>9</w:t>
            </w:r>
            <w:r>
              <w:rPr>
                <w:rFonts w:hint="eastAsia" w:ascii="宋体" w:hAnsi="宋体" w:cs="宋体"/>
                <w:bCs/>
                <w:iCs/>
                <w:color w:val="000000"/>
                <w:sz w:val="24"/>
                <w:szCs w:val="24"/>
              </w:rPr>
              <w:t>月</w:t>
            </w:r>
            <w:r>
              <w:rPr>
                <w:rFonts w:hint="eastAsia" w:ascii="宋体" w:hAnsi="宋体" w:cs="宋体"/>
                <w:bCs/>
                <w:iCs/>
                <w:color w:val="000000"/>
                <w:sz w:val="24"/>
                <w:szCs w:val="24"/>
                <w:lang w:val="en-US" w:eastAsia="zh-CN"/>
              </w:rPr>
              <w:t>5</w:t>
            </w:r>
            <w:r>
              <w:rPr>
                <w:rFonts w:hint="eastAsia" w:ascii="宋体" w:hAnsi="宋体" w:cs="宋体"/>
                <w:bCs/>
                <w:iCs/>
                <w:color w:val="000000"/>
                <w:sz w:val="24"/>
                <w:szCs w:val="24"/>
              </w:rPr>
              <w:t>日（星期</w:t>
            </w:r>
            <w:r>
              <w:rPr>
                <w:rFonts w:hint="eastAsia" w:ascii="宋体" w:hAnsi="宋体" w:cs="宋体"/>
                <w:bCs/>
                <w:iCs/>
                <w:color w:val="000000"/>
                <w:sz w:val="24"/>
                <w:szCs w:val="24"/>
                <w:lang w:val="en-US" w:eastAsia="zh-CN"/>
              </w:rPr>
              <w:t>五</w:t>
            </w:r>
            <w:r>
              <w:rPr>
                <w:rFonts w:hint="eastAsia" w:ascii="宋体" w:hAnsi="宋体" w:cs="宋体"/>
                <w:bCs/>
                <w:iCs/>
                <w:color w:val="000000"/>
                <w:sz w:val="24"/>
                <w:szCs w:val="24"/>
              </w:rPr>
              <w:t>）以</w:t>
            </w:r>
            <w:r>
              <w:rPr>
                <w:rFonts w:hint="eastAsia" w:ascii="宋体" w:hAnsi="宋体" w:cs="宋体"/>
                <w:bCs/>
                <w:iCs/>
                <w:color w:val="000000"/>
                <w:sz w:val="24"/>
                <w:szCs w:val="24"/>
                <w:lang w:val="en-US" w:eastAsia="zh-CN"/>
              </w:rPr>
              <w:t>现场交流</w:t>
            </w:r>
            <w:r>
              <w:rPr>
                <w:rFonts w:hint="eastAsia" w:ascii="宋体" w:hAnsi="宋体" w:cs="宋体"/>
                <w:bCs/>
                <w:iCs/>
                <w:color w:val="000000"/>
                <w:sz w:val="24"/>
                <w:szCs w:val="24"/>
              </w:rPr>
              <w:t>的形式与投资者进行交流，董事会秘书</w:t>
            </w:r>
            <w:r>
              <w:rPr>
                <w:rFonts w:hint="eastAsia" w:ascii="宋体" w:hAnsi="宋体" w:cs="宋体"/>
                <w:bCs/>
                <w:iCs/>
                <w:color w:val="000000"/>
                <w:sz w:val="24"/>
                <w:szCs w:val="24"/>
                <w:lang w:val="en-US" w:eastAsia="zh-CN"/>
              </w:rPr>
              <w:t>方填三先生</w:t>
            </w:r>
            <w:r>
              <w:rPr>
                <w:rFonts w:hint="eastAsia" w:ascii="宋体" w:hAnsi="宋体" w:cs="宋体"/>
                <w:bCs/>
                <w:iCs/>
                <w:color w:val="000000"/>
                <w:sz w:val="24"/>
                <w:szCs w:val="24"/>
              </w:rPr>
              <w:t>简要介绍了公司</w:t>
            </w:r>
            <w:r>
              <w:rPr>
                <w:rFonts w:hint="eastAsia" w:ascii="宋体" w:hAnsi="宋体" w:cs="宋体"/>
                <w:bCs/>
                <w:iCs/>
                <w:color w:val="000000"/>
                <w:sz w:val="24"/>
                <w:szCs w:val="24"/>
                <w:lang w:val="en-US" w:eastAsia="zh-CN"/>
              </w:rPr>
              <w:t>2025年半年度经营业绩</w:t>
            </w:r>
            <w:r>
              <w:rPr>
                <w:rFonts w:hint="eastAsia" w:ascii="宋体" w:hAnsi="宋体" w:cs="宋体"/>
                <w:bCs/>
                <w:iCs/>
                <w:color w:val="000000"/>
                <w:sz w:val="24"/>
                <w:szCs w:val="24"/>
              </w:rPr>
              <w:t>情况，主要问答情况如下：</w:t>
            </w:r>
          </w:p>
          <w:p w14:paraId="08A46FC6">
            <w:pPr>
              <w:spacing w:line="360" w:lineRule="auto"/>
              <w:jc w:val="both"/>
              <w:rPr>
                <w:rFonts w:hint="default" w:ascii="宋体" w:hAnsi="宋体" w:cs="宋体"/>
                <w:b/>
                <w:bCs w:val="0"/>
                <w:iCs/>
                <w:color w:val="000000"/>
                <w:sz w:val="24"/>
                <w:szCs w:val="24"/>
                <w:lang w:val="en-US" w:eastAsia="zh-CN"/>
              </w:rPr>
            </w:pPr>
            <w:r>
              <w:rPr>
                <w:rFonts w:hint="eastAsia" w:ascii="宋体" w:hAnsi="宋体" w:eastAsia="宋体" w:cs="宋体"/>
                <w:b/>
                <w:bCs w:val="0"/>
                <w:iCs/>
                <w:color w:val="000000"/>
                <w:kern w:val="2"/>
                <w:sz w:val="24"/>
                <w:szCs w:val="24"/>
                <w:lang w:val="en-US" w:eastAsia="zh-CN" w:bidi="ar-SA"/>
              </w:rPr>
              <w:t>问题1、</w:t>
            </w:r>
            <w:r>
              <w:rPr>
                <w:rFonts w:hint="eastAsia" w:ascii="宋体" w:hAnsi="宋体" w:cs="宋体"/>
                <w:b/>
                <w:bCs w:val="0"/>
                <w:iCs/>
                <w:color w:val="000000"/>
                <w:kern w:val="2"/>
                <w:sz w:val="24"/>
                <w:szCs w:val="24"/>
                <w:lang w:val="en-US" w:eastAsia="zh-CN" w:bidi="ar-SA"/>
              </w:rPr>
              <w:t>上半年公司营收情况如何？</w:t>
            </w:r>
          </w:p>
          <w:p w14:paraId="2AAC939A">
            <w:pPr>
              <w:spacing w:line="360" w:lineRule="auto"/>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答：</w:t>
            </w:r>
            <w:r>
              <w:rPr>
                <w:rFonts w:hint="eastAsia" w:ascii="宋体" w:hAnsi="宋体"/>
                <w:sz w:val="24"/>
                <w:szCs w:val="24"/>
              </w:rPr>
              <w:t>公司</w:t>
            </w:r>
            <w:r>
              <w:rPr>
                <w:rFonts w:hint="eastAsia" w:ascii="宋体" w:hAnsi="宋体"/>
                <w:sz w:val="24"/>
                <w:szCs w:val="24"/>
                <w:lang w:val="en-US" w:eastAsia="zh-CN"/>
              </w:rPr>
              <w:t>上半年</w:t>
            </w:r>
            <w:r>
              <w:rPr>
                <w:rFonts w:hint="eastAsia" w:ascii="宋体" w:hAnsi="宋体"/>
                <w:sz w:val="24"/>
                <w:szCs w:val="24"/>
              </w:rPr>
              <w:t>实现营业收入92,120.83万元，比上年同期增长2.59%；实现归属于母公司所有者的净利润7,474.61万元，较上年同期增加26.77%。其中，工程设计及咨询业务实现营业收入33,201.74万元，较上年同期增长6.31%；装备集成业务实现营业收入50,966.22万元，较上年同期上涨123.99%。报告期内，公司实现境外收入48,539.89万元，占营业收入的比重为52.92%，较上年同期上涨167.66%；境外业务毛利率37.40%，较上年同期上涨10.70%。</w:t>
            </w:r>
          </w:p>
          <w:p w14:paraId="2C23F479">
            <w:pPr>
              <w:spacing w:line="360" w:lineRule="auto"/>
              <w:jc w:val="both"/>
              <w:rPr>
                <w:rFonts w:ascii="Helvetica" w:hAnsi="Helvetica" w:eastAsia="Helvetica" w:cs="Helvetica"/>
                <w:i w:val="0"/>
                <w:iCs w:val="0"/>
                <w:caps w:val="0"/>
                <w:color w:val="333333"/>
                <w:spacing w:val="0"/>
                <w:sz w:val="24"/>
                <w:szCs w:val="24"/>
                <w:shd w:val="clear" w:fill="F7F7F7"/>
              </w:rPr>
            </w:pPr>
          </w:p>
          <w:p w14:paraId="084DB2B0">
            <w:pPr>
              <w:pStyle w:val="5"/>
              <w:numPr>
                <w:ilvl w:val="0"/>
                <w:numId w:val="0"/>
              </w:numPr>
              <w:spacing w:after="156"/>
              <w:rPr>
                <w:rFonts w:hint="default" w:ascii="宋体" w:hAnsi="宋体" w:eastAsia="宋体" w:cs="宋体"/>
                <w:b/>
                <w:bCs w:val="0"/>
                <w:iCs/>
                <w:color w:val="000000"/>
                <w:sz w:val="24"/>
                <w:szCs w:val="24"/>
                <w:lang w:val="en-US" w:eastAsia="zh-CN"/>
              </w:rPr>
            </w:pPr>
            <w:r>
              <w:rPr>
                <w:rFonts w:hint="eastAsia" w:ascii="宋体" w:hAnsi="宋体" w:cs="宋体"/>
                <w:b/>
                <w:bCs w:val="0"/>
                <w:iCs/>
                <w:color w:val="000000"/>
                <w:sz w:val="24"/>
                <w:szCs w:val="24"/>
                <w:lang w:val="en-US" w:eastAsia="zh-CN"/>
              </w:rPr>
              <w:t>问题2、</w:t>
            </w:r>
            <w:r>
              <w:rPr>
                <w:rFonts w:hint="eastAsia" w:ascii="宋体" w:hAnsi="宋体" w:cs="宋体"/>
                <w:b/>
                <w:bCs w:val="0"/>
                <w:iCs/>
                <w:color w:val="000000"/>
                <w:kern w:val="2"/>
                <w:sz w:val="24"/>
                <w:szCs w:val="24"/>
                <w:lang w:val="en-US" w:eastAsia="zh-CN" w:bidi="ar-SA"/>
              </w:rPr>
              <w:t>上半年公司</w:t>
            </w:r>
            <w:r>
              <w:rPr>
                <w:rFonts w:hint="eastAsia" w:ascii="宋体" w:hAnsi="宋体"/>
                <w:sz w:val="24"/>
                <w:szCs w:val="24"/>
                <w:lang w:val="en-US" w:eastAsia="zh-CN"/>
              </w:rPr>
              <w:t>毛利增长的原因有哪些？</w:t>
            </w:r>
          </w:p>
          <w:p w14:paraId="674A4DD4">
            <w:pPr>
              <w:spacing w:line="360" w:lineRule="auto"/>
              <w:jc w:val="both"/>
              <w:rPr>
                <w:rFonts w:hint="default" w:ascii="宋体" w:hAnsi="宋体" w:eastAsia="宋体"/>
                <w:sz w:val="24"/>
                <w:szCs w:val="24"/>
                <w:lang w:val="en-US" w:eastAsia="zh-CN"/>
              </w:rPr>
            </w:pPr>
            <w:r>
              <w:rPr>
                <w:rFonts w:hint="eastAsia" w:ascii="宋体" w:hAnsi="宋体" w:cs="宋体"/>
                <w:bCs/>
                <w:iCs/>
                <w:color w:val="000000"/>
                <w:sz w:val="24"/>
                <w:szCs w:val="24"/>
                <w:lang w:val="en-US" w:eastAsia="zh-CN"/>
              </w:rPr>
              <w:t>答：毛利增长原因：一、系公司战略导向，调整业务结构，逐步降低高收入、低毛利的总包业务比例，提高毛利率较高的装备集成业务的占比，公司装备集成业务</w:t>
            </w:r>
            <w:r>
              <w:rPr>
                <w:rFonts w:hint="eastAsia" w:ascii="宋体" w:hAnsi="宋体"/>
                <w:sz w:val="24"/>
                <w:szCs w:val="24"/>
              </w:rPr>
              <w:t>较上年同期上涨123.99%</w:t>
            </w:r>
            <w:r>
              <w:rPr>
                <w:rFonts w:hint="eastAsia" w:ascii="宋体" w:hAnsi="宋体" w:cs="宋体"/>
                <w:bCs/>
                <w:iCs/>
                <w:color w:val="000000"/>
                <w:sz w:val="24"/>
                <w:szCs w:val="24"/>
                <w:lang w:val="en-US" w:eastAsia="zh-CN"/>
              </w:rPr>
              <w:t>；二、目前公司境外业务占比提升，上半年</w:t>
            </w:r>
            <w:r>
              <w:rPr>
                <w:rFonts w:hint="eastAsia" w:ascii="宋体" w:hAnsi="宋体"/>
                <w:sz w:val="24"/>
                <w:szCs w:val="24"/>
              </w:rPr>
              <w:t>实现境外收入48,539.89万元，占营业收入的比重为52.92%，较上年同期上涨167.66%</w:t>
            </w:r>
            <w:r>
              <w:rPr>
                <w:rFonts w:hint="eastAsia" w:ascii="宋体" w:hAnsi="宋体"/>
                <w:sz w:val="24"/>
                <w:szCs w:val="24"/>
                <w:lang w:eastAsia="zh-CN"/>
              </w:rPr>
              <w:t>，</w:t>
            </w:r>
            <w:r>
              <w:rPr>
                <w:rFonts w:hint="eastAsia" w:ascii="宋体" w:hAnsi="宋体"/>
                <w:sz w:val="24"/>
                <w:szCs w:val="24"/>
              </w:rPr>
              <w:t>境外业务毛利率37.40%，较上年同期上涨10.70%</w:t>
            </w:r>
            <w:r>
              <w:rPr>
                <w:rFonts w:hint="eastAsia" w:ascii="宋体" w:hAnsi="宋体"/>
                <w:sz w:val="24"/>
                <w:szCs w:val="24"/>
                <w:lang w:val="en-US" w:eastAsia="zh-CN"/>
              </w:rPr>
              <w:t>。</w:t>
            </w:r>
          </w:p>
          <w:p w14:paraId="54C375EB">
            <w:pPr>
              <w:spacing w:line="360" w:lineRule="auto"/>
              <w:jc w:val="both"/>
              <w:rPr>
                <w:rFonts w:hint="eastAsia" w:ascii="宋体" w:hAnsi="宋体" w:eastAsia="宋体" w:cs="宋体"/>
                <w:bCs/>
                <w:iCs/>
                <w:color w:val="000000"/>
                <w:sz w:val="24"/>
                <w:szCs w:val="24"/>
                <w:lang w:val="en-US" w:eastAsia="zh-CN"/>
              </w:rPr>
            </w:pPr>
          </w:p>
          <w:p w14:paraId="34067A46">
            <w:pPr>
              <w:spacing w:line="360" w:lineRule="auto"/>
              <w:jc w:val="both"/>
              <w:rPr>
                <w:rFonts w:hint="default" w:ascii="宋体" w:hAnsi="宋体" w:eastAsia="宋体" w:cs="宋体"/>
                <w:b/>
                <w:bCs/>
                <w:iCs/>
                <w:color w:val="000000"/>
                <w:sz w:val="24"/>
                <w:szCs w:val="24"/>
                <w:lang w:val="en-US" w:eastAsia="zh-CN"/>
              </w:rPr>
            </w:pPr>
            <w:r>
              <w:rPr>
                <w:rFonts w:hint="eastAsia" w:ascii="宋体" w:hAnsi="宋体" w:cs="宋体"/>
                <w:b/>
                <w:bCs w:val="0"/>
                <w:iCs/>
                <w:color w:val="000000"/>
                <w:sz w:val="24"/>
                <w:szCs w:val="24"/>
                <w:lang w:val="en-US" w:eastAsia="zh-CN"/>
              </w:rPr>
              <w:t>问题3、公司未来业务发展的增长点在哪？</w:t>
            </w:r>
          </w:p>
          <w:p w14:paraId="182B03E3">
            <w:pPr>
              <w:spacing w:line="360" w:lineRule="auto"/>
              <w:jc w:val="both"/>
              <w:rPr>
                <w:rFonts w:hint="default" w:ascii="宋体" w:hAnsi="宋体" w:cs="宋体"/>
                <w:bCs/>
                <w:iCs/>
                <w:color w:val="000000"/>
                <w:sz w:val="24"/>
                <w:szCs w:val="24"/>
                <w:lang w:val="en-US" w:eastAsia="zh-CN"/>
              </w:rPr>
            </w:pPr>
            <w:r>
              <w:rPr>
                <w:rFonts w:hint="eastAsia" w:ascii="宋体" w:hAnsi="宋体" w:eastAsia="宋体" w:cs="宋体"/>
                <w:bCs/>
                <w:iCs/>
                <w:color w:val="000000"/>
                <w:sz w:val="24"/>
                <w:szCs w:val="24"/>
                <w:lang w:val="en-US" w:eastAsia="zh-CN"/>
              </w:rPr>
              <w:t>答：</w:t>
            </w:r>
            <w:r>
              <w:rPr>
                <w:rFonts w:hint="eastAsia" w:ascii="宋体" w:hAnsi="宋体" w:cs="宋体"/>
                <w:bCs/>
                <w:iCs/>
                <w:color w:val="000000"/>
                <w:sz w:val="24"/>
                <w:szCs w:val="24"/>
                <w:lang w:val="en-US" w:eastAsia="zh-CN"/>
              </w:rPr>
              <w:t>公司未来将围绕有色金属产业开拓市场：1、矿山板块，紧跟国家新一轮找矿突破战略行动，持续跟踪国内国外矿山的开发，寻找业务机会；2、冶炼板块，跟踪落后产能技术升级改造和新建产能的业务机会；3、为境内外矿业冶炼企业的数字化提升提供服务。</w:t>
            </w:r>
          </w:p>
          <w:p w14:paraId="74BDF781">
            <w:pPr>
              <w:spacing w:line="360" w:lineRule="auto"/>
              <w:ind w:firstLine="480" w:firstLineChars="200"/>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在夯实主业的基础上，公司积极</w:t>
            </w:r>
            <w:r>
              <w:rPr>
                <w:rFonts w:hint="eastAsia" w:ascii="宋体" w:hAnsi="宋体" w:eastAsia="宋体" w:cs="宋体"/>
                <w:bCs/>
                <w:iCs/>
                <w:color w:val="000000"/>
                <w:sz w:val="24"/>
                <w:szCs w:val="24"/>
                <w:lang w:val="en-US" w:eastAsia="zh-CN"/>
              </w:rPr>
              <w:t>研究进入矿山投资领域和</w:t>
            </w:r>
            <w:r>
              <w:rPr>
                <w:rFonts w:hint="eastAsia" w:ascii="宋体" w:hAnsi="宋体" w:cs="宋体"/>
                <w:bCs/>
                <w:iCs/>
                <w:color w:val="000000"/>
                <w:sz w:val="24"/>
                <w:szCs w:val="24"/>
                <w:lang w:val="en-US" w:eastAsia="zh-CN"/>
              </w:rPr>
              <w:t>冶炼厂开车</w:t>
            </w:r>
            <w:r>
              <w:rPr>
                <w:rFonts w:hint="eastAsia" w:ascii="宋体" w:hAnsi="宋体" w:eastAsia="宋体" w:cs="宋体"/>
                <w:bCs/>
                <w:iCs/>
                <w:color w:val="000000"/>
                <w:sz w:val="24"/>
                <w:szCs w:val="24"/>
                <w:lang w:val="en-US" w:eastAsia="zh-CN"/>
              </w:rPr>
              <w:t>运维</w:t>
            </w:r>
            <w:r>
              <w:rPr>
                <w:rFonts w:hint="eastAsia" w:ascii="宋体" w:hAnsi="宋体" w:cs="宋体"/>
                <w:bCs/>
                <w:iCs/>
                <w:color w:val="000000"/>
                <w:sz w:val="24"/>
                <w:szCs w:val="24"/>
                <w:lang w:val="en-US" w:eastAsia="zh-CN"/>
              </w:rPr>
              <w:t>服务</w:t>
            </w:r>
            <w:r>
              <w:rPr>
                <w:rFonts w:hint="eastAsia" w:ascii="宋体" w:hAnsi="宋体" w:eastAsia="宋体" w:cs="宋体"/>
                <w:bCs/>
                <w:iCs/>
                <w:color w:val="000000"/>
                <w:sz w:val="24"/>
                <w:szCs w:val="24"/>
                <w:lang w:val="en-US" w:eastAsia="zh-CN"/>
              </w:rPr>
              <w:t>领域的机会，为公司发展创造新的增长点。</w:t>
            </w:r>
          </w:p>
          <w:p w14:paraId="3DF1A292">
            <w:pPr>
              <w:spacing w:line="360" w:lineRule="auto"/>
              <w:jc w:val="both"/>
              <w:rPr>
                <w:rFonts w:ascii="Helvetica" w:hAnsi="Helvetica" w:eastAsia="Helvetica" w:cs="Helvetica"/>
                <w:i w:val="0"/>
                <w:iCs w:val="0"/>
                <w:caps w:val="0"/>
                <w:color w:val="333333"/>
                <w:spacing w:val="0"/>
                <w:sz w:val="24"/>
                <w:szCs w:val="24"/>
                <w:shd w:val="clear" w:fill="F7F7F7"/>
              </w:rPr>
            </w:pPr>
          </w:p>
          <w:p w14:paraId="38A0FF7E">
            <w:pPr>
              <w:spacing w:line="360" w:lineRule="auto"/>
              <w:jc w:val="both"/>
              <w:rPr>
                <w:rFonts w:hint="default" w:ascii="宋体" w:hAnsi="宋体" w:cs="宋体"/>
                <w:b/>
                <w:bCs w:val="0"/>
                <w:iCs/>
                <w:color w:val="000000"/>
                <w:sz w:val="24"/>
                <w:szCs w:val="24"/>
                <w:lang w:val="en-US" w:eastAsia="zh-CN"/>
              </w:rPr>
            </w:pPr>
            <w:r>
              <w:rPr>
                <w:rFonts w:hint="eastAsia" w:ascii="宋体" w:hAnsi="宋体" w:cs="宋体"/>
                <w:b/>
                <w:bCs w:val="0"/>
                <w:iCs/>
                <w:color w:val="000000"/>
                <w:sz w:val="24"/>
                <w:szCs w:val="24"/>
                <w:lang w:val="en-US" w:eastAsia="zh-CN"/>
              </w:rPr>
              <w:t>问题4、公司目前的竞争格局是怎样的？</w:t>
            </w:r>
          </w:p>
          <w:p w14:paraId="0EB65265">
            <w:pPr>
              <w:spacing w:line="360" w:lineRule="auto"/>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答：从行业竞争格局来看，国内有色冶金领域主要的设计咨询及技术服务商为原国家部属的八家有色冶金设计研究院，各院形成了差异化的优势领域。中国瑞林前身为南昌有色冶金设计研究院，在铜冶炼相关核心工艺和装备技术上，处于行业先进地位。</w:t>
            </w:r>
          </w:p>
          <w:p w14:paraId="085407B3">
            <w:pPr>
              <w:spacing w:line="360" w:lineRule="auto"/>
              <w:ind w:firstLine="480" w:firstLineChars="200"/>
              <w:jc w:val="both"/>
              <w:rPr>
                <w:rFonts w:hint="eastAsia" w:ascii="宋体" w:hAnsi="宋体" w:cs="宋体"/>
                <w:bCs/>
                <w:iCs/>
                <w:color w:val="000000"/>
                <w:sz w:val="24"/>
                <w:szCs w:val="24"/>
                <w:lang w:val="en-US" w:eastAsia="zh-CN"/>
              </w:rPr>
            </w:pPr>
          </w:p>
          <w:p w14:paraId="61C86776">
            <w:pPr>
              <w:spacing w:line="360" w:lineRule="auto"/>
              <w:jc w:val="both"/>
              <w:rPr>
                <w:rFonts w:hint="default" w:ascii="宋体" w:hAnsi="宋体" w:eastAsia="宋体" w:cs="宋体"/>
                <w:b/>
                <w:bCs w:val="0"/>
                <w:iCs/>
                <w:color w:val="000000"/>
                <w:sz w:val="24"/>
                <w:szCs w:val="24"/>
                <w:lang w:val="en-US" w:eastAsia="zh-CN"/>
              </w:rPr>
            </w:pPr>
            <w:bookmarkStart w:id="0" w:name="_Toc116131385"/>
            <w:r>
              <w:rPr>
                <w:rFonts w:hint="eastAsia" w:ascii="宋体" w:hAnsi="宋体" w:eastAsia="宋体" w:cs="宋体"/>
                <w:b/>
                <w:bCs w:val="0"/>
                <w:iCs/>
                <w:color w:val="000000"/>
                <w:sz w:val="24"/>
                <w:szCs w:val="24"/>
                <w:lang w:val="en-US" w:eastAsia="zh-CN"/>
              </w:rPr>
              <w:t>问题</w:t>
            </w:r>
            <w:r>
              <w:rPr>
                <w:rFonts w:hint="eastAsia" w:ascii="宋体" w:hAnsi="宋体" w:cs="宋体"/>
                <w:b/>
                <w:bCs w:val="0"/>
                <w:iCs/>
                <w:color w:val="000000"/>
                <w:sz w:val="24"/>
                <w:szCs w:val="24"/>
                <w:lang w:val="en-US" w:eastAsia="zh-CN"/>
              </w:rPr>
              <w:t>5</w:t>
            </w:r>
            <w:r>
              <w:rPr>
                <w:rFonts w:hint="eastAsia" w:ascii="宋体" w:hAnsi="宋体" w:eastAsia="宋体" w:cs="宋体"/>
                <w:b/>
                <w:bCs w:val="0"/>
                <w:iCs/>
                <w:color w:val="000000"/>
                <w:sz w:val="24"/>
                <w:szCs w:val="24"/>
                <w:lang w:val="en-US" w:eastAsia="zh-CN"/>
              </w:rPr>
              <w:t>、</w:t>
            </w:r>
            <w:bookmarkEnd w:id="0"/>
            <w:r>
              <w:rPr>
                <w:rFonts w:hint="eastAsia" w:ascii="宋体" w:hAnsi="宋体" w:eastAsia="宋体" w:cs="宋体"/>
                <w:b/>
                <w:bCs w:val="0"/>
                <w:iCs/>
                <w:color w:val="000000"/>
                <w:sz w:val="24"/>
                <w:szCs w:val="24"/>
                <w:lang w:val="en-US" w:eastAsia="zh-CN"/>
              </w:rPr>
              <w:t>公司的募投项目进展情况如何？</w:t>
            </w:r>
          </w:p>
          <w:p w14:paraId="7F6A51CC">
            <w:pPr>
              <w:spacing w:line="360" w:lineRule="auto"/>
              <w:jc w:val="both"/>
              <w:rPr>
                <w:rFonts w:hint="eastAsia" w:ascii="宋体" w:hAnsi="宋体" w:cs="宋体"/>
                <w:bCs/>
                <w:iCs/>
                <w:color w:val="000000"/>
                <w:sz w:val="24"/>
                <w:szCs w:val="24"/>
                <w:lang w:val="en-US" w:eastAsia="zh-CN"/>
              </w:rPr>
            </w:pPr>
            <w:r>
              <w:rPr>
                <w:rFonts w:hint="eastAsia" w:ascii="宋体" w:hAnsi="宋体" w:eastAsia="宋体" w:cs="宋体"/>
                <w:bCs/>
                <w:iCs/>
                <w:color w:val="000000"/>
                <w:sz w:val="24"/>
                <w:szCs w:val="24"/>
                <w:lang w:val="en-US" w:eastAsia="zh-CN"/>
              </w:rPr>
              <w:t>答：公司的募投项目现阶段有序推进建设中</w:t>
            </w:r>
            <w:r>
              <w:rPr>
                <w:rFonts w:hint="eastAsia" w:ascii="宋体" w:hAnsi="宋体" w:cs="宋体"/>
                <w:bCs/>
                <w:iCs/>
                <w:color w:val="000000"/>
                <w:sz w:val="24"/>
                <w:szCs w:val="24"/>
                <w:lang w:val="en-US" w:eastAsia="zh-CN"/>
              </w:rPr>
              <w:t>。创新发展中心项目总投资36,962.09万元，包括现代铜冶金工程技术研究中心、绿色矿业技术研究中心、环境治理工程技术研究中心、工业智能化应用工程技术研究中心和模块化绿色智能建造技术研究中心，5个研究中心组成的“瑞林研究院”，加快推动技术驱动型国际化公司建设。</w:t>
            </w:r>
          </w:p>
          <w:p w14:paraId="1B5D4B1D">
            <w:pPr>
              <w:spacing w:line="360" w:lineRule="auto"/>
              <w:ind w:firstLine="480" w:firstLineChars="200"/>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lang w:val="en-US" w:eastAsia="zh-CN"/>
              </w:rPr>
              <w:t>信息化升级改造项目</w:t>
            </w:r>
            <w:r>
              <w:rPr>
                <w:rFonts w:hint="eastAsia" w:ascii="宋体" w:hAnsi="宋体" w:eastAsia="宋体" w:cs="宋体"/>
                <w:bCs/>
                <w:iCs/>
                <w:color w:val="000000"/>
                <w:sz w:val="24"/>
                <w:szCs w:val="24"/>
              </w:rPr>
              <w:t>投资13,826.45万元，以数智化赋能公司市场经营、生产协同、项目运营、科研创新，以数字化交付、智能化升级推动设计咨询、装备及系统集成、项目管理、总承包业务高质量转型发展。</w:t>
            </w:r>
          </w:p>
        </w:tc>
      </w:tr>
      <w:tr w14:paraId="7F4AD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DECC40D">
            <w:pPr>
              <w:spacing w:line="360" w:lineRule="auto"/>
              <w:jc w:val="center"/>
              <w:rPr>
                <w:rFonts w:hint="eastAsia" w:ascii="宋体" w:hAnsi="宋体" w:eastAsia="宋体" w:cs="宋体"/>
                <w:b/>
                <w:bCs/>
                <w:kern w:val="2"/>
                <w:sz w:val="20"/>
                <w:szCs w:val="20"/>
                <w:lang w:val="en-US" w:eastAsia="zh-CN" w:bidi="ar-SA"/>
              </w:rPr>
            </w:pPr>
            <w:r>
              <w:rPr>
                <w:rFonts w:hint="eastAsia" w:ascii="宋体" w:hAnsi="宋体" w:eastAsia="宋体" w:cs="宋体"/>
                <w:bCs/>
                <w:iCs/>
                <w:color w:val="000000"/>
                <w:sz w:val="24"/>
                <w:szCs w:val="24"/>
              </w:rPr>
              <w:t>关于本次活动是否涉及应披露重大信息的说明</w:t>
            </w:r>
          </w:p>
        </w:tc>
        <w:tc>
          <w:tcPr>
            <w:tcW w:w="6614" w:type="dxa"/>
            <w:tcBorders>
              <w:tl2br w:val="nil"/>
              <w:tr2bl w:val="nil"/>
            </w:tcBorders>
            <w:noWrap w:val="0"/>
            <w:vAlign w:val="center"/>
          </w:tcPr>
          <w:p w14:paraId="347E8476">
            <w:pPr>
              <w:pStyle w:val="6"/>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kern w:val="2"/>
                <w:sz w:val="20"/>
                <w:szCs w:val="20"/>
                <w:lang w:val="en-US" w:eastAsia="zh-CN" w:bidi="ar-SA"/>
              </w:rPr>
            </w:pPr>
            <w:r>
              <w:rPr>
                <w:rFonts w:hint="eastAsia" w:ascii="宋体" w:hAnsi="宋体" w:eastAsia="宋体" w:cs="宋体"/>
                <w:bCs/>
                <w:iCs/>
                <w:color w:val="000000"/>
                <w:kern w:val="2"/>
                <w:sz w:val="24"/>
                <w:szCs w:val="24"/>
                <w:lang w:val="en-US" w:eastAsia="zh-CN" w:bidi="ar-SA"/>
              </w:rPr>
              <w:t>本次活动不涉及未公开披露的重大信息。</w:t>
            </w:r>
          </w:p>
        </w:tc>
      </w:tr>
      <w:tr w14:paraId="0CC88B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6475AF91">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附件清单</w:t>
            </w:r>
          </w:p>
        </w:tc>
        <w:tc>
          <w:tcPr>
            <w:tcW w:w="6614" w:type="dxa"/>
            <w:tcBorders>
              <w:tl2br w:val="nil"/>
              <w:tr2bl w:val="nil"/>
            </w:tcBorders>
            <w:noWrap w:val="0"/>
            <w:vAlign w:val="center"/>
          </w:tcPr>
          <w:p w14:paraId="5C193D32">
            <w:pPr>
              <w:spacing w:line="360" w:lineRule="auto"/>
              <w:jc w:val="both"/>
              <w:rPr>
                <w:rFonts w:hint="eastAsia" w:ascii="宋体" w:hAnsi="宋体" w:eastAsia="宋体" w:cs="宋体"/>
                <w:bCs/>
                <w:iCs/>
                <w:color w:val="000000"/>
                <w:sz w:val="24"/>
                <w:szCs w:val="24"/>
              </w:rPr>
            </w:pPr>
            <w:r>
              <w:rPr>
                <w:rFonts w:hint="eastAsia" w:ascii="宋体" w:hAnsi="宋体" w:cs="宋体"/>
                <w:bCs/>
                <w:iCs/>
                <w:color w:val="000000"/>
                <w:sz w:val="24"/>
                <w:szCs w:val="24"/>
                <w:lang w:eastAsia="zh-CN"/>
              </w:rPr>
              <w:t>无</w:t>
            </w:r>
          </w:p>
        </w:tc>
      </w:tr>
      <w:tr w14:paraId="18D330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3DE0727A">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日期</w:t>
            </w:r>
          </w:p>
        </w:tc>
        <w:tc>
          <w:tcPr>
            <w:tcW w:w="6614" w:type="dxa"/>
            <w:tcBorders>
              <w:tl2br w:val="nil"/>
              <w:tr2bl w:val="nil"/>
            </w:tcBorders>
            <w:noWrap w:val="0"/>
            <w:vAlign w:val="center"/>
          </w:tcPr>
          <w:p w14:paraId="204EE0A8">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2025年9月5日</w:t>
            </w:r>
          </w:p>
        </w:tc>
      </w:tr>
    </w:tbl>
    <w:p w14:paraId="45E60CD2"/>
    <w:p w14:paraId="60BBD8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75D48"/>
    <w:multiLevelType w:val="multilevel"/>
    <w:tmpl w:val="0C775D48"/>
    <w:lvl w:ilvl="0" w:tentative="0">
      <w:start w:val="1"/>
      <w:numFmt w:val="decimal"/>
      <w:pStyle w:val="5"/>
      <w:suff w:val="nothing"/>
      <w:lvlText w:val="%1）"/>
      <w:lvlJc w:val="left"/>
      <w:pPr>
        <w:ind w:left="3261" w:firstLine="0"/>
      </w:pPr>
      <w:rPr>
        <w:rFonts w:hint="eastAsia"/>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4268B"/>
    <w:rsid w:val="035B7317"/>
    <w:rsid w:val="03903984"/>
    <w:rsid w:val="04A537A1"/>
    <w:rsid w:val="04D628B2"/>
    <w:rsid w:val="04D6437B"/>
    <w:rsid w:val="0507192F"/>
    <w:rsid w:val="053B226F"/>
    <w:rsid w:val="054602C9"/>
    <w:rsid w:val="07B332B2"/>
    <w:rsid w:val="08101412"/>
    <w:rsid w:val="087C2200"/>
    <w:rsid w:val="09CA542C"/>
    <w:rsid w:val="0AE628F6"/>
    <w:rsid w:val="0DA27E6B"/>
    <w:rsid w:val="0E762342"/>
    <w:rsid w:val="0F164D87"/>
    <w:rsid w:val="10BC128B"/>
    <w:rsid w:val="1165566D"/>
    <w:rsid w:val="117A0A25"/>
    <w:rsid w:val="1184546F"/>
    <w:rsid w:val="11907962"/>
    <w:rsid w:val="13702473"/>
    <w:rsid w:val="139C0FA5"/>
    <w:rsid w:val="157A6306"/>
    <w:rsid w:val="16054376"/>
    <w:rsid w:val="17297A1F"/>
    <w:rsid w:val="189D14D9"/>
    <w:rsid w:val="193E5A6E"/>
    <w:rsid w:val="1960677D"/>
    <w:rsid w:val="1AB53871"/>
    <w:rsid w:val="1AF00CE9"/>
    <w:rsid w:val="1C0549E3"/>
    <w:rsid w:val="1CDC6B86"/>
    <w:rsid w:val="1D2357B3"/>
    <w:rsid w:val="1E646784"/>
    <w:rsid w:val="1F037C33"/>
    <w:rsid w:val="204443F3"/>
    <w:rsid w:val="20E54640"/>
    <w:rsid w:val="21000E6D"/>
    <w:rsid w:val="22114E93"/>
    <w:rsid w:val="2269434D"/>
    <w:rsid w:val="22B24B09"/>
    <w:rsid w:val="22BF68FE"/>
    <w:rsid w:val="24E345A6"/>
    <w:rsid w:val="254775BE"/>
    <w:rsid w:val="261C37E8"/>
    <w:rsid w:val="269F0287"/>
    <w:rsid w:val="27305414"/>
    <w:rsid w:val="28B223C0"/>
    <w:rsid w:val="296868BE"/>
    <w:rsid w:val="29776318"/>
    <w:rsid w:val="2A8049CB"/>
    <w:rsid w:val="2BB4034F"/>
    <w:rsid w:val="2DC02CAD"/>
    <w:rsid w:val="2EBE3B65"/>
    <w:rsid w:val="2F7B201C"/>
    <w:rsid w:val="31911A3C"/>
    <w:rsid w:val="31924B3E"/>
    <w:rsid w:val="32A6059B"/>
    <w:rsid w:val="32C77198"/>
    <w:rsid w:val="333113F6"/>
    <w:rsid w:val="33F279C9"/>
    <w:rsid w:val="34381F14"/>
    <w:rsid w:val="356A719D"/>
    <w:rsid w:val="35A16FBE"/>
    <w:rsid w:val="35C4268B"/>
    <w:rsid w:val="365D3198"/>
    <w:rsid w:val="396C5440"/>
    <w:rsid w:val="3A804B9A"/>
    <w:rsid w:val="3AD76784"/>
    <w:rsid w:val="3BEE6465"/>
    <w:rsid w:val="3D5D1DBB"/>
    <w:rsid w:val="3DE73CFA"/>
    <w:rsid w:val="40082355"/>
    <w:rsid w:val="40BA4DB0"/>
    <w:rsid w:val="40F01A89"/>
    <w:rsid w:val="41233BF4"/>
    <w:rsid w:val="44757F5F"/>
    <w:rsid w:val="44D00711"/>
    <w:rsid w:val="45D03785"/>
    <w:rsid w:val="45D77D8A"/>
    <w:rsid w:val="46023A7A"/>
    <w:rsid w:val="465D526B"/>
    <w:rsid w:val="47A8084F"/>
    <w:rsid w:val="490C7E10"/>
    <w:rsid w:val="49501E9D"/>
    <w:rsid w:val="4B295164"/>
    <w:rsid w:val="4B336E94"/>
    <w:rsid w:val="4B616322"/>
    <w:rsid w:val="4BFF20AD"/>
    <w:rsid w:val="4C354DB6"/>
    <w:rsid w:val="50C6555A"/>
    <w:rsid w:val="526F4C0A"/>
    <w:rsid w:val="56BC3A85"/>
    <w:rsid w:val="57E77C3F"/>
    <w:rsid w:val="593531E0"/>
    <w:rsid w:val="5BC002A7"/>
    <w:rsid w:val="5BC30EFB"/>
    <w:rsid w:val="5EA50009"/>
    <w:rsid w:val="5ED449A6"/>
    <w:rsid w:val="5F1C7419"/>
    <w:rsid w:val="5F503301"/>
    <w:rsid w:val="60874142"/>
    <w:rsid w:val="60B573EC"/>
    <w:rsid w:val="60C761C3"/>
    <w:rsid w:val="61816F34"/>
    <w:rsid w:val="61F07FA8"/>
    <w:rsid w:val="63395122"/>
    <w:rsid w:val="63FF151B"/>
    <w:rsid w:val="653D0D6E"/>
    <w:rsid w:val="687057B8"/>
    <w:rsid w:val="687F0E2B"/>
    <w:rsid w:val="691C2ED9"/>
    <w:rsid w:val="6970393A"/>
    <w:rsid w:val="69C7507B"/>
    <w:rsid w:val="6BBF44D0"/>
    <w:rsid w:val="6BFC6414"/>
    <w:rsid w:val="6C0137AE"/>
    <w:rsid w:val="6C542DC7"/>
    <w:rsid w:val="6D1779A2"/>
    <w:rsid w:val="6E6209F8"/>
    <w:rsid w:val="6EEC07E9"/>
    <w:rsid w:val="6F282E41"/>
    <w:rsid w:val="6F300141"/>
    <w:rsid w:val="700437BA"/>
    <w:rsid w:val="722E1C16"/>
    <w:rsid w:val="723B1F15"/>
    <w:rsid w:val="736B7EE9"/>
    <w:rsid w:val="742E3FAD"/>
    <w:rsid w:val="74DC09BE"/>
    <w:rsid w:val="75D57876"/>
    <w:rsid w:val="791A5957"/>
    <w:rsid w:val="79EA5423"/>
    <w:rsid w:val="7A5E5C19"/>
    <w:rsid w:val="7CA04FC7"/>
    <w:rsid w:val="7E7D6486"/>
    <w:rsid w:val="7F91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4级标题"/>
    <w:basedOn w:val="2"/>
    <w:next w:val="1"/>
    <w:qFormat/>
    <w:uiPriority w:val="0"/>
    <w:pPr>
      <w:numPr>
        <w:ilvl w:val="0"/>
        <w:numId w:val="1"/>
      </w:numPr>
      <w:spacing w:before="0" w:after="50" w:line="360" w:lineRule="auto"/>
      <w:ind w:firstLineChars="0"/>
      <w:jc w:val="left"/>
    </w:pPr>
    <w:rPr>
      <w:rFonts w:eastAsia="宋体"/>
      <w:sz w:val="21"/>
    </w:r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1280</Words>
  <Characters>1434</Characters>
  <Lines>0</Lines>
  <Paragraphs>0</Paragraphs>
  <TotalTime>19</TotalTime>
  <ScaleCrop>false</ScaleCrop>
  <LinksUpToDate>false</LinksUpToDate>
  <CharactersWithSpaces>1517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2025-09-05T02:20:00Z</dcterms:created>
  <dc:creator>Hanlu</dc:creator>
  <cp:lastModifiedBy>Hanlu</cp:lastModifiedBy>
  <dcterms:modified xsi:type="dcterms:W3CDTF">2025-09-05T09:19:15Z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C147A5F258284A8A877495FDA686D682_11</vt:lpwstr>
  </property>
  <property fmtid="{D5CDD505-2E9C-101B-9397-08002B2CF9AE}" pid="4" name="KSOTemplateDocerSaveRecord">
    <vt:lpwstr>eyJoZGlkIjoiNTY5ZTI3OWQ2Y2M4MzRiOGU4OTQ2ZWQyM2I4OGJmYTciLCJ1c2VySWQiOiIxMjgzNzcxMTQ4In0=</vt:lpwstr>
  </property>
</Properties>
</file>