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证券代码：</w:t>
      </w:r>
      <w:r>
        <w:rPr>
          <w:rFonts w:ascii="Times New Roman" w:cs="Times New Roman" w:hAnsi="Times New Roman"/>
          <w:sz w:val="24"/>
          <w:szCs w:val="24"/>
        </w:rPr>
        <w:t xml:space="preserve">603657                                   </w:t>
      </w:r>
      <w:r>
        <w:rPr>
          <w:rFonts w:ascii="Times New Roman" w:cs="Times New Roman" w:hAnsi="Times New Roman"/>
          <w:sz w:val="24"/>
          <w:szCs w:val="24"/>
        </w:rPr>
        <w:t>证券简称：春光科技</w:t>
      </w:r>
    </w:p>
    <w:p>
      <w:pPr>
        <w:pStyle w:val="style0"/>
        <w:jc w:val="center"/>
        <w:rPr>
          <w:b/>
          <w:sz w:val="30"/>
          <w:szCs w:val="30"/>
        </w:rPr>
      </w:pPr>
    </w:p>
    <w:p>
      <w:pPr>
        <w:pStyle w:val="style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金华</w:t>
      </w:r>
      <w:r>
        <w:rPr>
          <w:b/>
          <w:sz w:val="30"/>
          <w:szCs w:val="30"/>
        </w:rPr>
        <w:t>春光橡塑科技股份有限公司</w:t>
      </w:r>
    </w:p>
    <w:p>
      <w:pPr>
        <w:pStyle w:val="style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投资者关系活动记录表</w:t>
      </w:r>
    </w:p>
    <w:p>
      <w:pPr>
        <w:pStyle w:val="style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编号</w:t>
      </w:r>
      <w:r>
        <w:rPr>
          <w:sz w:val="30"/>
          <w:szCs w:val="30"/>
        </w:rPr>
        <w:t>：</w:t>
      </w:r>
      <w:r>
        <w:rPr>
          <w:rFonts w:ascii="Times New Roman" w:cs="Times New Roman" w:hAnsi="Times New Roman"/>
          <w:sz w:val="30"/>
          <w:szCs w:val="30"/>
        </w:rPr>
        <w:t>202</w:t>
      </w:r>
      <w:r>
        <w:rPr>
          <w:rFonts w:ascii="Times New Roman" w:cs="Times New Roman" w:hAnsi="Times New Roman" w:hint="eastAsia"/>
          <w:sz w:val="30"/>
          <w:szCs w:val="30"/>
        </w:rPr>
        <w:t>5</w:t>
      </w:r>
      <w:r>
        <w:rPr>
          <w:rFonts w:ascii="Times New Roman" w:cs="Times New Roman" w:hAnsi="Times New Roman"/>
          <w:sz w:val="30"/>
          <w:szCs w:val="30"/>
        </w:rPr>
        <w:t>-00</w:t>
      </w:r>
      <w:r>
        <w:rPr>
          <w:rFonts w:ascii="Times New Roman" w:cs="Times New Roman" w:hAnsi="Times New Roman"/>
          <w:sz w:val="30"/>
          <w:szCs w:val="30"/>
        </w:rPr>
        <w:t>4</w:t>
      </w:r>
    </w:p>
    <w:tbl>
      <w:tblPr>
        <w:tblStyle w:val="style154"/>
        <w:tblW w:w="9498" w:type="dxa"/>
        <w:tblInd w:w="-714" w:type="dxa"/>
        <w:tblLook w:val="04A0" w:firstRow="1" w:lastRow="0" w:firstColumn="1" w:lastColumn="0" w:noHBand="0" w:noVBand="1"/>
      </w:tblPr>
      <w:tblGrid>
        <w:gridCol w:w="2269"/>
        <w:gridCol w:w="7229"/>
      </w:tblGrid>
      <w:tr>
        <w:trPr>
          <w:trHeight w:val="1612" w:hRule="atLeast"/>
        </w:trPr>
        <w:tc>
          <w:tcPr>
            <w:tcW w:w="2269" w:type="dxa"/>
            <w:tcBorders/>
            <w:vAlign w:val="center"/>
          </w:tcPr>
          <w:p>
            <w:pPr>
              <w:pStyle w:val="style0"/>
              <w:spacing w:lineRule="exact" w:line="440"/>
              <w:ind w:left="225" w:leftChars="50" w:hanging="120" w:hangingChars="5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投资者</w:t>
            </w:r>
            <w:r>
              <w:rPr>
                <w:rFonts w:ascii="宋体" w:hAnsi="宋体"/>
                <w:b/>
                <w:sz w:val="24"/>
                <w:szCs w:val="24"/>
              </w:rPr>
              <w:t>关系</w:t>
            </w:r>
          </w:p>
          <w:p>
            <w:pPr>
              <w:pStyle w:val="style0"/>
              <w:spacing w:lineRule="exact" w:line="440"/>
              <w:ind w:left="225" w:leftChars="50" w:hanging="120" w:hangingChars="5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活动类别</w:t>
            </w:r>
          </w:p>
        </w:tc>
        <w:tc>
          <w:tcPr>
            <w:tcW w:w="7229" w:type="dxa"/>
            <w:tcBorders/>
          </w:tcPr>
          <w:p>
            <w:pPr>
              <w:pStyle w:val="style0"/>
              <w:spacing w:lineRule="exact" w:line="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MS Mincho" w:cs="MS Mincho" w:eastAsia="MS Mincho" w:hAnsi="MS Mincho" w:hint="eastAsia"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  <w:szCs w:val="24"/>
              </w:rPr>
              <w:t>特定</w:t>
            </w:r>
            <w:r>
              <w:rPr>
                <w:rFonts w:ascii="宋体" w:hAnsi="宋体"/>
                <w:sz w:val="24"/>
                <w:szCs w:val="24"/>
              </w:rPr>
              <w:t>对象调研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分析师</w:t>
            </w:r>
            <w:r>
              <w:rPr>
                <w:rFonts w:ascii="宋体" w:hAnsi="宋体"/>
                <w:sz w:val="24"/>
                <w:szCs w:val="24"/>
              </w:rPr>
              <w:t>会议</w:t>
            </w:r>
          </w:p>
          <w:p>
            <w:pPr>
              <w:pStyle w:val="style0"/>
              <w:spacing w:lineRule="exact" w:line="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媒体</w:t>
            </w:r>
            <w:r>
              <w:rPr>
                <w:rFonts w:ascii="宋体" w:hAnsi="宋体"/>
                <w:sz w:val="24"/>
                <w:szCs w:val="24"/>
              </w:rPr>
              <w:t>采访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业绩</w:t>
            </w:r>
            <w:r>
              <w:rPr>
                <w:rFonts w:ascii="宋体" w:hAnsi="宋体"/>
                <w:sz w:val="24"/>
                <w:szCs w:val="24"/>
              </w:rPr>
              <w:t>说明会</w:t>
            </w:r>
          </w:p>
          <w:p>
            <w:pPr>
              <w:pStyle w:val="style0"/>
              <w:spacing w:lineRule="exact" w:line="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新闻</w:t>
            </w:r>
            <w:r>
              <w:rPr>
                <w:rFonts w:ascii="宋体" w:hAnsi="宋体"/>
                <w:sz w:val="24"/>
                <w:szCs w:val="24"/>
              </w:rPr>
              <w:t>发布会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路演</w:t>
            </w:r>
            <w:r>
              <w:rPr>
                <w:rFonts w:ascii="宋体" w:hAnsi="宋体"/>
                <w:sz w:val="24"/>
                <w:szCs w:val="24"/>
              </w:rPr>
              <w:t>活动</w:t>
            </w:r>
          </w:p>
          <w:p>
            <w:pPr>
              <w:pStyle w:val="style0"/>
              <w:spacing w:lineRule="exact" w:line="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MS Mincho" w:cs="MS Mincho" w:eastAsia="MS Mincho" w:hAnsi="MS Mincho" w:hint="eastAsia"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  <w:szCs w:val="24"/>
              </w:rPr>
              <w:t xml:space="preserve">现场参观                   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>
        <w:tblPrEx/>
        <w:trPr>
          <w:trHeight w:val="768" w:hRule="atLeast"/>
        </w:trPr>
        <w:tc>
          <w:tcPr>
            <w:tcW w:w="2269" w:type="dxa"/>
            <w:tcBorders/>
            <w:vAlign w:val="center"/>
          </w:tcPr>
          <w:p>
            <w:pPr>
              <w:pStyle w:val="style0"/>
              <w:spacing w:lineRule="exact" w:line="360"/>
              <w:ind w:left="120" w:hanging="120" w:hangingChars="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参与</w:t>
            </w:r>
            <w:r>
              <w:rPr>
                <w:rFonts w:ascii="宋体" w:hAnsi="宋体"/>
                <w:b/>
                <w:sz w:val="24"/>
                <w:szCs w:val="24"/>
              </w:rPr>
              <w:t>单位名称及</w:t>
            </w:r>
          </w:p>
          <w:p>
            <w:pPr>
              <w:pStyle w:val="style0"/>
              <w:spacing w:lineRule="exact" w:line="360"/>
              <w:ind w:left="120" w:hanging="120" w:hangingChars="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招商证券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史晋星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2269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2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202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日</w:t>
            </w:r>
          </w:p>
        </w:tc>
      </w:tr>
      <w:tr>
        <w:tblPrEx/>
        <w:trPr/>
        <w:tc>
          <w:tcPr>
            <w:tcW w:w="2269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2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子公司苏州尚腾公司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会议室</w:t>
            </w:r>
          </w:p>
        </w:tc>
      </w:tr>
      <w:tr>
        <w:tblPrEx/>
        <w:trPr/>
        <w:tc>
          <w:tcPr>
            <w:tcW w:w="2269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上市</w:t>
            </w:r>
            <w:r>
              <w:rPr>
                <w:rFonts w:ascii="宋体" w:hAnsi="宋体"/>
                <w:b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接待 </w:t>
            </w:r>
          </w:p>
          <w:p>
            <w:pPr>
              <w:pStyle w:val="style0"/>
              <w:spacing w:lineRule="exact" w:line="44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董事兼总经理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陈凯</w:t>
            </w:r>
          </w:p>
        </w:tc>
      </w:tr>
      <w:tr>
        <w:tblPrEx/>
        <w:trPr>
          <w:trHeight w:val="1692" w:hRule="atLeast"/>
        </w:trPr>
        <w:tc>
          <w:tcPr>
            <w:tcW w:w="2269" w:type="dxa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投资者</w:t>
            </w:r>
            <w:r>
              <w:rPr>
                <w:rFonts w:ascii="宋体" w:hAnsi="宋体"/>
                <w:b/>
                <w:sz w:val="24"/>
                <w:szCs w:val="24"/>
              </w:rPr>
              <w:t>关系活动主要内容介绍</w:t>
            </w:r>
          </w:p>
        </w:tc>
        <w:tc>
          <w:tcPr>
            <w:tcW w:w="7229" w:type="dxa"/>
            <w:tcBorders/>
          </w:tcPr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问：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公司对外投资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是基于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国内发展的信心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吗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？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答：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今年上半年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国内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业务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增长主要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来源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于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整机代工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业务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公司整机代工业务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除顺造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客户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以外还有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LG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等客户储备。</w:t>
            </w:r>
            <w:bookmarkStart w:id="0" w:name="_GoBack"/>
            <w:bookmarkEnd w:id="0"/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问：海外发展战略，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24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年新增投资越南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Tengyue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和马来西亚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Suntone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两个海外公司，加快海外供应链布局，目前海外发展思路如何？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答：（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cs="Times New Roman" w:hAnsi="Times New Roman" w:hint="eastAsia"/>
                <w:sz w:val="24"/>
                <w:szCs w:val="24"/>
                <w:lang w:eastAsia="zh-CN"/>
              </w:rPr>
              <w:t>控股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孙公司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越南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tengyue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公司，现在主做环境电器，以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电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风扇、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空气净化器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等产品为主，跟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公司全资孙公司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越南尚腾工厂主做清洁电器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吸尘器业务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分开管理。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公司控股孙公司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马来西亚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Suntone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是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年公司跟当地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企业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合资成立，现在处于新客户导入、试产阶段。当初合资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主要是从提升海外产能角度考虑。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问：海外关税应对准备是否充分？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答：公司目前在越南、马来西亚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已有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三个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整机代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工厂。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问：春光从零部件软管配件转型整机制造，战略调整成效很明显，下一阶段整机生产利润率提升如何发力？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答：公司通过这几年的海外业务布局，稳住海外客户订单后，下一步将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努力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提升</w:t>
            </w:r>
            <w:r>
              <w:rPr>
                <w:rFonts w:ascii="Times New Roman" w:cs="Times New Roman" w:hAnsi="Times New Roman" w:hint="eastAsia"/>
                <w:sz w:val="24"/>
                <w:szCs w:val="24"/>
                <w:lang w:eastAsia="zh-CN"/>
              </w:rPr>
              <w:t>整机业务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产业链</w:t>
            </w:r>
            <w:r>
              <w:rPr>
                <w:rFonts w:ascii="Times New Roman" w:cs="Times New Roman" w:hAnsi="Times New Roman" w:hint="eastAsia"/>
                <w:sz w:val="24"/>
                <w:szCs w:val="24"/>
                <w:lang w:eastAsia="zh-CN"/>
              </w:rPr>
              <w:t>部件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自制率，除软管配件外，比如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马达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、铝管、滚刷等，公司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已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可以实现自制，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但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导入客户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还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需要认证周期。对内方面，进一步改善管理效率，提升精益制造水平，努力提高整机利润率。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问：公司在股东回报方面怎么考虑？</w:t>
            </w:r>
          </w:p>
          <w:p>
            <w:pPr>
              <w:pStyle w:val="style0"/>
              <w:spacing w:lineRule="exact" w:line="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答：公司制定了“提质增效重回报”行动方案，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年现金分红比例达归母净利润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33%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，上市以来累计分红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2.93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亿元。此外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24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月开始回购股票，累计回购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202.53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万股股票存放于回购专用账户内，未来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计划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择机用于股权激励或员工持股计划。</w:t>
            </w:r>
          </w:p>
        </w:tc>
      </w:tr>
      <w:tr>
        <w:tblPrEx/>
        <w:trPr>
          <w:trHeight w:val="111" w:hRule="atLeast"/>
        </w:trPr>
        <w:tc>
          <w:tcPr>
            <w:tcW w:w="2269" w:type="dxa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附件</w:t>
            </w:r>
            <w:r>
              <w:rPr>
                <w:rFonts w:ascii="宋体" w:hAnsi="宋体"/>
                <w:b/>
                <w:sz w:val="24"/>
                <w:szCs w:val="24"/>
              </w:rPr>
              <w:t>清单（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如有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无</w:t>
            </w:r>
          </w:p>
        </w:tc>
      </w:tr>
    </w:tbl>
    <w:p>
      <w:pPr>
        <w:pStyle w:val="style0"/>
        <w:spacing w:lineRule="exact" w:line="480"/>
        <w:rPr>
          <w:rFonts w:ascii="Times New Roman" w:cs="Times New Roman" w:hAnsi="Times New Roman"/>
          <w:kern w:val="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p>
      <w:pPr>
        <w:pStyle w:val="style0"/>
        <w:rPr>
          <w:sz w:val="30"/>
          <w:szCs w:val="30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C8751A"/>
    <w:lvl w:ilvl="0" w:tplc="1082B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0000001"/>
    <w:multiLevelType w:val="hybridMultilevel"/>
    <w:tmpl w:val="342C0B94"/>
    <w:lvl w:ilvl="0" w:tplc="5854E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0000002"/>
    <w:multiLevelType w:val="singleLevel"/>
    <w:tmpl w:val="33F9AD32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highlight"/>
    <w:basedOn w:val="style65"/>
    <w:next w:val="style4099"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Words>772</Words>
  <Pages>2</Pages>
  <Characters>832</Characters>
  <Application>WPS Office</Application>
  <DocSecurity>0</DocSecurity>
  <Paragraphs>57</Paragraphs>
  <ScaleCrop>false</ScaleCrop>
  <Company>微软中国</Company>
  <LinksUpToDate>false</LinksUpToDate>
  <CharactersWithSpaces>993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2020-04-17T07:37:00Z</dcterms:created>
  <dc:creator>Administrator</dc:creator>
  <lastModifiedBy>21091116C</lastModifiedBy>
  <dcterms:modified xsi:type="dcterms:W3CDTF">2025-09-10T01:34:19Z</dcterms:modified>
  <revision>259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7b916b6a8b2a4d44aafad780d6990aa7_22</vt:lpwstr>
  </property>
</Properties>
</file>