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重庆望变电气（集团）股份有限公司</w:t>
      </w:r>
    </w:p>
    <w:p>
      <w:pPr>
        <w:pStyle w:val="2"/>
        <w:jc w:val="center"/>
      </w:pPr>
      <w:r>
        <w:rPr>
          <w:rFonts w:hint="eastAsia"/>
        </w:rPr>
        <w:t>投资者关系活动记录表</w:t>
      </w:r>
    </w:p>
    <w:tbl>
      <w:tblPr>
        <w:tblStyle w:val="13"/>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2910"/>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2533" w:type="dxa"/>
            <w:tcBorders>
              <w:right w:val="single" w:color="auto" w:sz="4" w:space="0"/>
            </w:tcBorders>
          </w:tcPr>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投资者关系</w:t>
            </w:r>
          </w:p>
          <w:p>
            <w:pPr>
              <w:spacing w:line="360" w:lineRule="auto"/>
              <w:jc w:val="center"/>
              <w:rPr>
                <w:b/>
                <w:bCs/>
                <w:sz w:val="24"/>
                <w:szCs w:val="32"/>
              </w:rPr>
            </w:pPr>
            <w:r>
              <w:rPr>
                <w:rFonts w:hint="eastAsia" w:ascii="仿宋" w:hAnsi="仿宋" w:eastAsia="仿宋" w:cs="仿宋"/>
                <w:b/>
                <w:bCs/>
                <w:spacing w:val="-2"/>
                <w:sz w:val="28"/>
                <w:szCs w:val="28"/>
              </w:rPr>
              <w:t>活动类别</w:t>
            </w:r>
          </w:p>
        </w:tc>
        <w:tc>
          <w:tcPr>
            <w:tcW w:w="2910" w:type="dxa"/>
            <w:tcBorders>
              <w:top w:val="single" w:color="auto" w:sz="4" w:space="0"/>
              <w:left w:val="single" w:color="auto" w:sz="4" w:space="0"/>
              <w:bottom w:val="single" w:color="auto" w:sz="4" w:space="0"/>
              <w:right w:val="nil"/>
            </w:tcBorders>
          </w:tcPr>
          <w:p>
            <w:pPr>
              <w:spacing w:before="57"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6"/>
                <w:position w:val="7"/>
                <w:sz w:val="28"/>
                <w:szCs w:val="28"/>
              </w:rPr>
              <w:t>特定对象调</w:t>
            </w:r>
            <w:r>
              <w:rPr>
                <w:rFonts w:hint="eastAsia" w:ascii="仿宋" w:hAnsi="仿宋" w:eastAsia="仿宋" w:cs="仿宋"/>
                <w:spacing w:val="5"/>
                <w:position w:val="7"/>
                <w:sz w:val="28"/>
                <w:szCs w:val="28"/>
              </w:rPr>
              <w:t>研</w:t>
            </w:r>
          </w:p>
          <w:p>
            <w:pPr>
              <w:spacing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媒体采访</w:t>
            </w:r>
          </w:p>
          <w:p>
            <w:pPr>
              <w:spacing w:before="66"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新闻发布会</w:t>
            </w:r>
          </w:p>
          <w:p>
            <w:pPr>
              <w:spacing w:before="69"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现场参观</w:t>
            </w:r>
          </w:p>
          <w:p>
            <w:pPr>
              <w:spacing w:before="69" w:line="360" w:lineRule="auto"/>
              <w:jc w:val="left"/>
              <w:rPr>
                <w:rFonts w:eastAsia="仿宋"/>
              </w:rPr>
            </w:pPr>
            <w:r>
              <w:rPr>
                <w:rFonts w:hint="eastAsia" w:ascii="仿宋" w:hAnsi="仿宋" w:eastAsia="仿宋" w:cs="仿宋"/>
                <w:spacing w:val="5"/>
                <w:sz w:val="28"/>
                <w:szCs w:val="28"/>
              </w:rPr>
              <w:sym w:font="Wingdings 2" w:char="0052"/>
            </w:r>
            <w:r>
              <w:rPr>
                <w:rFonts w:hint="eastAsia" w:ascii="仿宋" w:hAnsi="仿宋" w:eastAsia="仿宋" w:cs="仿宋"/>
                <w:spacing w:val="4"/>
                <w:sz w:val="28"/>
                <w:szCs w:val="28"/>
              </w:rPr>
              <w:t>其他</w:t>
            </w:r>
          </w:p>
        </w:tc>
        <w:tc>
          <w:tcPr>
            <w:tcW w:w="3307" w:type="dxa"/>
            <w:tcBorders>
              <w:top w:val="single" w:color="auto" w:sz="4" w:space="0"/>
              <w:left w:val="nil"/>
              <w:bottom w:val="single" w:color="auto" w:sz="4" w:space="0"/>
              <w:right w:val="single" w:color="auto" w:sz="4" w:space="0"/>
            </w:tcBorders>
          </w:tcPr>
          <w:p>
            <w:pPr>
              <w:spacing w:before="57"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position w:val="7"/>
                <w:sz w:val="28"/>
                <w:szCs w:val="28"/>
              </w:rPr>
              <w:t>分析师会议</w:t>
            </w:r>
          </w:p>
          <w:p>
            <w:pPr>
              <w:spacing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业绩说明会</w:t>
            </w:r>
          </w:p>
          <w:p>
            <w:pPr>
              <w:spacing w:before="69"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路演活动</w:t>
            </w:r>
          </w:p>
          <w:p>
            <w:pPr>
              <w:spacing w:line="360" w:lineRule="auto"/>
              <w:jc w:val="left"/>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电话调研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33" w:type="dxa"/>
          </w:tcPr>
          <w:p>
            <w:pPr>
              <w:spacing w:line="360" w:lineRule="auto"/>
              <w:jc w:val="center"/>
              <w:rPr>
                <w:rFonts w:ascii="仿宋" w:hAnsi="仿宋" w:eastAsia="仿宋" w:cs="仿宋"/>
                <w:sz w:val="28"/>
                <w:szCs w:val="28"/>
              </w:rPr>
            </w:pPr>
            <w:r>
              <w:rPr>
                <w:rFonts w:hint="eastAsia" w:ascii="仿宋" w:hAnsi="仿宋" w:eastAsia="仿宋" w:cs="仿宋"/>
                <w:b/>
                <w:bCs/>
                <w:sz w:val="28"/>
                <w:szCs w:val="28"/>
              </w:rPr>
              <w:t>调研人员（单位）</w:t>
            </w:r>
          </w:p>
        </w:tc>
        <w:tc>
          <w:tcPr>
            <w:tcW w:w="6217" w:type="dxa"/>
            <w:gridSpan w:val="2"/>
            <w:tcBorders>
              <w:top w:val="single" w:color="auto" w:sz="4" w:space="0"/>
            </w:tcBorders>
            <w:vAlign w:val="center"/>
          </w:tcPr>
          <w:p>
            <w:pPr>
              <w:widowControl/>
              <w:spacing w:line="360" w:lineRule="auto"/>
              <w:jc w:val="left"/>
              <w:rPr>
                <w:rFonts w:ascii="仿宋" w:hAnsi="仿宋" w:eastAsia="仿宋" w:cs="仿宋"/>
                <w:sz w:val="28"/>
                <w:szCs w:val="28"/>
              </w:rPr>
            </w:pPr>
            <w:r>
              <w:rPr>
                <w:rFonts w:hint="eastAsia" w:ascii="仿宋" w:hAnsi="仿宋" w:eastAsia="仿宋" w:cs="仿宋"/>
                <w:spacing w:val="-2"/>
                <w:sz w:val="28"/>
                <w:szCs w:val="28"/>
              </w:rPr>
              <w:t>国投证券 汇添富基金 财通基金 招商证券 东北证券 上海錾义创业投资  义柏资本 东方财富  银河证券 明德资本 国弘资本 上汽颀臻 上海左道投资管理 北京金控 国亚金控资管 广东德汇投资管理  毅达股权投资基金 浙商产融资本管理 盈科汇金 阳光保险资产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33" w:type="dxa"/>
          </w:tcPr>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调研时间</w:t>
            </w:r>
          </w:p>
        </w:tc>
        <w:tc>
          <w:tcPr>
            <w:tcW w:w="6217" w:type="dxa"/>
            <w:gridSpan w:val="2"/>
          </w:tcPr>
          <w:p>
            <w:pPr>
              <w:spacing w:line="360" w:lineRule="auto"/>
              <w:rPr>
                <w:rFonts w:ascii="仿宋" w:hAnsi="仿宋" w:eastAsia="仿宋" w:cs="仿宋"/>
                <w:spacing w:val="-2"/>
                <w:sz w:val="28"/>
                <w:szCs w:val="28"/>
              </w:rPr>
            </w:pPr>
            <w:r>
              <w:rPr>
                <w:rFonts w:hint="eastAsia" w:ascii="仿宋" w:hAnsi="仿宋" w:eastAsia="仿宋" w:cs="仿宋"/>
                <w:spacing w:val="-2"/>
                <w:sz w:val="28"/>
                <w:szCs w:val="28"/>
              </w:rPr>
              <w:t>2025年9月3日-2025年9月5日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533" w:type="dxa"/>
          </w:tcPr>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调研地点</w:t>
            </w:r>
          </w:p>
        </w:tc>
        <w:tc>
          <w:tcPr>
            <w:tcW w:w="6217" w:type="dxa"/>
            <w:gridSpan w:val="2"/>
          </w:tcPr>
          <w:p>
            <w:pPr>
              <w:spacing w:line="360" w:lineRule="auto"/>
              <w:rPr>
                <w:rFonts w:ascii="仿宋" w:hAnsi="仿宋" w:eastAsia="仿宋" w:cs="仿宋"/>
                <w:spacing w:val="-2"/>
                <w:sz w:val="28"/>
                <w:szCs w:val="28"/>
              </w:rPr>
            </w:pPr>
            <w:r>
              <w:rPr>
                <w:rFonts w:hint="eastAsia" w:ascii="仿宋" w:hAnsi="仿宋" w:eastAsia="仿宋" w:cs="仿宋"/>
                <w:spacing w:val="-2"/>
                <w:sz w:val="28"/>
                <w:szCs w:val="28"/>
              </w:rPr>
              <w:t>上海卖方策略会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33" w:type="dxa"/>
          </w:tcPr>
          <w:p>
            <w:pPr>
              <w:spacing w:line="360" w:lineRule="auto"/>
              <w:rPr>
                <w:b/>
                <w:bCs/>
                <w:sz w:val="24"/>
                <w:szCs w:val="32"/>
              </w:rPr>
            </w:pPr>
            <w:r>
              <w:rPr>
                <w:rFonts w:hint="eastAsia" w:ascii="仿宋" w:hAnsi="仿宋" w:eastAsia="仿宋" w:cs="仿宋"/>
                <w:b/>
                <w:bCs/>
                <w:spacing w:val="-2"/>
                <w:sz w:val="28"/>
                <w:szCs w:val="28"/>
              </w:rPr>
              <w:t>上市公司接待人员</w:t>
            </w:r>
          </w:p>
        </w:tc>
        <w:tc>
          <w:tcPr>
            <w:tcW w:w="6217" w:type="dxa"/>
            <w:gridSpan w:val="2"/>
          </w:tcPr>
          <w:p>
            <w:pPr>
              <w:spacing w:line="360" w:lineRule="auto"/>
              <w:jc w:val="left"/>
              <w:rPr>
                <w:rFonts w:ascii="仿宋" w:hAnsi="仿宋" w:eastAsia="仿宋" w:cs="仿宋"/>
                <w:spacing w:val="-2"/>
                <w:sz w:val="28"/>
                <w:szCs w:val="28"/>
              </w:rPr>
            </w:pPr>
            <w:r>
              <w:rPr>
                <w:rFonts w:hint="eastAsia" w:ascii="仿宋" w:hAnsi="仿宋" w:eastAsia="仿宋" w:cs="仿宋"/>
                <w:spacing w:val="-2"/>
                <w:sz w:val="28"/>
                <w:szCs w:val="28"/>
              </w:rPr>
              <w:t>证券部相关人员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33" w:type="dxa"/>
          </w:tcPr>
          <w:p>
            <w:pPr>
              <w:spacing w:line="360" w:lineRule="auto"/>
              <w:jc w:val="center"/>
              <w:rPr>
                <w:rFonts w:ascii="仿宋" w:hAnsi="仿宋" w:eastAsia="仿宋" w:cs="仿宋"/>
                <w:sz w:val="28"/>
                <w:szCs w:val="28"/>
              </w:rPr>
            </w:pPr>
            <w:r>
              <w:rPr>
                <w:rFonts w:hint="eastAsia" w:ascii="仿宋" w:hAnsi="仿宋" w:eastAsia="仿宋" w:cs="仿宋"/>
                <w:sz w:val="28"/>
                <w:szCs w:val="28"/>
              </w:rPr>
              <w:t>投资者关系活动主要内容</w:t>
            </w:r>
          </w:p>
        </w:tc>
        <w:tc>
          <w:tcPr>
            <w:tcW w:w="6217" w:type="dxa"/>
            <w:gridSpan w:val="2"/>
          </w:tcPr>
          <w:p>
            <w:pPr>
              <w:pStyle w:val="16"/>
              <w:ind w:firstLine="0" w:firstLineChars="0"/>
              <w:rPr>
                <w:rFonts w:ascii="仿宋" w:hAnsi="仿宋" w:eastAsia="仿宋" w:cs="仿宋"/>
                <w:sz w:val="28"/>
                <w:szCs w:val="28"/>
              </w:rPr>
            </w:pPr>
            <w:r>
              <w:rPr>
                <w:rFonts w:hint="eastAsia" w:ascii="仿宋" w:hAnsi="仿宋" w:eastAsia="仿宋" w:cs="仿宋"/>
                <w:b/>
                <w:bCs/>
                <w:sz w:val="28"/>
                <w:szCs w:val="28"/>
              </w:rPr>
              <w:t>1.2025年上半年公司主营业务收入都在上涨，主要是什么原因？</w:t>
            </w:r>
            <w:r>
              <w:rPr>
                <w:rFonts w:hint="eastAsia" w:ascii="仿宋" w:hAnsi="仿宋" w:eastAsia="仿宋" w:cs="仿宋"/>
                <w:sz w:val="28"/>
                <w:szCs w:val="28"/>
              </w:rPr>
              <w:br w:type="textWrapping"/>
            </w:r>
            <w:r>
              <w:rPr>
                <w:rFonts w:hint="eastAsia" w:ascii="仿宋" w:hAnsi="仿宋" w:eastAsia="仿宋" w:cs="仿宋"/>
                <w:sz w:val="28"/>
                <w:szCs w:val="28"/>
              </w:rPr>
              <w:t>答：公司输配电及控制设备业务增长主要系110kV及以上变压器产品营业收入从去年同期的2.01亿元增加到5.06亿元，增加3.05亿元；取向硅钢业务增长主要系销售量的增加，对外销售量增加5,396吨，实现营业收入增长0.48亿元。</w:t>
            </w:r>
            <w:r>
              <w:rPr>
                <w:rFonts w:hint="eastAsia" w:ascii="仿宋" w:hAnsi="仿宋" w:eastAsia="仿宋" w:cs="仿宋"/>
                <w:sz w:val="28"/>
                <w:szCs w:val="28"/>
              </w:rPr>
              <w:br w:type="textWrapping"/>
            </w:r>
            <w:r>
              <w:rPr>
                <w:rFonts w:hint="eastAsia" w:ascii="仿宋" w:hAnsi="仿宋" w:eastAsia="仿宋" w:cs="仿宋"/>
                <w:b/>
                <w:bCs/>
                <w:sz w:val="28"/>
                <w:szCs w:val="28"/>
              </w:rPr>
              <w:t>2、现目前八万吨高端磁性新材料项目的产出情况？</w:t>
            </w:r>
          </w:p>
          <w:p>
            <w:pPr>
              <w:pStyle w:val="16"/>
              <w:ind w:firstLine="0" w:firstLineChars="0"/>
              <w:rPr>
                <w:rFonts w:ascii="仿宋" w:hAnsi="仿宋" w:eastAsia="仿宋" w:cs="仿宋"/>
                <w:sz w:val="28"/>
                <w:szCs w:val="28"/>
              </w:rPr>
            </w:pPr>
            <w:r>
              <w:rPr>
                <w:rFonts w:hint="eastAsia" w:ascii="仿宋" w:hAnsi="仿宋" w:eastAsia="仿宋" w:cs="仿宋"/>
                <w:sz w:val="28"/>
                <w:szCs w:val="28"/>
              </w:rPr>
              <w:t>答：八万吨高端磁性新材料项目已于2024年6月全线投产。截至目前项目生产稳定，已达到设计产能，现目前090/095为主流牌号，牌号结构显示截止目前，085及以上牌号产出占比约20%左右，预期后期公司在技术团队、供应商等各方协同下，高牌号产出占比有望持续提升，具体数据以实际产出为准。</w:t>
            </w:r>
          </w:p>
          <w:p>
            <w:pPr>
              <w:pStyle w:val="16"/>
              <w:ind w:firstLine="0" w:firstLineChars="0"/>
              <w:rPr>
                <w:rFonts w:ascii="仿宋" w:hAnsi="仿宋" w:eastAsia="仿宋" w:cs="仿宋"/>
                <w:b/>
                <w:bCs/>
                <w:sz w:val="28"/>
                <w:szCs w:val="28"/>
              </w:rPr>
            </w:pPr>
            <w:r>
              <w:rPr>
                <w:rFonts w:hint="eastAsia" w:ascii="仿宋" w:hAnsi="仿宋" w:eastAsia="仿宋" w:cs="仿宋"/>
                <w:b/>
                <w:bCs/>
                <w:sz w:val="28"/>
                <w:szCs w:val="28"/>
              </w:rPr>
              <w:t>3、2025年取向硅钢价格变化趋势及后续价格展望？</w:t>
            </w:r>
          </w:p>
          <w:p>
            <w:pPr>
              <w:pStyle w:val="16"/>
              <w:ind w:firstLine="0" w:firstLineChars="0"/>
              <w:rPr>
                <w:rFonts w:ascii="仿宋" w:hAnsi="仿宋" w:eastAsia="仿宋" w:cs="仿宋"/>
                <w:sz w:val="28"/>
                <w:szCs w:val="28"/>
              </w:rPr>
            </w:pPr>
            <w:r>
              <w:rPr>
                <w:rFonts w:hint="eastAsia" w:ascii="仿宋" w:hAnsi="仿宋" w:eastAsia="仿宋" w:cs="仿宋"/>
                <w:sz w:val="28"/>
                <w:szCs w:val="28"/>
              </w:rPr>
              <w:t>答：历年取向硅钢价格走势看，价格涨跌基本形成了3至5年一次波动的规律。2025年取向硅钢价格基本持平，价格有开始缓慢回升的趋势，但整体涨幅不算大，未能恢复到2023年降价前的价格水平。</w:t>
            </w:r>
            <w:r>
              <w:rPr>
                <w:rFonts w:hint="eastAsia" w:ascii="仿宋" w:hAnsi="仿宋" w:eastAsia="仿宋" w:cs="仿宋"/>
                <w:sz w:val="28"/>
                <w:szCs w:val="28"/>
              </w:rPr>
              <w:br w:type="textWrapping"/>
            </w:r>
            <w:r>
              <w:rPr>
                <w:rFonts w:hint="eastAsia" w:ascii="仿宋" w:hAnsi="仿宋" w:eastAsia="仿宋" w:cs="仿宋"/>
                <w:sz w:val="28"/>
                <w:szCs w:val="28"/>
              </w:rPr>
              <w:t xml:space="preserve">   我们认为在原有国家的“双碳”、“变压器能效升级”政策、中国电力变压器能效限定值及能效等级新标准、关于新形势下配电网高质量发展的指导意见以及其他一系列推进“电力装备绿色低碳”的政策基础上，又恰逢能源革命与AI算力风口，进一步拉动了输配电设备的需求，加之市场化产能调整基本结束，预计未来一般取向硅钢的市场需求会继续减少，高磁感取向硅钢需求增加，取向硅钢价格在经历市场调整后将趋向稳定。</w:t>
            </w:r>
          </w:p>
          <w:p>
            <w:pPr>
              <w:pStyle w:val="16"/>
              <w:ind w:firstLine="0" w:firstLineChars="0"/>
              <w:rPr>
                <w:rFonts w:ascii="仿宋" w:hAnsi="仿宋" w:eastAsia="仿宋" w:cs="仿宋"/>
                <w:sz w:val="28"/>
                <w:szCs w:val="28"/>
              </w:rPr>
            </w:pPr>
            <w:r>
              <w:rPr>
                <w:rFonts w:hint="eastAsia" w:ascii="仿宋" w:hAnsi="仿宋" w:eastAsia="仿宋" w:cs="仿宋"/>
                <w:b/>
                <w:bCs/>
                <w:sz w:val="28"/>
                <w:szCs w:val="28"/>
              </w:rPr>
              <w:t>4、全年预期取向硅钢出货量是多少，毛利率是否还有提升？</w:t>
            </w:r>
            <w:r>
              <w:rPr>
                <w:rFonts w:hint="eastAsia" w:ascii="仿宋" w:hAnsi="仿宋" w:eastAsia="仿宋" w:cs="仿宋"/>
                <w:sz w:val="28"/>
                <w:szCs w:val="28"/>
              </w:rPr>
              <w:br w:type="textWrapping"/>
            </w:r>
            <w:r>
              <w:rPr>
                <w:rFonts w:hint="eastAsia" w:ascii="仿宋" w:hAnsi="仿宋" w:eastAsia="仿宋" w:cs="仿宋"/>
                <w:sz w:val="28"/>
                <w:szCs w:val="28"/>
              </w:rPr>
              <w:t xml:space="preserve">答：公司取向硅钢全年预期出货量17-18万吨，相关数据以实际产出为准；截至上半年，取向硅钢产品毛利率已有3-5%的提升，预期随着牌号结构的提升及市场价格的回暖，后期取向硅钢毛利率还有一定的修复的空间。 </w:t>
            </w:r>
          </w:p>
          <w:p>
            <w:pPr>
              <w:pStyle w:val="16"/>
              <w:ind w:firstLine="0" w:firstLineChars="0"/>
              <w:rPr>
                <w:rFonts w:ascii="仿宋" w:hAnsi="仿宋" w:eastAsia="仿宋" w:cs="仿宋"/>
                <w:sz w:val="28"/>
                <w:szCs w:val="28"/>
              </w:rPr>
            </w:pPr>
            <w:r>
              <w:rPr>
                <w:rFonts w:hint="eastAsia" w:ascii="仿宋" w:hAnsi="仿宋" w:eastAsia="仿宋" w:cs="仿宋"/>
                <w:b/>
                <w:bCs/>
                <w:sz w:val="28"/>
                <w:szCs w:val="28"/>
              </w:rPr>
              <w:t>5、公司除传统领域外的新兴领域有何战略规划？</w:t>
            </w:r>
            <w:r>
              <w:rPr>
                <w:rFonts w:hint="eastAsia" w:ascii="仿宋" w:hAnsi="仿宋" w:eastAsia="仿宋" w:cs="仿宋"/>
                <w:sz w:val="28"/>
                <w:szCs w:val="28"/>
              </w:rPr>
              <w:br w:type="textWrapping"/>
            </w:r>
            <w:r>
              <w:rPr>
                <w:rFonts w:hint="eastAsia" w:ascii="仿宋" w:hAnsi="仿宋" w:eastAsia="仿宋" w:cs="仿宋"/>
                <w:sz w:val="28"/>
                <w:szCs w:val="28"/>
              </w:rPr>
              <w:t>答：未来三年，公司将加速智能化升级，推动传统输配电设备向数字化、物联网方向发展；打造具备远程监控、自主巡检、智能运维能力的产品；积极拓展AI、大数据、云计算、5G等运用领域客户；深化布局新能源汽车配套领域；同时依托长寿新材料基地，推进光储充一体化智能箱变研发，适时抓牢“新能源+智能微网”运用领域，快速抢占“储能+智能电网”等新型电力系统建设新赛道。</w:t>
            </w:r>
            <w:r>
              <w:rPr>
                <w:rFonts w:hint="eastAsia" w:ascii="仿宋" w:hAnsi="仿宋" w:eastAsia="仿宋" w:cs="仿宋"/>
                <w:sz w:val="28"/>
                <w:szCs w:val="28"/>
              </w:rPr>
              <w:br w:type="textWrapping"/>
            </w:r>
            <w:r>
              <w:rPr>
                <w:rFonts w:hint="eastAsia" w:ascii="仿宋" w:hAnsi="仿宋" w:eastAsia="仿宋" w:cs="仿宋"/>
                <w:b/>
                <w:bCs/>
                <w:sz w:val="28"/>
                <w:szCs w:val="28"/>
              </w:rPr>
              <w:t>6、公司公告提及公司投资建设兆瓦级智能超充网络建设项目，现目前项目进展如何？建设周期多久？ 总投资金额约5.4亿元主要用于哪方面？后期规划如何？</w:t>
            </w:r>
            <w:r>
              <w:rPr>
                <w:rFonts w:hint="eastAsia" w:ascii="仿宋" w:hAnsi="仿宋" w:eastAsia="仿宋" w:cs="仿宋"/>
                <w:sz w:val="28"/>
                <w:szCs w:val="28"/>
              </w:rPr>
              <w:br w:type="textWrapping"/>
            </w:r>
            <w:r>
              <w:rPr>
                <w:rFonts w:hint="eastAsia" w:ascii="仿宋" w:hAnsi="仿宋" w:eastAsia="仿宋" w:cs="仿宋"/>
                <w:sz w:val="28"/>
                <w:szCs w:val="28"/>
              </w:rPr>
              <w:t>答：截至目前，公司该项目按计划建设中；项目建设总工期16个月，实际以项目具体进展为准；主要投资内容包括土建工程投资、场地租赁费用、电网接入扩容、充电设备购置、场地保证金以及基本预备费；公司拟通过本次项目建设，开拓电动重卡超充网业务线，在云南、重庆等地建设近100座超充站，满足云南、重庆等地区的超充站市场需求，同时与国内标杆物流企业深入合作，为公司创造新的盈利增长点。</w:t>
            </w:r>
          </w:p>
          <w:p>
            <w:pPr>
              <w:pStyle w:val="16"/>
              <w:ind w:firstLine="0" w:firstLineChars="0"/>
              <w:rPr>
                <w:rFonts w:ascii="仿宋" w:hAnsi="仿宋" w:eastAsia="仿宋" w:cs="仿宋"/>
                <w:sz w:val="28"/>
                <w:szCs w:val="28"/>
              </w:rPr>
            </w:pPr>
            <w:r>
              <w:rPr>
                <w:rFonts w:hint="eastAsia" w:ascii="仿宋" w:hAnsi="仿宋" w:eastAsia="仿宋" w:cs="仿宋"/>
                <w:b/>
                <w:bCs/>
                <w:sz w:val="28"/>
                <w:szCs w:val="28"/>
              </w:rPr>
              <w:t>7.公司在高电压等级方面是否已经取得一些工作进展？后期针对高电压等级有何战略规划？</w:t>
            </w:r>
            <w:r>
              <w:rPr>
                <w:rFonts w:hint="eastAsia" w:ascii="仿宋" w:hAnsi="仿宋" w:eastAsia="仿宋" w:cs="仿宋"/>
                <w:sz w:val="28"/>
                <w:szCs w:val="28"/>
              </w:rPr>
              <w:br w:type="textWrapping"/>
            </w:r>
            <w:r>
              <w:rPr>
                <w:rFonts w:hint="eastAsia" w:ascii="仿宋" w:hAnsi="仿宋" w:eastAsia="仿宋" w:cs="仿宋"/>
                <w:sz w:val="28"/>
                <w:szCs w:val="28"/>
              </w:rPr>
              <w:t>答：2025年6月10日，公司与合建路桥建筑有限公司在友好协商基础上正式签署合作备忘录，携手推进500千伏输电线路项目</w:t>
            </w:r>
            <w:r>
              <w:rPr>
                <w:rFonts w:hint="eastAsia" w:ascii="仿宋" w:hAnsi="仿宋" w:eastAsia="仿宋" w:cs="仿宋"/>
                <w:sz w:val="28"/>
                <w:szCs w:val="28"/>
                <w:highlight w:val="none"/>
              </w:rPr>
              <w:t>。项目建成后，</w:t>
            </w:r>
            <w:r>
              <w:rPr>
                <w:rFonts w:hint="eastAsia" w:ascii="仿宋" w:hAnsi="仿宋" w:eastAsia="仿宋" w:cs="仿宋"/>
                <w:sz w:val="28"/>
                <w:szCs w:val="28"/>
                <w:highlight w:val="none"/>
                <w:lang w:val="en-US" w:eastAsia="zh-CN"/>
              </w:rPr>
              <w:t>公司将持续拓展深化能源合作，</w:t>
            </w:r>
            <w:r>
              <w:rPr>
                <w:rFonts w:hint="eastAsia" w:ascii="仿宋" w:hAnsi="仿宋" w:eastAsia="仿宋" w:cs="仿宋"/>
                <w:sz w:val="28"/>
                <w:szCs w:val="28"/>
                <w:highlight w:val="none"/>
              </w:rPr>
              <w:t>将有力推动区域电力互联互通，为中老经济走廊建设注入绿色动能，同时展现中国企业在国际电力工程领域的技术实力与服务水平。</w:t>
            </w:r>
            <w:r>
              <w:rPr>
                <w:rFonts w:hint="eastAsia" w:ascii="仿宋" w:hAnsi="仿宋" w:eastAsia="仿宋" w:cs="仿宋"/>
                <w:sz w:val="28"/>
                <w:szCs w:val="28"/>
                <w:highlight w:val="yellow"/>
              </w:rPr>
              <w:br w:type="textWrapping"/>
            </w:r>
            <w:r>
              <w:rPr>
                <w:rFonts w:hint="eastAsia" w:ascii="仿宋" w:hAnsi="仿宋" w:eastAsia="仿宋" w:cs="仿宋"/>
                <w:sz w:val="28"/>
                <w:szCs w:val="28"/>
              </w:rPr>
              <w:t xml:space="preserve">    2025年及未来，公司在变压器领域重点是快速实现330kV及以上电压等级的订单突破，对外积极拓展500kV变压器产品，落实变压器业绩第二增长级的战略目标； 实际相关业绩请以公告为准。</w:t>
            </w:r>
          </w:p>
          <w:p>
            <w:pPr>
              <w:pStyle w:val="16"/>
              <w:ind w:firstLine="0" w:firstLineChars="0"/>
              <w:rPr>
                <w:rFonts w:ascii="仿宋" w:hAnsi="仿宋" w:eastAsia="仿宋" w:cs="仿宋"/>
                <w:sz w:val="28"/>
                <w:szCs w:val="28"/>
              </w:rPr>
            </w:pPr>
            <w:r>
              <w:rPr>
                <w:rFonts w:hint="eastAsia" w:ascii="仿宋" w:hAnsi="仿宋" w:eastAsia="仿宋" w:cs="仿宋"/>
                <w:b/>
                <w:bCs/>
                <w:sz w:val="28"/>
                <w:szCs w:val="28"/>
              </w:rPr>
              <w:t>8.云变电气的高原变压器历来发展概况？</w:t>
            </w:r>
            <w:r>
              <w:rPr>
                <w:rFonts w:hint="eastAsia" w:ascii="仿宋" w:hAnsi="仿宋" w:eastAsia="仿宋" w:cs="仿宋"/>
                <w:sz w:val="28"/>
                <w:szCs w:val="28"/>
              </w:rPr>
              <w:br w:type="textWrapping"/>
            </w:r>
            <w:r>
              <w:rPr>
                <w:rFonts w:hint="eastAsia" w:ascii="仿宋" w:hAnsi="仿宋" w:eastAsia="仿宋" w:cs="仿宋"/>
                <w:sz w:val="28"/>
                <w:szCs w:val="28"/>
              </w:rPr>
              <w:t>答：云变电气从上世纪40年代开始制造35kV及以下高原型电力变和配电变，60年代开始制造110kV高原型电力变，90年代开始制造220kV高原型电力变，2001年研发出适合高原运输条件的专利产品高原型组合式电力变压器，为计划经济时期高原型变压器定点生产厂家。西藏地区首台110kV，220kV电力变均为云变生产，西藏一期、二期、三期农网、城网改造及户户通电工程配变均为云变提供，占有率达到70%，最远供货阿里地区。</w:t>
            </w:r>
          </w:p>
          <w:p>
            <w:pPr>
              <w:pStyle w:val="16"/>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9.云变电气针对雅下项目已取得的成绩和后续业绩预期？</w:t>
            </w:r>
            <w:bookmarkStart w:id="1" w:name="_GoBack"/>
            <w:bookmarkEnd w:id="1"/>
          </w:p>
          <w:p>
            <w:pPr>
              <w:pStyle w:val="16"/>
              <w:ind w:firstLine="0" w:firstLineChars="0"/>
              <w:rPr>
                <w:rFonts w:hint="eastAsia" w:ascii="仿宋" w:hAnsi="仿宋" w:eastAsia="仿宋" w:cs="仿宋"/>
                <w:sz w:val="28"/>
                <w:szCs w:val="28"/>
                <w:highlight w:val="yellow"/>
              </w:rPr>
            </w:pPr>
            <w:r>
              <w:rPr>
                <w:rFonts w:hint="eastAsia" w:ascii="仿宋" w:hAnsi="仿宋" w:eastAsia="仿宋" w:cs="仿宋"/>
                <w:sz w:val="28"/>
                <w:szCs w:val="28"/>
                <w:highlight w:val="none"/>
              </w:rPr>
              <w:t>答：公司</w:t>
            </w:r>
            <w:r>
              <w:rPr>
                <w:rFonts w:hint="eastAsia" w:ascii="仿宋" w:hAnsi="仿宋" w:eastAsia="仿宋" w:cs="仿宋"/>
                <w:sz w:val="28"/>
                <w:szCs w:val="28"/>
              </w:rPr>
              <w:t>已经为雅下项目签订电压等级分别覆盖35-220kV的施工变39台；公司将持续跟踪该项目建设进度和招标情况，积极参与项目投标。</w:t>
            </w:r>
          </w:p>
          <w:p>
            <w:pPr>
              <w:pStyle w:val="16"/>
              <w:ind w:firstLine="0" w:firstLineChars="0"/>
              <w:rPr>
                <w:rFonts w:ascii="仿宋" w:hAnsi="仿宋" w:eastAsia="仿宋" w:cs="仿宋"/>
                <w:sz w:val="28"/>
                <w:szCs w:val="28"/>
              </w:rPr>
            </w:pPr>
            <w:r>
              <w:rPr>
                <w:rFonts w:hint="eastAsia" w:ascii="仿宋" w:hAnsi="仿宋" w:eastAsia="仿宋" w:cs="仿宋"/>
                <w:b/>
                <w:bCs/>
                <w:sz w:val="28"/>
                <w:szCs w:val="28"/>
              </w:rPr>
              <w:t>10.云变电气的下游市场是哪些？</w:t>
            </w:r>
            <w:r>
              <w:rPr>
                <w:rFonts w:hint="eastAsia" w:ascii="仿宋" w:hAnsi="仿宋" w:eastAsia="仿宋" w:cs="仿宋"/>
                <w:sz w:val="28"/>
                <w:szCs w:val="28"/>
              </w:rPr>
              <w:br w:type="textWrapping"/>
            </w:r>
            <w:r>
              <w:rPr>
                <w:rFonts w:hint="eastAsia" w:ascii="仿宋" w:hAnsi="仿宋" w:eastAsia="仿宋" w:cs="仿宋"/>
                <w:sz w:val="28"/>
                <w:szCs w:val="28"/>
              </w:rPr>
              <w:t>答：云变电气的下游市场主要分为四类：铁路、电网、新能源、海外。</w:t>
            </w:r>
          </w:p>
          <w:p>
            <w:pPr>
              <w:pStyle w:val="16"/>
              <w:ind w:firstLine="0" w:firstLineChars="0"/>
              <w:rPr>
                <w:rFonts w:ascii="仿宋" w:hAnsi="仿宋" w:eastAsia="仿宋" w:cs="仿宋"/>
                <w:sz w:val="28"/>
                <w:szCs w:val="28"/>
              </w:rPr>
            </w:pPr>
            <w:r>
              <w:rPr>
                <w:rFonts w:hint="eastAsia" w:ascii="仿宋" w:hAnsi="仿宋" w:eastAsia="仿宋" w:cs="仿宋"/>
                <w:b/>
                <w:bCs/>
                <w:sz w:val="28"/>
                <w:szCs w:val="28"/>
              </w:rPr>
              <w:t>11.云变电气的海外情况？海外产品毛利率比国内毛利率高多少？</w:t>
            </w:r>
            <w:r>
              <w:rPr>
                <w:rFonts w:hint="eastAsia" w:ascii="仿宋" w:hAnsi="仿宋" w:eastAsia="仿宋" w:cs="仿宋"/>
                <w:sz w:val="28"/>
                <w:szCs w:val="28"/>
              </w:rPr>
              <w:br w:type="textWrapping"/>
            </w:r>
            <w:r>
              <w:rPr>
                <w:rFonts w:hint="eastAsia" w:ascii="仿宋" w:hAnsi="仿宋" w:eastAsia="仿宋" w:cs="仿宋"/>
                <w:sz w:val="28"/>
                <w:szCs w:val="28"/>
              </w:rPr>
              <w:t>答：我们主要聚焦在东南亚、中亚、非洲地区，有包括发电厂配套、铁路配套，其中中亚配套电厂变压器，东南亚以牵引变和新能源升压变为主。在东南亚地区，老挝发展较快，海外市场中220kv需求提升，同时云变电气在中亚乌兹别克斯坦、哈萨克斯坦均已取得突破。</w:t>
            </w:r>
          </w:p>
          <w:p>
            <w:pPr>
              <w:pStyle w:val="16"/>
              <w:ind w:firstLine="560"/>
              <w:rPr>
                <w:rFonts w:ascii="仿宋" w:hAnsi="仿宋" w:eastAsia="仿宋" w:cs="仿宋"/>
                <w:sz w:val="28"/>
                <w:szCs w:val="28"/>
              </w:rPr>
            </w:pPr>
            <w:r>
              <w:rPr>
                <w:rFonts w:hint="eastAsia" w:ascii="仿宋" w:hAnsi="仿宋" w:eastAsia="仿宋" w:cs="仿宋"/>
                <w:sz w:val="28"/>
                <w:szCs w:val="28"/>
              </w:rPr>
              <w:t>除此，云变电气已成功进入国际重大基建项目供应链，完成中国交建马来西亚东海岸铁路项目等，云变电气自主研发的OSFPSZ18-250000/220自耦电力变压器已成功通过荷兰KEMA实验室全套认证测试，获得欧洲高端电力设备市场准入资格，为全球化拓展奠定坚实基础。海外产品毛利率总体较国内稍高，但也会因为产品差异、履约周期、收款方式和期限而存在差异。</w:t>
            </w:r>
          </w:p>
          <w:p>
            <w:pPr>
              <w:pStyle w:val="16"/>
              <w:ind w:firstLine="0" w:firstLineChars="0"/>
              <w:rPr>
                <w:rFonts w:eastAsia="仿宋"/>
              </w:rPr>
            </w:pPr>
            <w:r>
              <w:rPr>
                <w:rFonts w:hint="eastAsia" w:ascii="仿宋" w:hAnsi="仿宋" w:eastAsia="仿宋" w:cs="仿宋"/>
                <w:b/>
                <w:bCs/>
                <w:sz w:val="28"/>
                <w:szCs w:val="28"/>
              </w:rPr>
              <w:t>12、公司海外布局新进展？</w:t>
            </w:r>
            <w:bookmarkStart w:id="0" w:name="OLE_LINK6"/>
            <w:r>
              <w:rPr>
                <w:rFonts w:hint="eastAsia" w:ascii="仿宋" w:hAnsi="仿宋" w:eastAsia="仿宋" w:cs="仿宋"/>
                <w:b/>
                <w:bCs/>
                <w:sz w:val="28"/>
                <w:szCs w:val="28"/>
              </w:rPr>
              <w:br w:type="textWrapping"/>
            </w:r>
            <w:r>
              <w:rPr>
                <w:rFonts w:hint="eastAsia" w:ascii="仿宋" w:hAnsi="仿宋" w:eastAsia="仿宋" w:cs="仿宋"/>
                <w:sz w:val="28"/>
                <w:szCs w:val="28"/>
              </w:rPr>
              <w:t>答：公司积极推进"一带一路"业务布局，主要依托国家走出去战略，高度关注我们自身客户中铁、中交、电建等相关大型央企的海外项目，并积极获取深度参与的机会；公司取向硅钢材料依托现有区域及客户体系，做大做深服务，扩大市场规模。</w:t>
            </w:r>
            <w:r>
              <w:rPr>
                <w:rFonts w:hint="eastAsia" w:ascii="仿宋" w:hAnsi="仿宋" w:eastAsia="仿宋" w:cs="仿宋"/>
                <w:sz w:val="28"/>
                <w:szCs w:val="28"/>
              </w:rPr>
              <w:br w:type="textWrapping"/>
            </w:r>
            <w:r>
              <w:rPr>
                <w:rFonts w:hint="eastAsia" w:ascii="仿宋" w:hAnsi="仿宋" w:eastAsia="仿宋" w:cs="仿宋"/>
                <w:sz w:val="28"/>
                <w:szCs w:val="28"/>
              </w:rPr>
              <w:t xml:space="preserve">   除此，公司考虑香港拥独特的地理位置、优越的金融环境和贸易政策优势，成立了香港全资子公司，促进公司硅钢以及变压器等产品的海外销售，预期后期对公司海外业务拓展有一定贡献。</w:t>
            </w:r>
          </w:p>
          <w:bookmarkEnd w:id="0"/>
          <w:p>
            <w:pPr>
              <w:pStyle w:val="16"/>
              <w:ind w:firstLine="0" w:firstLineChars="0"/>
              <w:rPr>
                <w:rFonts w:ascii="仿宋" w:hAnsi="仿宋" w:eastAsia="仿宋" w:cs="仿宋"/>
                <w:sz w:val="28"/>
                <w:szCs w:val="28"/>
              </w:rPr>
            </w:pPr>
            <w:r>
              <w:rPr>
                <w:rFonts w:hint="eastAsia" w:ascii="仿宋" w:hAnsi="仿宋" w:eastAsia="仿宋" w:cs="仿宋"/>
                <w:b/>
                <w:bCs/>
                <w:sz w:val="28"/>
                <w:szCs w:val="28"/>
              </w:rPr>
              <w:t>13、公司同行业竞争者都有在积极布局AIDC板块，公司在这块有何规划？</w:t>
            </w:r>
            <w:r>
              <w:rPr>
                <w:rFonts w:hint="eastAsia" w:ascii="仿宋" w:hAnsi="仿宋" w:eastAsia="仿宋" w:cs="仿宋"/>
                <w:b/>
                <w:bCs/>
                <w:sz w:val="28"/>
                <w:szCs w:val="28"/>
              </w:rPr>
              <w:br w:type="textWrapping"/>
            </w:r>
            <w:r>
              <w:rPr>
                <w:rFonts w:hint="eastAsia" w:ascii="仿宋" w:hAnsi="仿宋" w:eastAsia="仿宋" w:cs="仿宋"/>
                <w:b/>
                <w:bCs/>
                <w:sz w:val="28"/>
                <w:szCs w:val="28"/>
              </w:rPr>
              <w:t>答：</w:t>
            </w:r>
            <w:r>
              <w:rPr>
                <w:rFonts w:hint="eastAsia" w:ascii="仿宋" w:hAnsi="仿宋" w:eastAsia="仿宋" w:cs="仿宋"/>
                <w:sz w:val="28"/>
                <w:szCs w:val="28"/>
              </w:rPr>
              <w:t>公司输配电及控制设备产品可用于数据中心、算力中心等建设，主要涉及产业配套变电环节。 公司会持续致力于技术提升，以技术创新为基石，深度融合物联网、人工智能及大数据分析，致力于打造端到端的智能化数据解决方案。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jc w:val="center"/>
              <w:rPr>
                <w:b/>
                <w:bCs/>
                <w:sz w:val="24"/>
                <w:szCs w:val="32"/>
              </w:rPr>
            </w:pPr>
            <w:r>
              <w:rPr>
                <w:rFonts w:hint="eastAsia" w:ascii="仿宋" w:hAnsi="仿宋" w:eastAsia="仿宋" w:cs="仿宋"/>
                <w:b/>
                <w:bCs/>
                <w:spacing w:val="-2"/>
                <w:sz w:val="28"/>
                <w:szCs w:val="28"/>
              </w:rPr>
              <w:t xml:space="preserve"> 附件清单 (如有)</w:t>
            </w:r>
          </w:p>
        </w:tc>
        <w:tc>
          <w:tcPr>
            <w:tcW w:w="6217" w:type="dxa"/>
            <w:gridSpan w:val="2"/>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ind w:firstLine="277" w:firstLineChars="100"/>
              <w:jc w:val="left"/>
              <w:rPr>
                <w:rFonts w:ascii="仿宋" w:hAnsi="仿宋" w:eastAsia="仿宋" w:cs="仿宋"/>
                <w:b/>
                <w:bCs/>
                <w:spacing w:val="-2"/>
                <w:sz w:val="28"/>
                <w:szCs w:val="28"/>
              </w:rPr>
            </w:pPr>
            <w:r>
              <w:rPr>
                <w:rFonts w:hint="eastAsia" w:ascii="仿宋" w:hAnsi="仿宋" w:eastAsia="仿宋" w:cs="仿宋"/>
                <w:b/>
                <w:bCs/>
                <w:spacing w:val="-2"/>
                <w:sz w:val="28"/>
                <w:szCs w:val="28"/>
              </w:rPr>
              <w:t>相关提示</w:t>
            </w:r>
          </w:p>
        </w:tc>
        <w:tc>
          <w:tcPr>
            <w:tcW w:w="6217" w:type="dxa"/>
            <w:gridSpan w:val="2"/>
          </w:tcPr>
          <w:p>
            <w:pPr>
              <w:widowControl/>
              <w:spacing w:line="360" w:lineRule="auto"/>
              <w:jc w:val="left"/>
            </w:pPr>
            <w:r>
              <w:rPr>
                <w:rFonts w:hint="eastAsia" w:ascii="仿宋" w:hAnsi="仿宋" w:eastAsia="仿宋" w:cs="仿宋"/>
                <w:sz w:val="28"/>
                <w:szCs w:val="28"/>
              </w:rPr>
              <w:t>调研内容均不涉及公司内幕信息及相关未披露的重大事项信息。内容涉及对行业的预测、公司发展战略规划等相关内容，不能视作公司或公司管理层对行业、公司发展的承诺和保证，敬请广大投资者注意投资风险。</w:t>
            </w:r>
          </w:p>
        </w:tc>
      </w:tr>
    </w:tbl>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65631"/>
    <w:rsid w:val="00065EB1"/>
    <w:rsid w:val="00097FFB"/>
    <w:rsid w:val="000D4D80"/>
    <w:rsid w:val="000F3D26"/>
    <w:rsid w:val="00126AED"/>
    <w:rsid w:val="00142881"/>
    <w:rsid w:val="00172A27"/>
    <w:rsid w:val="00174AF0"/>
    <w:rsid w:val="00181A75"/>
    <w:rsid w:val="00194169"/>
    <w:rsid w:val="001B4E56"/>
    <w:rsid w:val="001B72C1"/>
    <w:rsid w:val="001C2038"/>
    <w:rsid w:val="001D35C7"/>
    <w:rsid w:val="001D4EFA"/>
    <w:rsid w:val="002005EA"/>
    <w:rsid w:val="002418BA"/>
    <w:rsid w:val="00254BBC"/>
    <w:rsid w:val="002655E7"/>
    <w:rsid w:val="00272127"/>
    <w:rsid w:val="0027620F"/>
    <w:rsid w:val="002A5024"/>
    <w:rsid w:val="0031124A"/>
    <w:rsid w:val="003368B2"/>
    <w:rsid w:val="00336BA3"/>
    <w:rsid w:val="003534BF"/>
    <w:rsid w:val="003A73B3"/>
    <w:rsid w:val="003B1706"/>
    <w:rsid w:val="003D1413"/>
    <w:rsid w:val="003E5AA6"/>
    <w:rsid w:val="00403D34"/>
    <w:rsid w:val="00414BB4"/>
    <w:rsid w:val="00436D28"/>
    <w:rsid w:val="00456294"/>
    <w:rsid w:val="00486805"/>
    <w:rsid w:val="004B0A7B"/>
    <w:rsid w:val="004E5ABD"/>
    <w:rsid w:val="004F5749"/>
    <w:rsid w:val="00515EDE"/>
    <w:rsid w:val="005D4831"/>
    <w:rsid w:val="005D7DA2"/>
    <w:rsid w:val="005F416C"/>
    <w:rsid w:val="00601749"/>
    <w:rsid w:val="006227BD"/>
    <w:rsid w:val="006464D5"/>
    <w:rsid w:val="0067780C"/>
    <w:rsid w:val="006A0B21"/>
    <w:rsid w:val="006A68BB"/>
    <w:rsid w:val="006C3C21"/>
    <w:rsid w:val="006D3243"/>
    <w:rsid w:val="006E764C"/>
    <w:rsid w:val="00714693"/>
    <w:rsid w:val="00740926"/>
    <w:rsid w:val="007E6D44"/>
    <w:rsid w:val="00814B2F"/>
    <w:rsid w:val="00833C9D"/>
    <w:rsid w:val="008366D5"/>
    <w:rsid w:val="00862215"/>
    <w:rsid w:val="0088017F"/>
    <w:rsid w:val="008818C9"/>
    <w:rsid w:val="008A00DB"/>
    <w:rsid w:val="008A69FD"/>
    <w:rsid w:val="008C10A9"/>
    <w:rsid w:val="008C4853"/>
    <w:rsid w:val="008C60AF"/>
    <w:rsid w:val="00921781"/>
    <w:rsid w:val="00935E4B"/>
    <w:rsid w:val="00976954"/>
    <w:rsid w:val="009A6D94"/>
    <w:rsid w:val="009C378D"/>
    <w:rsid w:val="009D0775"/>
    <w:rsid w:val="009F6404"/>
    <w:rsid w:val="00A15A23"/>
    <w:rsid w:val="00A1748C"/>
    <w:rsid w:val="00A213A0"/>
    <w:rsid w:val="00A21894"/>
    <w:rsid w:val="00A40B7A"/>
    <w:rsid w:val="00A450B6"/>
    <w:rsid w:val="00A5380F"/>
    <w:rsid w:val="00A72B6A"/>
    <w:rsid w:val="00A74073"/>
    <w:rsid w:val="00A90D34"/>
    <w:rsid w:val="00A96CC9"/>
    <w:rsid w:val="00AB456F"/>
    <w:rsid w:val="00B010DC"/>
    <w:rsid w:val="00B27AB7"/>
    <w:rsid w:val="00B4710E"/>
    <w:rsid w:val="00B96C36"/>
    <w:rsid w:val="00BA5812"/>
    <w:rsid w:val="00BB67A9"/>
    <w:rsid w:val="00BF274D"/>
    <w:rsid w:val="00C15888"/>
    <w:rsid w:val="00C46D12"/>
    <w:rsid w:val="00C505DD"/>
    <w:rsid w:val="00C5503C"/>
    <w:rsid w:val="00CE55C5"/>
    <w:rsid w:val="00CE6ED0"/>
    <w:rsid w:val="00D10841"/>
    <w:rsid w:val="00D21930"/>
    <w:rsid w:val="00DA4071"/>
    <w:rsid w:val="00DE6EC6"/>
    <w:rsid w:val="00DF24CE"/>
    <w:rsid w:val="00DF708B"/>
    <w:rsid w:val="00E23145"/>
    <w:rsid w:val="00E9768D"/>
    <w:rsid w:val="00EA2274"/>
    <w:rsid w:val="00EA2D9A"/>
    <w:rsid w:val="00EC1EEE"/>
    <w:rsid w:val="00ED7DCB"/>
    <w:rsid w:val="00F02C55"/>
    <w:rsid w:val="00F03531"/>
    <w:rsid w:val="00F16D0B"/>
    <w:rsid w:val="00F17782"/>
    <w:rsid w:val="00F3330A"/>
    <w:rsid w:val="00F63F50"/>
    <w:rsid w:val="00F765A5"/>
    <w:rsid w:val="00FA00A3"/>
    <w:rsid w:val="00FA0617"/>
    <w:rsid w:val="00FA51AD"/>
    <w:rsid w:val="00FD1CC3"/>
    <w:rsid w:val="00FE1A6E"/>
    <w:rsid w:val="00FF4099"/>
    <w:rsid w:val="01284E1B"/>
    <w:rsid w:val="013E75F8"/>
    <w:rsid w:val="016420F2"/>
    <w:rsid w:val="019B288F"/>
    <w:rsid w:val="020060F9"/>
    <w:rsid w:val="02134CB8"/>
    <w:rsid w:val="02E96BCD"/>
    <w:rsid w:val="02F32E0C"/>
    <w:rsid w:val="02F47D1B"/>
    <w:rsid w:val="03237D85"/>
    <w:rsid w:val="03986CEB"/>
    <w:rsid w:val="03BE368D"/>
    <w:rsid w:val="03C74BB5"/>
    <w:rsid w:val="042B21AE"/>
    <w:rsid w:val="04574920"/>
    <w:rsid w:val="04F16AB7"/>
    <w:rsid w:val="051B0D6D"/>
    <w:rsid w:val="0536650D"/>
    <w:rsid w:val="054C52D8"/>
    <w:rsid w:val="05C124D3"/>
    <w:rsid w:val="069468A4"/>
    <w:rsid w:val="07293D6D"/>
    <w:rsid w:val="079239C5"/>
    <w:rsid w:val="079C3C62"/>
    <w:rsid w:val="07B94BDA"/>
    <w:rsid w:val="07C54B4B"/>
    <w:rsid w:val="07D102E3"/>
    <w:rsid w:val="07FF4FEA"/>
    <w:rsid w:val="08086333"/>
    <w:rsid w:val="083F6263"/>
    <w:rsid w:val="08406CE4"/>
    <w:rsid w:val="086053D6"/>
    <w:rsid w:val="08A95EF6"/>
    <w:rsid w:val="08B13535"/>
    <w:rsid w:val="08BD0334"/>
    <w:rsid w:val="09873FB3"/>
    <w:rsid w:val="09950955"/>
    <w:rsid w:val="09C676BC"/>
    <w:rsid w:val="0A2911E1"/>
    <w:rsid w:val="0AA52A4B"/>
    <w:rsid w:val="0B416CC0"/>
    <w:rsid w:val="0B482792"/>
    <w:rsid w:val="0B7C0033"/>
    <w:rsid w:val="0B8B40BA"/>
    <w:rsid w:val="0B9A2D2D"/>
    <w:rsid w:val="0C27489D"/>
    <w:rsid w:val="0CA2437E"/>
    <w:rsid w:val="0CC65D86"/>
    <w:rsid w:val="0CE813E4"/>
    <w:rsid w:val="0D1B1ACD"/>
    <w:rsid w:val="0D244E26"/>
    <w:rsid w:val="0D5355B7"/>
    <w:rsid w:val="0D553692"/>
    <w:rsid w:val="0D613090"/>
    <w:rsid w:val="0D9123B3"/>
    <w:rsid w:val="0D984241"/>
    <w:rsid w:val="0DA66F51"/>
    <w:rsid w:val="0DAA2575"/>
    <w:rsid w:val="0DD975A5"/>
    <w:rsid w:val="0DFB5FF5"/>
    <w:rsid w:val="0E4478C6"/>
    <w:rsid w:val="0E460794"/>
    <w:rsid w:val="0E461F04"/>
    <w:rsid w:val="0E637FDA"/>
    <w:rsid w:val="0EA15698"/>
    <w:rsid w:val="0F056591"/>
    <w:rsid w:val="0F080F08"/>
    <w:rsid w:val="0F585187"/>
    <w:rsid w:val="0F7D2198"/>
    <w:rsid w:val="0F8C6010"/>
    <w:rsid w:val="0FBE58EE"/>
    <w:rsid w:val="10072271"/>
    <w:rsid w:val="103121E7"/>
    <w:rsid w:val="10583A7A"/>
    <w:rsid w:val="109B0818"/>
    <w:rsid w:val="10A739D5"/>
    <w:rsid w:val="10BB519D"/>
    <w:rsid w:val="10C10D6E"/>
    <w:rsid w:val="110A7E8F"/>
    <w:rsid w:val="1114107F"/>
    <w:rsid w:val="11651119"/>
    <w:rsid w:val="11710A28"/>
    <w:rsid w:val="11BB1862"/>
    <w:rsid w:val="11F47D3F"/>
    <w:rsid w:val="120224E3"/>
    <w:rsid w:val="1221208B"/>
    <w:rsid w:val="122F22A3"/>
    <w:rsid w:val="1253015A"/>
    <w:rsid w:val="127C6B6A"/>
    <w:rsid w:val="13566077"/>
    <w:rsid w:val="136046DE"/>
    <w:rsid w:val="138C1461"/>
    <w:rsid w:val="13E23345"/>
    <w:rsid w:val="13FE2086"/>
    <w:rsid w:val="14A800EA"/>
    <w:rsid w:val="157D5ACE"/>
    <w:rsid w:val="157E1EF2"/>
    <w:rsid w:val="15CB6F31"/>
    <w:rsid w:val="16302145"/>
    <w:rsid w:val="16665CBB"/>
    <w:rsid w:val="16791831"/>
    <w:rsid w:val="17443F1A"/>
    <w:rsid w:val="174B04D5"/>
    <w:rsid w:val="1763586C"/>
    <w:rsid w:val="1771193C"/>
    <w:rsid w:val="17887D5F"/>
    <w:rsid w:val="18057602"/>
    <w:rsid w:val="18756BA8"/>
    <w:rsid w:val="189A2BFA"/>
    <w:rsid w:val="189A34D5"/>
    <w:rsid w:val="18D41224"/>
    <w:rsid w:val="18EA4FC5"/>
    <w:rsid w:val="18F97D87"/>
    <w:rsid w:val="19252D8F"/>
    <w:rsid w:val="193B413F"/>
    <w:rsid w:val="19B10934"/>
    <w:rsid w:val="1A4D521D"/>
    <w:rsid w:val="1A506DCE"/>
    <w:rsid w:val="1B0D155D"/>
    <w:rsid w:val="1B2C2344"/>
    <w:rsid w:val="1B3D709A"/>
    <w:rsid w:val="1BB71CD0"/>
    <w:rsid w:val="1BE2740F"/>
    <w:rsid w:val="1C0702B5"/>
    <w:rsid w:val="1C0A2C53"/>
    <w:rsid w:val="1C164930"/>
    <w:rsid w:val="1C385050"/>
    <w:rsid w:val="1C3927D6"/>
    <w:rsid w:val="1CA05B4B"/>
    <w:rsid w:val="1CDE5159"/>
    <w:rsid w:val="1CEF5573"/>
    <w:rsid w:val="1D100F23"/>
    <w:rsid w:val="1D232A04"/>
    <w:rsid w:val="1D4B6CB9"/>
    <w:rsid w:val="1DBD4D7F"/>
    <w:rsid w:val="1E102EF7"/>
    <w:rsid w:val="1E5953A7"/>
    <w:rsid w:val="1E7E4D14"/>
    <w:rsid w:val="1EBC5191"/>
    <w:rsid w:val="1F1F369F"/>
    <w:rsid w:val="1F690F58"/>
    <w:rsid w:val="20272301"/>
    <w:rsid w:val="20382140"/>
    <w:rsid w:val="20452672"/>
    <w:rsid w:val="20653548"/>
    <w:rsid w:val="207842BC"/>
    <w:rsid w:val="20A35799"/>
    <w:rsid w:val="20A8063A"/>
    <w:rsid w:val="21135143"/>
    <w:rsid w:val="21245CDD"/>
    <w:rsid w:val="213B6D8D"/>
    <w:rsid w:val="21464F13"/>
    <w:rsid w:val="216E7866"/>
    <w:rsid w:val="222D5297"/>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D05488"/>
    <w:rsid w:val="251807D0"/>
    <w:rsid w:val="253D070B"/>
    <w:rsid w:val="255363D8"/>
    <w:rsid w:val="259B1AA7"/>
    <w:rsid w:val="259B44F8"/>
    <w:rsid w:val="259E5319"/>
    <w:rsid w:val="276A122F"/>
    <w:rsid w:val="27714256"/>
    <w:rsid w:val="27C96CC8"/>
    <w:rsid w:val="27D259A3"/>
    <w:rsid w:val="27E9286C"/>
    <w:rsid w:val="285A7228"/>
    <w:rsid w:val="289E62C6"/>
    <w:rsid w:val="28BB5582"/>
    <w:rsid w:val="28D61962"/>
    <w:rsid w:val="29077293"/>
    <w:rsid w:val="29B50E26"/>
    <w:rsid w:val="2A3B763C"/>
    <w:rsid w:val="2A99107E"/>
    <w:rsid w:val="2AA1140C"/>
    <w:rsid w:val="2AC428D0"/>
    <w:rsid w:val="2ACB2C0E"/>
    <w:rsid w:val="2AE11247"/>
    <w:rsid w:val="2AE4326A"/>
    <w:rsid w:val="2B74156D"/>
    <w:rsid w:val="2BB459BA"/>
    <w:rsid w:val="2C0E531F"/>
    <w:rsid w:val="2C4E7372"/>
    <w:rsid w:val="2CA27CCF"/>
    <w:rsid w:val="2CEF2903"/>
    <w:rsid w:val="2CF63EA5"/>
    <w:rsid w:val="2D412918"/>
    <w:rsid w:val="2D61440C"/>
    <w:rsid w:val="2D6F0515"/>
    <w:rsid w:val="2DE80973"/>
    <w:rsid w:val="2DE92F75"/>
    <w:rsid w:val="2DEF266F"/>
    <w:rsid w:val="2E0E4369"/>
    <w:rsid w:val="2E53443E"/>
    <w:rsid w:val="2E617528"/>
    <w:rsid w:val="2E805365"/>
    <w:rsid w:val="2E913E63"/>
    <w:rsid w:val="2EC01514"/>
    <w:rsid w:val="2F125AA3"/>
    <w:rsid w:val="2F302D5E"/>
    <w:rsid w:val="2F623869"/>
    <w:rsid w:val="2F857D67"/>
    <w:rsid w:val="2FE2647C"/>
    <w:rsid w:val="30064E28"/>
    <w:rsid w:val="30385986"/>
    <w:rsid w:val="304C7546"/>
    <w:rsid w:val="30BE5A67"/>
    <w:rsid w:val="3115045E"/>
    <w:rsid w:val="31200E47"/>
    <w:rsid w:val="314B2DA7"/>
    <w:rsid w:val="31B77767"/>
    <w:rsid w:val="31CB61DD"/>
    <w:rsid w:val="31D86852"/>
    <w:rsid w:val="322375EB"/>
    <w:rsid w:val="325A1988"/>
    <w:rsid w:val="32843012"/>
    <w:rsid w:val="32AA07AD"/>
    <w:rsid w:val="32AB26B5"/>
    <w:rsid w:val="32B7761C"/>
    <w:rsid w:val="32D63C1D"/>
    <w:rsid w:val="32F347CF"/>
    <w:rsid w:val="33015C82"/>
    <w:rsid w:val="337D071D"/>
    <w:rsid w:val="337D72C7"/>
    <w:rsid w:val="33F97BC3"/>
    <w:rsid w:val="342D2050"/>
    <w:rsid w:val="349B1368"/>
    <w:rsid w:val="34A05977"/>
    <w:rsid w:val="350543B6"/>
    <w:rsid w:val="354107BC"/>
    <w:rsid w:val="35501E23"/>
    <w:rsid w:val="355277E7"/>
    <w:rsid w:val="35672E55"/>
    <w:rsid w:val="35934A0F"/>
    <w:rsid w:val="35AD18B2"/>
    <w:rsid w:val="35D07322"/>
    <w:rsid w:val="36071C0F"/>
    <w:rsid w:val="361A78AC"/>
    <w:rsid w:val="36366780"/>
    <w:rsid w:val="36A52284"/>
    <w:rsid w:val="370E17C2"/>
    <w:rsid w:val="372806CC"/>
    <w:rsid w:val="376D444E"/>
    <w:rsid w:val="37751BCC"/>
    <w:rsid w:val="37B620E2"/>
    <w:rsid w:val="37FA6FA7"/>
    <w:rsid w:val="380E7807"/>
    <w:rsid w:val="3811361D"/>
    <w:rsid w:val="38336ACB"/>
    <w:rsid w:val="385C3FDB"/>
    <w:rsid w:val="388F0AF6"/>
    <w:rsid w:val="38AE38A9"/>
    <w:rsid w:val="38AF62FB"/>
    <w:rsid w:val="38BC1488"/>
    <w:rsid w:val="39333B77"/>
    <w:rsid w:val="398E0301"/>
    <w:rsid w:val="39D82F9C"/>
    <w:rsid w:val="3A4C28FB"/>
    <w:rsid w:val="3A7B6A9F"/>
    <w:rsid w:val="3AA30888"/>
    <w:rsid w:val="3B275D45"/>
    <w:rsid w:val="3B331C0C"/>
    <w:rsid w:val="3B653F56"/>
    <w:rsid w:val="3B9A1C8B"/>
    <w:rsid w:val="3C3175C8"/>
    <w:rsid w:val="3C487939"/>
    <w:rsid w:val="3C506111"/>
    <w:rsid w:val="3CA04076"/>
    <w:rsid w:val="3CE5188C"/>
    <w:rsid w:val="3CF63A53"/>
    <w:rsid w:val="3DE607E1"/>
    <w:rsid w:val="3DE9412E"/>
    <w:rsid w:val="3DF169B0"/>
    <w:rsid w:val="3DFD2205"/>
    <w:rsid w:val="3E170F3B"/>
    <w:rsid w:val="3E1D6BA4"/>
    <w:rsid w:val="3E4A58E8"/>
    <w:rsid w:val="3E9660B6"/>
    <w:rsid w:val="3EAE2E24"/>
    <w:rsid w:val="3EB27BA5"/>
    <w:rsid w:val="3F141D55"/>
    <w:rsid w:val="3F244CC1"/>
    <w:rsid w:val="3F6708E2"/>
    <w:rsid w:val="3FA253C9"/>
    <w:rsid w:val="40403448"/>
    <w:rsid w:val="40713247"/>
    <w:rsid w:val="41105DF3"/>
    <w:rsid w:val="411E4B7E"/>
    <w:rsid w:val="41486274"/>
    <w:rsid w:val="41D62EBD"/>
    <w:rsid w:val="4272634B"/>
    <w:rsid w:val="427F3FDA"/>
    <w:rsid w:val="42BC2416"/>
    <w:rsid w:val="42E42BC9"/>
    <w:rsid w:val="438049FB"/>
    <w:rsid w:val="438F11EC"/>
    <w:rsid w:val="43C628AC"/>
    <w:rsid w:val="43EE4CC7"/>
    <w:rsid w:val="44A1445C"/>
    <w:rsid w:val="44B65017"/>
    <w:rsid w:val="44CA3141"/>
    <w:rsid w:val="44DE5295"/>
    <w:rsid w:val="450F48DF"/>
    <w:rsid w:val="456D3C36"/>
    <w:rsid w:val="457101E2"/>
    <w:rsid w:val="458B74A6"/>
    <w:rsid w:val="45ED7D4D"/>
    <w:rsid w:val="461B65AA"/>
    <w:rsid w:val="462705C0"/>
    <w:rsid w:val="46393B5F"/>
    <w:rsid w:val="46655F66"/>
    <w:rsid w:val="46D467C4"/>
    <w:rsid w:val="46DB13AA"/>
    <w:rsid w:val="477F3EB0"/>
    <w:rsid w:val="47D013F3"/>
    <w:rsid w:val="47D33A8B"/>
    <w:rsid w:val="47DE6C76"/>
    <w:rsid w:val="48512FD1"/>
    <w:rsid w:val="488E4926"/>
    <w:rsid w:val="4929619B"/>
    <w:rsid w:val="492D57AE"/>
    <w:rsid w:val="492E4EFC"/>
    <w:rsid w:val="498615B1"/>
    <w:rsid w:val="49A64064"/>
    <w:rsid w:val="49BB3561"/>
    <w:rsid w:val="49BC3603"/>
    <w:rsid w:val="49C600F0"/>
    <w:rsid w:val="4A0E0038"/>
    <w:rsid w:val="4A6F2AC4"/>
    <w:rsid w:val="4ACB30BA"/>
    <w:rsid w:val="4AEB6431"/>
    <w:rsid w:val="4B021694"/>
    <w:rsid w:val="4B1D4687"/>
    <w:rsid w:val="4BB96A04"/>
    <w:rsid w:val="4BC41C91"/>
    <w:rsid w:val="4C3C26CF"/>
    <w:rsid w:val="4C4A7997"/>
    <w:rsid w:val="4C4F2E23"/>
    <w:rsid w:val="4D072F6F"/>
    <w:rsid w:val="4D4001B9"/>
    <w:rsid w:val="4D774051"/>
    <w:rsid w:val="4D8D73BE"/>
    <w:rsid w:val="4DA11701"/>
    <w:rsid w:val="4DA51E86"/>
    <w:rsid w:val="4DAC62CE"/>
    <w:rsid w:val="4DD40B5B"/>
    <w:rsid w:val="4E5715CC"/>
    <w:rsid w:val="4EE96D5A"/>
    <w:rsid w:val="509831AF"/>
    <w:rsid w:val="50A21DBF"/>
    <w:rsid w:val="50AC0E6C"/>
    <w:rsid w:val="5154665E"/>
    <w:rsid w:val="515A6091"/>
    <w:rsid w:val="51B57115"/>
    <w:rsid w:val="51E14A36"/>
    <w:rsid w:val="52126329"/>
    <w:rsid w:val="521640C9"/>
    <w:rsid w:val="52470583"/>
    <w:rsid w:val="52E3448B"/>
    <w:rsid w:val="52E602D1"/>
    <w:rsid w:val="533453A9"/>
    <w:rsid w:val="539A209A"/>
    <w:rsid w:val="53B3096B"/>
    <w:rsid w:val="53D505E2"/>
    <w:rsid w:val="53EE6EF4"/>
    <w:rsid w:val="5432079C"/>
    <w:rsid w:val="54777864"/>
    <w:rsid w:val="548F745F"/>
    <w:rsid w:val="54B17FBE"/>
    <w:rsid w:val="54B87904"/>
    <w:rsid w:val="54FF0C91"/>
    <w:rsid w:val="55772575"/>
    <w:rsid w:val="557D4CE3"/>
    <w:rsid w:val="55985C34"/>
    <w:rsid w:val="55D21A3E"/>
    <w:rsid w:val="562A186C"/>
    <w:rsid w:val="571A1A7B"/>
    <w:rsid w:val="574D22F3"/>
    <w:rsid w:val="57723FD4"/>
    <w:rsid w:val="57B57EBE"/>
    <w:rsid w:val="57B92425"/>
    <w:rsid w:val="57BB500C"/>
    <w:rsid w:val="57D66975"/>
    <w:rsid w:val="57DC2701"/>
    <w:rsid w:val="58134E48"/>
    <w:rsid w:val="58A843C6"/>
    <w:rsid w:val="592301E1"/>
    <w:rsid w:val="59554E3B"/>
    <w:rsid w:val="597C4D04"/>
    <w:rsid w:val="59A10231"/>
    <w:rsid w:val="5A1E7263"/>
    <w:rsid w:val="5A4F7C8D"/>
    <w:rsid w:val="5A561049"/>
    <w:rsid w:val="5A7F55EC"/>
    <w:rsid w:val="5ADD3AB9"/>
    <w:rsid w:val="5B1015EB"/>
    <w:rsid w:val="5B1C014C"/>
    <w:rsid w:val="5B673C31"/>
    <w:rsid w:val="5B765CFE"/>
    <w:rsid w:val="5C2D2CA7"/>
    <w:rsid w:val="5CA87D85"/>
    <w:rsid w:val="5CCC76A3"/>
    <w:rsid w:val="5CDD1CAA"/>
    <w:rsid w:val="5CFF1C77"/>
    <w:rsid w:val="5D156F6C"/>
    <w:rsid w:val="5D2A4E86"/>
    <w:rsid w:val="5D2C2FFF"/>
    <w:rsid w:val="5D5C2BD8"/>
    <w:rsid w:val="5E1E4AD4"/>
    <w:rsid w:val="5E467271"/>
    <w:rsid w:val="5E745CD6"/>
    <w:rsid w:val="5E754F3D"/>
    <w:rsid w:val="5EA17BBA"/>
    <w:rsid w:val="5EC30CE3"/>
    <w:rsid w:val="5EFE4B3A"/>
    <w:rsid w:val="5F237F75"/>
    <w:rsid w:val="5F9D130A"/>
    <w:rsid w:val="5FF55C85"/>
    <w:rsid w:val="603E5D79"/>
    <w:rsid w:val="606C06C2"/>
    <w:rsid w:val="60F5274C"/>
    <w:rsid w:val="614D033F"/>
    <w:rsid w:val="622938BA"/>
    <w:rsid w:val="622946BC"/>
    <w:rsid w:val="624928CA"/>
    <w:rsid w:val="629D2A1F"/>
    <w:rsid w:val="62FD6687"/>
    <w:rsid w:val="63076D99"/>
    <w:rsid w:val="63860BC4"/>
    <w:rsid w:val="63A64A02"/>
    <w:rsid w:val="63A92E44"/>
    <w:rsid w:val="63CA23DA"/>
    <w:rsid w:val="63FE402F"/>
    <w:rsid w:val="643636A3"/>
    <w:rsid w:val="64587300"/>
    <w:rsid w:val="64757877"/>
    <w:rsid w:val="648512ED"/>
    <w:rsid w:val="64E66515"/>
    <w:rsid w:val="659A151F"/>
    <w:rsid w:val="65D442A0"/>
    <w:rsid w:val="65FF3F09"/>
    <w:rsid w:val="660D737A"/>
    <w:rsid w:val="66EC0AF7"/>
    <w:rsid w:val="67873875"/>
    <w:rsid w:val="68353326"/>
    <w:rsid w:val="687E75D9"/>
    <w:rsid w:val="68D53F0D"/>
    <w:rsid w:val="68DA4C11"/>
    <w:rsid w:val="68E90A30"/>
    <w:rsid w:val="691F0A55"/>
    <w:rsid w:val="69232A11"/>
    <w:rsid w:val="69304D10"/>
    <w:rsid w:val="69855FE9"/>
    <w:rsid w:val="69877951"/>
    <w:rsid w:val="69F83958"/>
    <w:rsid w:val="6A1A08A5"/>
    <w:rsid w:val="6A2626FA"/>
    <w:rsid w:val="6A462E5B"/>
    <w:rsid w:val="6A870E0F"/>
    <w:rsid w:val="6A9B2674"/>
    <w:rsid w:val="6AAC573D"/>
    <w:rsid w:val="6AAE3893"/>
    <w:rsid w:val="6AF77660"/>
    <w:rsid w:val="6B51584D"/>
    <w:rsid w:val="6B832956"/>
    <w:rsid w:val="6B8754D9"/>
    <w:rsid w:val="6C0F7FD7"/>
    <w:rsid w:val="6C242858"/>
    <w:rsid w:val="6C5E0429"/>
    <w:rsid w:val="6C8E1655"/>
    <w:rsid w:val="6C90660F"/>
    <w:rsid w:val="6CCB19FA"/>
    <w:rsid w:val="6CF773AB"/>
    <w:rsid w:val="6DCF6E1E"/>
    <w:rsid w:val="6E950837"/>
    <w:rsid w:val="6F2F2727"/>
    <w:rsid w:val="6F6A3147"/>
    <w:rsid w:val="6F83464F"/>
    <w:rsid w:val="6FC40824"/>
    <w:rsid w:val="6FE52CEE"/>
    <w:rsid w:val="6FF66AA9"/>
    <w:rsid w:val="703B4EA9"/>
    <w:rsid w:val="70C920F0"/>
    <w:rsid w:val="70DE6F6B"/>
    <w:rsid w:val="70E51CD3"/>
    <w:rsid w:val="71655E64"/>
    <w:rsid w:val="71B457F4"/>
    <w:rsid w:val="71CA4040"/>
    <w:rsid w:val="72EA55A2"/>
    <w:rsid w:val="72F55AC2"/>
    <w:rsid w:val="732140CC"/>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6BE285E"/>
    <w:rsid w:val="770370DE"/>
    <w:rsid w:val="771E1BA7"/>
    <w:rsid w:val="7744501C"/>
    <w:rsid w:val="776C4A2B"/>
    <w:rsid w:val="77752FD1"/>
    <w:rsid w:val="77C31E96"/>
    <w:rsid w:val="78273E7E"/>
    <w:rsid w:val="78793C5B"/>
    <w:rsid w:val="78A11B1B"/>
    <w:rsid w:val="78CC2A74"/>
    <w:rsid w:val="790330FE"/>
    <w:rsid w:val="796C5D0E"/>
    <w:rsid w:val="79715375"/>
    <w:rsid w:val="799F35DD"/>
    <w:rsid w:val="79A25B8B"/>
    <w:rsid w:val="7A0F3269"/>
    <w:rsid w:val="7A401BAE"/>
    <w:rsid w:val="7A7A220B"/>
    <w:rsid w:val="7BE37F78"/>
    <w:rsid w:val="7BF46C63"/>
    <w:rsid w:val="7BFA1CF7"/>
    <w:rsid w:val="7C38637B"/>
    <w:rsid w:val="7CD460A4"/>
    <w:rsid w:val="7CE1144E"/>
    <w:rsid w:val="7CF36E72"/>
    <w:rsid w:val="7D7D2D75"/>
    <w:rsid w:val="7D935417"/>
    <w:rsid w:val="7E041932"/>
    <w:rsid w:val="7E0603C0"/>
    <w:rsid w:val="7E1C06D7"/>
    <w:rsid w:val="7E9706B7"/>
    <w:rsid w:val="7EFB200E"/>
    <w:rsid w:val="7F64612E"/>
    <w:rsid w:val="7F7C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4"/>
    <w:autoRedefine/>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Body Text"/>
    <w:basedOn w:val="1"/>
    <w:autoRedefine/>
    <w:qFormat/>
    <w:uiPriority w:val="0"/>
    <w:pPr>
      <w:spacing w:before="180" w:after="180"/>
    </w:pPr>
  </w:style>
  <w:style w:type="paragraph" w:styleId="5">
    <w:name w:val="annotation text"/>
    <w:basedOn w:val="1"/>
    <w:link w:val="19"/>
    <w:autoRedefine/>
    <w:qFormat/>
    <w:uiPriority w:val="0"/>
    <w:pPr>
      <w:jc w:val="left"/>
    </w:pPr>
    <w:rPr>
      <w:color w:val="FF0000"/>
    </w:rPr>
  </w:style>
  <w:style w:type="paragraph" w:styleId="6">
    <w:name w:val="Body Text Indent 2"/>
    <w:basedOn w:val="1"/>
    <w:autoRedefine/>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annotation subject"/>
    <w:basedOn w:val="5"/>
    <w:next w:val="5"/>
    <w:link w:val="20"/>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 w:type="character" w:customStyle="1" w:styleId="19">
    <w:name w:val="批注文字 字符"/>
    <w:basedOn w:val="14"/>
    <w:link w:val="5"/>
    <w:autoRedefine/>
    <w:qFormat/>
    <w:uiPriority w:val="0"/>
    <w:rPr>
      <w:rFonts w:asciiTheme="minorHAnsi" w:hAnsiTheme="minorHAnsi" w:eastAsiaTheme="minorEastAsia" w:cstheme="minorBidi"/>
      <w:color w:val="FF0000"/>
      <w:kern w:val="2"/>
      <w:sz w:val="21"/>
      <w:szCs w:val="24"/>
    </w:rPr>
  </w:style>
  <w:style w:type="character" w:customStyle="1" w:styleId="20">
    <w:name w:val="批注主题 字符"/>
    <w:basedOn w:val="19"/>
    <w:link w:val="11"/>
    <w:autoRedefine/>
    <w:qFormat/>
    <w:uiPriority w:val="0"/>
    <w:rPr>
      <w:rFonts w:asciiTheme="minorHAnsi" w:hAnsiTheme="minorHAnsi" w:eastAsiaTheme="minorEastAsia" w:cstheme="minorBidi"/>
      <w:b/>
      <w:bCs/>
      <w:color w:val="FF0000"/>
      <w:kern w:val="2"/>
      <w:sz w:val="21"/>
      <w:szCs w:val="24"/>
    </w:rPr>
  </w:style>
  <w:style w:type="character" w:customStyle="1" w:styleId="21">
    <w:name w:val="批注框文本 字符"/>
    <w:basedOn w:val="14"/>
    <w:link w:val="7"/>
    <w:autoRedefine/>
    <w:qFormat/>
    <w:uiPriority w:val="0"/>
    <w:rPr>
      <w:kern w:val="2"/>
      <w:sz w:val="18"/>
      <w:szCs w:val="18"/>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4">
    <w:name w:val="年报正文"/>
    <w:basedOn w:val="1"/>
    <w:autoRedefine/>
    <w:qFormat/>
    <w:uiPriority w:val="0"/>
    <w:pPr>
      <w:spacing w:before="120" w:beforeLines="50" w:line="360" w:lineRule="auto"/>
      <w:ind w:firstLine="480" w:firstLineChars="200"/>
    </w:pPr>
  </w:style>
  <w:style w:type="paragraph" w:customStyle="1" w:styleId="25">
    <w:name w:val="First Paragraph"/>
    <w:basedOn w:val="4"/>
    <w:next w:val="4"/>
    <w:autoRedefine/>
    <w:qFormat/>
    <w:uiPriority w:val="0"/>
  </w:style>
  <w:style w:type="paragraph" w:customStyle="1" w:styleId="26">
    <w:name w:val="_Style 75"/>
    <w:basedOn w:val="27"/>
    <w:autoRedefine/>
    <w:qFormat/>
    <w:uiPriority w:val="34"/>
    <w:pPr>
      <w:widowControl w:val="0"/>
      <w:ind w:firstLine="420" w:firstLineChars="200"/>
      <w:jc w:val="both"/>
    </w:pPr>
    <w:rPr>
      <w:rFonts w:ascii="Calibri" w:hAnsi="Calibri" w:cs="Times New Roman"/>
      <w:kern w:val="2"/>
      <w:szCs w:val="22"/>
    </w:rPr>
  </w:style>
  <w:style w:type="paragraph" w:customStyle="1" w:styleId="27">
    <w:name w:val="_Style 46"/>
    <w:autoRedefine/>
    <w:qFormat/>
    <w:uiPriority w:val="0"/>
    <w:rPr>
      <w:rFonts w:ascii="宋体" w:hAnsi="宋体" w:eastAsia="宋体" w:cs="宋体"/>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Pages>
  <Words>504</Words>
  <Characters>2875</Characters>
  <Lines>23</Lines>
  <Paragraphs>6</Paragraphs>
  <TotalTime>10</TotalTime>
  <ScaleCrop>false</ScaleCrop>
  <LinksUpToDate>false</LinksUpToDate>
  <CharactersWithSpaces>3373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2025-09-09T01:41:57Z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A8392CF5AF2C44F697DE4159D11A927A_13</vt:lpwstr>
  </property>
  <property fmtid="{D5CDD505-2E9C-101B-9397-08002B2CF9AE}" pid="4" name="KSOTemplateDocerSaveRecord">
    <vt:lpwstr>eyJoZGlkIjoiZTQzZmRmZDMxMjkwMDE2NTk0ZWQ1ZWYwMzRmYjVhNmUiLCJ1c2VySWQiOiI2NDQwNzQxNTQifQ==</vt:lpwstr>
  </property>
</Properties>
</file>