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10918">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600056</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公司简称：</w:t>
      </w:r>
      <w:r>
        <w:rPr>
          <w:rFonts w:hint="default" w:ascii="宋体" w:hAnsi="宋体"/>
          <w:sz w:val="24"/>
          <w:szCs w:val="24"/>
          <w:lang w:val="en-US"/>
        </w:rPr>
        <w:t>中国医药</w:t>
      </w:r>
    </w:p>
    <w:p w14:paraId="03F387B1">
      <w:pPr>
        <w:jc w:val="center"/>
        <w:rPr>
          <w:rFonts w:hint="eastAsia" w:ascii="黑体" w:hAnsi="黑体" w:eastAsia="黑体"/>
          <w:sz w:val="36"/>
          <w:szCs w:val="36"/>
        </w:rPr>
      </w:pPr>
    </w:p>
    <w:p w14:paraId="7751240A">
      <w:pPr>
        <w:jc w:val="center"/>
        <w:rPr>
          <w:rFonts w:hint="eastAsia" w:ascii="黑体" w:hAnsi="黑体" w:eastAsia="黑体"/>
          <w:sz w:val="36"/>
          <w:szCs w:val="36"/>
        </w:rPr>
      </w:pPr>
      <w:r>
        <w:rPr>
          <w:rFonts w:hint="eastAsia" w:ascii="黑体" w:hAnsi="黑体" w:eastAsia="黑体"/>
          <w:sz w:val="36"/>
          <w:szCs w:val="36"/>
        </w:rPr>
        <w:t>中国医药健康产业股份有限公司</w:t>
      </w:r>
    </w:p>
    <w:p w14:paraId="0C7C5052">
      <w:pPr>
        <w:jc w:val="center"/>
        <w:rPr>
          <w:rFonts w:ascii="黑体" w:hAnsi="黑体" w:eastAsia="黑体"/>
          <w:sz w:val="36"/>
          <w:szCs w:val="36"/>
        </w:rPr>
      </w:pPr>
      <w:r>
        <w:rPr>
          <w:rFonts w:hint="eastAsia" w:ascii="黑体" w:hAnsi="黑体" w:eastAsia="黑体"/>
          <w:sz w:val="36"/>
          <w:szCs w:val="36"/>
        </w:rPr>
        <w:t>投资者关系活动记录表</w:t>
      </w:r>
    </w:p>
    <w:p w14:paraId="1FFC4C72">
      <w:pPr>
        <w:jc w:val="center"/>
        <w:rPr>
          <w:rFonts w:ascii="黑体" w:hAnsi="黑体" w:eastAsia="黑体"/>
          <w:sz w:val="24"/>
          <w:szCs w:val="24"/>
          <w:highlight w:val="none"/>
        </w:rPr>
      </w:pPr>
    </w:p>
    <w:p w14:paraId="6D236326">
      <w:pPr>
        <w:ind w:right="720"/>
        <w:jc w:val="right"/>
        <w:rPr>
          <w:rFonts w:hint="default" w:ascii="黑体" w:hAnsi="黑体" w:eastAsia="黑体"/>
          <w:sz w:val="24"/>
          <w:szCs w:val="24"/>
          <w:highlight w:val="none"/>
          <w:lang w:val="en-US" w:eastAsia="zh-CN"/>
        </w:rPr>
      </w:pPr>
      <w:r>
        <w:rPr>
          <w:rFonts w:hint="eastAsia" w:ascii="黑体" w:hAnsi="黑体" w:eastAsia="黑体"/>
          <w:sz w:val="24"/>
          <w:szCs w:val="24"/>
          <w:highlight w:val="none"/>
        </w:rPr>
        <w:t>编号：</w:t>
      </w:r>
      <w:r>
        <w:rPr>
          <w:rFonts w:hint="eastAsia" w:ascii="黑体" w:hAnsi="黑体" w:eastAsia="黑体"/>
          <w:sz w:val="24"/>
          <w:szCs w:val="24"/>
          <w:highlight w:val="none"/>
          <w:lang w:val="en-US" w:eastAsia="zh-CN"/>
        </w:rPr>
        <w:t>2025-002</w:t>
      </w:r>
    </w:p>
    <w:tbl>
      <w:tblPr>
        <w:tblStyle w:val="5"/>
        <w:tblW w:w="87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13FEB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noWrap w:val="0"/>
            <w:vAlign w:val="center"/>
          </w:tcPr>
          <w:p w14:paraId="000C4BFB">
            <w:pPr>
              <w:rPr>
                <w:sz w:val="24"/>
                <w:szCs w:val="24"/>
              </w:rPr>
            </w:pPr>
            <w:r>
              <w:rPr>
                <w:rFonts w:hint="eastAsia"/>
                <w:sz w:val="24"/>
                <w:szCs w:val="24"/>
              </w:rPr>
              <w:t>投资者关系活动类别</w:t>
            </w:r>
          </w:p>
        </w:tc>
        <w:tc>
          <w:tcPr>
            <w:tcW w:w="7191" w:type="dxa"/>
            <w:noWrap w:val="0"/>
            <w:vAlign w:val="center"/>
          </w:tcPr>
          <w:p w14:paraId="3D5629D8">
            <w:pPr>
              <w:spacing w:line="360" w:lineRule="auto"/>
              <w:rPr>
                <w:rFonts w:hint="eastAsia"/>
                <w:sz w:val="24"/>
                <w:szCs w:val="24"/>
              </w:rPr>
            </w:pPr>
            <w:r>
              <w:rPr>
                <w:rFonts w:hint="eastAsia" w:ascii="宋体" w:hAnsi="宋体" w:eastAsia="宋体" w:cs="宋体"/>
                <w:sz w:val="24"/>
                <w:szCs w:val="24"/>
                <w:highlight w:val="none"/>
              </w:rPr>
              <w:t>业绩说明会</w:t>
            </w:r>
          </w:p>
        </w:tc>
      </w:tr>
      <w:tr w14:paraId="4003F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noWrap w:val="0"/>
            <w:vAlign w:val="center"/>
          </w:tcPr>
          <w:p w14:paraId="34A2A5ED">
            <w:pPr>
              <w:rPr>
                <w:sz w:val="24"/>
                <w:szCs w:val="24"/>
              </w:rPr>
            </w:pPr>
            <w:r>
              <w:rPr>
                <w:rFonts w:hint="eastAsia"/>
                <w:sz w:val="24"/>
                <w:szCs w:val="24"/>
              </w:rPr>
              <w:t>活动主题</w:t>
            </w:r>
          </w:p>
        </w:tc>
        <w:tc>
          <w:tcPr>
            <w:tcW w:w="7191" w:type="dxa"/>
            <w:noWrap w:val="0"/>
            <w:vAlign w:val="center"/>
          </w:tcPr>
          <w:p w14:paraId="30C7BCF5">
            <w:pPr>
              <w:rPr>
                <w:sz w:val="24"/>
                <w:szCs w:val="24"/>
              </w:rPr>
            </w:pPr>
            <w:r>
              <w:rPr>
                <w:rFonts w:hint="eastAsia" w:ascii="宋体" w:hAnsi="宋体" w:eastAsia="宋体" w:cs="宋体"/>
                <w:bCs/>
                <w:iCs/>
                <w:color w:val="000000"/>
                <w:sz w:val="24"/>
                <w:highlight w:val="none"/>
                <w:lang w:val="en-GB"/>
              </w:rPr>
              <w:t>中国医药2025年</w:t>
            </w:r>
            <w:r>
              <w:rPr>
                <w:rFonts w:hint="eastAsia" w:ascii="宋体" w:hAnsi="宋体" w:cs="宋体"/>
                <w:bCs/>
                <w:iCs/>
                <w:color w:val="000000"/>
                <w:sz w:val="24"/>
                <w:highlight w:val="none"/>
                <w:lang w:val="en-US" w:eastAsia="zh-CN"/>
              </w:rPr>
              <w:t>半年度</w:t>
            </w:r>
            <w:r>
              <w:rPr>
                <w:rFonts w:hint="eastAsia" w:ascii="宋体" w:hAnsi="宋体" w:eastAsia="宋体" w:cs="宋体"/>
                <w:bCs/>
                <w:iCs/>
                <w:color w:val="000000"/>
                <w:sz w:val="24"/>
                <w:highlight w:val="none"/>
                <w:lang w:val="en-GB"/>
              </w:rPr>
              <w:t>业绩说明会</w:t>
            </w:r>
          </w:p>
        </w:tc>
      </w:tr>
      <w:tr w14:paraId="1213B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1526" w:type="dxa"/>
            <w:noWrap w:val="0"/>
            <w:vAlign w:val="center"/>
          </w:tcPr>
          <w:p w14:paraId="0459F3A0">
            <w:pPr>
              <w:rPr>
                <w:sz w:val="24"/>
                <w:szCs w:val="24"/>
              </w:rPr>
            </w:pPr>
            <w:r>
              <w:rPr>
                <w:rFonts w:hint="eastAsia"/>
                <w:sz w:val="24"/>
                <w:szCs w:val="24"/>
              </w:rPr>
              <w:t>时间</w:t>
            </w:r>
          </w:p>
        </w:tc>
        <w:tc>
          <w:tcPr>
            <w:tcW w:w="7191" w:type="dxa"/>
            <w:noWrap w:val="0"/>
            <w:vAlign w:val="center"/>
          </w:tcPr>
          <w:p w14:paraId="4DF5FE1F">
            <w:pPr>
              <w:rPr>
                <w:rFonts w:hint="eastAsia"/>
                <w:sz w:val="24"/>
                <w:szCs w:val="24"/>
              </w:rPr>
            </w:pPr>
            <w:r>
              <w:rPr>
                <w:rFonts w:hint="eastAsia" w:ascii="宋体" w:hAnsi="宋体" w:eastAsia="宋体" w:cs="宋体"/>
                <w:bCs/>
                <w:iCs/>
                <w:color w:val="000000"/>
                <w:sz w:val="24"/>
                <w:highlight w:val="none"/>
              </w:rPr>
              <w:t>2025-0</w:t>
            </w:r>
            <w:r>
              <w:rPr>
                <w:rFonts w:hint="eastAsia" w:ascii="宋体" w:hAnsi="宋体" w:cs="宋体"/>
                <w:bCs/>
                <w:iCs/>
                <w:color w:val="000000"/>
                <w:sz w:val="24"/>
                <w:highlight w:val="none"/>
                <w:lang w:val="en-US" w:eastAsia="zh-CN"/>
              </w:rPr>
              <w:t>9</w:t>
            </w:r>
            <w:r>
              <w:rPr>
                <w:rFonts w:hint="eastAsia" w:ascii="宋体" w:hAnsi="宋体" w:eastAsia="宋体" w:cs="宋体"/>
                <w:bCs/>
                <w:iCs/>
                <w:color w:val="000000"/>
                <w:sz w:val="24"/>
                <w:highlight w:val="none"/>
              </w:rPr>
              <w:t>-</w:t>
            </w:r>
            <w:r>
              <w:rPr>
                <w:rFonts w:hint="eastAsia" w:ascii="宋体" w:hAnsi="宋体" w:cs="宋体"/>
                <w:bCs/>
                <w:iCs/>
                <w:color w:val="000000"/>
                <w:sz w:val="24"/>
                <w:highlight w:val="none"/>
                <w:lang w:val="en-US" w:eastAsia="zh-CN"/>
              </w:rPr>
              <w:t>11</w:t>
            </w:r>
            <w:r>
              <w:rPr>
                <w:rFonts w:hint="eastAsia" w:ascii="宋体" w:hAnsi="宋体" w:eastAsia="宋体" w:cs="宋体"/>
                <w:bCs/>
                <w:iCs/>
                <w:color w:val="000000"/>
                <w:sz w:val="24"/>
                <w:highlight w:val="none"/>
              </w:rPr>
              <w:t xml:space="preserve"> - 15:00-16:00</w:t>
            </w:r>
          </w:p>
        </w:tc>
      </w:tr>
      <w:tr w14:paraId="4262C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noWrap w:val="0"/>
            <w:vAlign w:val="center"/>
          </w:tcPr>
          <w:p w14:paraId="0A34A082">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top"/>
          </w:tcPr>
          <w:p w14:paraId="355AADB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上证路演中心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"https://roadshow.sseinfo.com" </w:instrText>
            </w:r>
            <w:r>
              <w:rPr>
                <w:rFonts w:hint="eastAsia" w:ascii="宋体" w:hAnsi="宋体" w:eastAsia="宋体" w:cs="宋体"/>
                <w:sz w:val="24"/>
                <w:szCs w:val="24"/>
              </w:rPr>
              <w:fldChar w:fldCharType="separate"/>
            </w:r>
            <w:r>
              <w:rPr>
                <w:rFonts w:hint="eastAsia" w:ascii="宋体" w:hAnsi="宋体" w:eastAsia="宋体" w:cs="宋体"/>
                <w:sz w:val="24"/>
                <w:szCs w:val="24"/>
              </w:rPr>
              <w:t>https://roadshow.sseinfo.com</w:t>
            </w:r>
            <w:r>
              <w:rPr>
                <w:rFonts w:hint="eastAsia" w:ascii="宋体" w:hAnsi="宋体" w:eastAsia="宋体" w:cs="宋体"/>
                <w:sz w:val="24"/>
                <w:szCs w:val="24"/>
              </w:rPr>
              <w:fldChar w:fldCharType="end"/>
            </w:r>
          </w:p>
          <w:p w14:paraId="363C6384">
            <w:pPr>
              <w:spacing w:line="360" w:lineRule="auto"/>
              <w:rPr>
                <w:rFonts w:hint="eastAsia"/>
                <w:sz w:val="24"/>
                <w:szCs w:val="24"/>
              </w:rPr>
            </w:pPr>
            <w:r>
              <w:rPr>
                <w:rFonts w:hint="eastAsia" w:ascii="宋体" w:hAnsi="宋体" w:eastAsia="宋体" w:cs="宋体"/>
                <w:sz w:val="24"/>
                <w:szCs w:val="24"/>
                <w:lang w:val="en-GB"/>
              </w:rPr>
              <w:t>网络文字互动</w:t>
            </w:r>
          </w:p>
        </w:tc>
      </w:tr>
      <w:tr w14:paraId="399D0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noWrap w:val="0"/>
            <w:vAlign w:val="center"/>
          </w:tcPr>
          <w:p w14:paraId="067D19B1">
            <w:pPr>
              <w:rPr>
                <w:sz w:val="24"/>
                <w:szCs w:val="24"/>
              </w:rPr>
            </w:pPr>
            <w:r>
              <w:rPr>
                <w:rFonts w:hint="eastAsia"/>
                <w:sz w:val="24"/>
                <w:szCs w:val="24"/>
              </w:rPr>
              <w:t>参会人员</w:t>
            </w:r>
          </w:p>
        </w:tc>
        <w:tc>
          <w:tcPr>
            <w:tcW w:w="7191" w:type="dxa"/>
            <w:noWrap w:val="0"/>
            <w:vAlign w:val="center"/>
          </w:tcPr>
          <w:p w14:paraId="586510BB">
            <w:pPr>
              <w:spacing w:line="360" w:lineRule="auto"/>
              <w:rPr>
                <w:rFonts w:hint="eastAsia"/>
                <w:sz w:val="24"/>
                <w:szCs w:val="24"/>
              </w:rPr>
            </w:pPr>
            <w:r>
              <w:rPr>
                <w:rFonts w:hint="eastAsia" w:ascii="宋体" w:hAnsi="宋体" w:eastAsia="宋体" w:cs="宋体"/>
                <w:sz w:val="24"/>
                <w:szCs w:val="24"/>
              </w:rPr>
              <w:t>董事长</w:t>
            </w:r>
            <w:r>
              <w:rPr>
                <w:rFonts w:hint="eastAsia" w:ascii="宋体" w:hAnsi="宋体" w:cs="宋体"/>
                <w:sz w:val="24"/>
                <w:szCs w:val="24"/>
                <w:lang w:eastAsia="zh-CN"/>
              </w:rPr>
              <w:t>、</w:t>
            </w:r>
            <w:r>
              <w:rPr>
                <w:rFonts w:hint="eastAsia" w:ascii="宋体" w:hAnsi="宋体" w:cs="宋体"/>
                <w:sz w:val="24"/>
                <w:szCs w:val="24"/>
                <w:lang w:val="en-US" w:eastAsia="zh-CN"/>
              </w:rPr>
              <w:t>总经理</w:t>
            </w:r>
            <w:r>
              <w:rPr>
                <w:rFonts w:hint="eastAsia" w:ascii="宋体" w:hAnsi="宋体" w:eastAsia="宋体" w:cs="宋体"/>
                <w:sz w:val="24"/>
                <w:szCs w:val="24"/>
              </w:rPr>
              <w:t>杨光</w:t>
            </w:r>
            <w:r>
              <w:rPr>
                <w:rFonts w:hint="eastAsia" w:ascii="宋体" w:hAnsi="宋体" w:cs="宋体"/>
                <w:sz w:val="24"/>
                <w:szCs w:val="24"/>
                <w:lang w:eastAsia="zh-CN"/>
              </w:rPr>
              <w:t>，</w:t>
            </w:r>
            <w:r>
              <w:rPr>
                <w:rFonts w:hint="eastAsia" w:ascii="宋体" w:hAnsi="宋体" w:eastAsia="宋体" w:cs="宋体"/>
                <w:sz w:val="24"/>
                <w:szCs w:val="24"/>
              </w:rPr>
              <w:t>独立董事</w:t>
            </w:r>
            <w:r>
              <w:rPr>
                <w:rFonts w:hint="eastAsia" w:ascii="宋体" w:hAnsi="宋体" w:cs="宋体"/>
                <w:sz w:val="24"/>
                <w:szCs w:val="24"/>
                <w:lang w:val="en-US" w:eastAsia="zh-CN"/>
              </w:rPr>
              <w:t>王瑞华</w:t>
            </w:r>
            <w:r>
              <w:rPr>
                <w:rFonts w:hint="eastAsia" w:ascii="宋体" w:hAnsi="宋体" w:cs="宋体"/>
                <w:sz w:val="24"/>
                <w:szCs w:val="24"/>
                <w:lang w:eastAsia="zh-CN"/>
              </w:rPr>
              <w:t>，</w:t>
            </w:r>
            <w:r>
              <w:rPr>
                <w:rFonts w:hint="eastAsia" w:ascii="宋体" w:hAnsi="宋体" w:eastAsia="宋体" w:cs="宋体"/>
                <w:sz w:val="24"/>
                <w:szCs w:val="24"/>
              </w:rPr>
              <w:t>总会计师葛晓红</w:t>
            </w:r>
            <w:r>
              <w:rPr>
                <w:rFonts w:hint="eastAsia" w:ascii="宋体" w:hAnsi="宋体" w:cs="宋体"/>
                <w:sz w:val="24"/>
                <w:szCs w:val="24"/>
                <w:lang w:eastAsia="zh-CN"/>
              </w:rPr>
              <w:t>，</w:t>
            </w:r>
            <w:r>
              <w:rPr>
                <w:rFonts w:hint="eastAsia" w:ascii="宋体" w:hAnsi="宋体" w:eastAsia="宋体" w:cs="宋体"/>
                <w:sz w:val="24"/>
                <w:szCs w:val="24"/>
              </w:rPr>
              <w:t>董事会秘书袁精华</w:t>
            </w:r>
          </w:p>
        </w:tc>
      </w:tr>
      <w:tr w14:paraId="3FFA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526" w:type="dxa"/>
            <w:noWrap w:val="0"/>
            <w:vAlign w:val="center"/>
          </w:tcPr>
          <w:p w14:paraId="7F4E1EC5">
            <w:pPr>
              <w:rPr>
                <w:sz w:val="24"/>
                <w:szCs w:val="24"/>
              </w:rPr>
            </w:pPr>
            <w:r>
              <w:rPr>
                <w:rFonts w:hint="eastAsia"/>
                <w:sz w:val="24"/>
                <w:szCs w:val="24"/>
              </w:rPr>
              <w:t>投资者关系活动主要内容介绍</w:t>
            </w:r>
          </w:p>
        </w:tc>
        <w:tc>
          <w:tcPr>
            <w:tcW w:w="7191" w:type="dxa"/>
            <w:noWrap w:val="0"/>
            <w:vAlign w:val="top"/>
          </w:tcPr>
          <w:p w14:paraId="413E1B6B">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rPr>
                <w:rFonts w:hint="eastAsia" w:ascii="宋体" w:hAnsi="宋体"/>
                <w:b/>
                <w:sz w:val="24"/>
              </w:rPr>
            </w:pPr>
            <w:r>
              <w:rPr>
                <w:rFonts w:hint="eastAsia" w:ascii="宋体" w:hAnsi="宋体"/>
                <w:b/>
                <w:sz w:val="24"/>
              </w:rPr>
              <w:t>投资者关系活动主要内容</w:t>
            </w:r>
          </w:p>
          <w:p w14:paraId="562B6AFE">
            <w:pPr>
              <w:spacing w:line="360" w:lineRule="auto"/>
              <w:rPr>
                <w:rFonts w:hint="eastAsia" w:ascii="宋体" w:hAnsi="宋体" w:eastAsia="宋体" w:cs="宋体"/>
                <w:sz w:val="24"/>
                <w:szCs w:val="24"/>
              </w:rPr>
            </w:pPr>
            <w:r>
              <w:rPr>
                <w:rFonts w:hint="default" w:ascii="宋体" w:hAnsi="宋体" w:eastAsia="宋体" w:cs="宋体"/>
                <w:sz w:val="24"/>
                <w:szCs w:val="24"/>
                <w:lang w:val="en-US"/>
              </w:rPr>
              <w:t>1、185*****524问中国医药董事会秘书</w:t>
            </w:r>
            <w:r>
              <w:rPr>
                <w:rFonts w:hint="eastAsia" w:ascii="宋体" w:hAnsi="宋体" w:cs="宋体"/>
                <w:sz w:val="24"/>
                <w:szCs w:val="24"/>
                <w:lang w:val="en-US" w:eastAsia="zh-CN"/>
              </w:rPr>
              <w:t>袁精华</w:t>
            </w:r>
            <w:r>
              <w:rPr>
                <w:rFonts w:hint="default" w:ascii="宋体" w:hAnsi="宋体" w:eastAsia="宋体" w:cs="宋体"/>
                <w:sz w:val="24"/>
                <w:szCs w:val="24"/>
                <w:lang w:val="en-US"/>
              </w:rPr>
              <w:t>：请问公司在产业链上的竞争优势有哪些？</w:t>
            </w:r>
          </w:p>
          <w:p w14:paraId="6BF7EF2F">
            <w:pPr>
              <w:spacing w:line="360" w:lineRule="auto"/>
              <w:rPr>
                <w:rFonts w:hint="default" w:ascii="宋体" w:hAnsi="宋体" w:eastAsia="宋体" w:cs="宋体"/>
                <w:sz w:val="24"/>
                <w:szCs w:val="24"/>
                <w:lang w:val="en-US"/>
              </w:rPr>
            </w:pPr>
            <w:r>
              <w:rPr>
                <w:rFonts w:hint="eastAsia" w:ascii="宋体" w:hAnsi="宋体" w:cs="宋体"/>
                <w:sz w:val="24"/>
                <w:szCs w:val="24"/>
                <w:lang w:val="en-US" w:eastAsia="zh-CN"/>
              </w:rPr>
              <w:t>董事会秘书袁精华</w:t>
            </w:r>
            <w:r>
              <w:rPr>
                <w:rFonts w:hint="default" w:ascii="宋体" w:hAnsi="宋体" w:eastAsia="宋体" w:cs="宋体"/>
                <w:sz w:val="24"/>
                <w:szCs w:val="24"/>
                <w:lang w:val="en-US"/>
              </w:rPr>
              <w:t>答</w:t>
            </w:r>
            <w:r>
              <w:rPr>
                <w:rFonts w:hint="eastAsia" w:ascii="宋体" w:hAnsi="宋体" w:cs="宋体"/>
                <w:sz w:val="24"/>
                <w:szCs w:val="24"/>
                <w:lang w:val="en-US" w:eastAsia="zh-CN"/>
              </w:rPr>
              <w:t>：尊敬的投资者您好！中国医药是通用技术集团旗下重要的医药及医疗器械生产经营平台，公司控股股东通用技术集团作为国资委指定的可承接国有企业办医疗机构的央企之一，已经发展成为床位数量领先、网络覆盖全、全产业链特征明显的央企医疗集团。公司将充分依托医药医疗领域全产业链竞争优势，不断丰富商业模式，强化业务协同、区域协同、资源协同，提供医药及医疗器械一站式解决方案和供应链综合服务。感谢您的关注！</w:t>
            </w:r>
          </w:p>
          <w:p w14:paraId="46526967">
            <w:pPr>
              <w:numPr>
                <w:ilvl w:val="0"/>
                <w:numId w:val="0"/>
              </w:numPr>
              <w:spacing w:line="360" w:lineRule="auto"/>
              <w:rPr>
                <w:rFonts w:hint="default" w:ascii="宋体" w:hAnsi="宋体" w:eastAsia="宋体" w:cs="宋体"/>
                <w:sz w:val="24"/>
                <w:szCs w:val="24"/>
                <w:lang w:val="en-US"/>
              </w:rPr>
            </w:pPr>
            <w:r>
              <w:rPr>
                <w:rFonts w:hint="eastAsia" w:ascii="宋体" w:hAnsi="宋体" w:cs="宋体"/>
                <w:sz w:val="24"/>
                <w:szCs w:val="24"/>
                <w:lang w:val="en-US" w:eastAsia="zh-CN"/>
              </w:rPr>
              <w:t>2、</w:t>
            </w:r>
            <w:r>
              <w:rPr>
                <w:rFonts w:hint="default" w:ascii="宋体" w:hAnsi="宋体" w:eastAsia="宋体" w:cs="宋体"/>
                <w:sz w:val="24"/>
                <w:szCs w:val="24"/>
                <w:lang w:val="en-US"/>
              </w:rPr>
              <w:t>131*****736问中国医药董事长、总经理杨光：新收购项目的协同效应：公司期内完成了对金穗科技100%股权的收购。此次收购预计将如何与公司现有医药商业和工业业务产生协同效应，并对公司未来业绩产生积极影响？</w:t>
            </w:r>
          </w:p>
          <w:p w14:paraId="13E7A0B5">
            <w:pPr>
              <w:numPr>
                <w:ilvl w:val="0"/>
                <w:numId w:val="0"/>
              </w:numPr>
              <w:spacing w:line="360" w:lineRule="auto"/>
              <w:rPr>
                <w:rFonts w:hint="default" w:ascii="宋体" w:hAnsi="宋体" w:eastAsia="宋体" w:cs="宋体"/>
                <w:sz w:val="24"/>
                <w:szCs w:val="24"/>
                <w:lang w:val="en-US"/>
              </w:rPr>
            </w:pPr>
            <w:r>
              <w:rPr>
                <w:rFonts w:hint="default" w:ascii="宋体" w:hAnsi="宋体" w:eastAsia="宋体" w:cs="宋体"/>
                <w:sz w:val="24"/>
                <w:szCs w:val="24"/>
                <w:lang w:val="en-US"/>
              </w:rPr>
              <w:t>董事长</w:t>
            </w:r>
            <w:r>
              <w:rPr>
                <w:rFonts w:hint="eastAsia" w:ascii="宋体" w:hAnsi="宋体" w:cs="宋体"/>
                <w:sz w:val="24"/>
                <w:szCs w:val="24"/>
                <w:lang w:val="en-US" w:eastAsia="zh-CN"/>
              </w:rPr>
              <w:t>、总经理</w:t>
            </w:r>
            <w:r>
              <w:rPr>
                <w:rFonts w:hint="default" w:ascii="宋体" w:hAnsi="宋体" w:eastAsia="宋体" w:cs="宋体"/>
                <w:sz w:val="24"/>
                <w:szCs w:val="24"/>
                <w:lang w:val="en-US"/>
              </w:rPr>
              <w:t>杨光答</w:t>
            </w:r>
            <w:r>
              <w:rPr>
                <w:rFonts w:hint="eastAsia" w:ascii="宋体" w:hAnsi="宋体" w:cs="宋体"/>
                <w:sz w:val="24"/>
                <w:szCs w:val="24"/>
                <w:lang w:val="en-US" w:eastAsia="zh-CN"/>
              </w:rPr>
              <w:t>：尊敬的投资者您好！金穗科技在电商运营服务行业经营多年，已建立了与上游品牌方及下游平台渠道资源的深度整合，构建了较为稳固的合作共赢体系，并具有较为丰富的线上营销、策划以及运营等经验和能力。金穗科技现已成为公司全资子公司，公司将围绕总体发展战略，利用金穗科技自身的运营经验，助力公司在搭建电商运营平台、拓宽产品管线、创新营销策略、树立品牌形象等方面的能力建设，加快实现从医药企业向医药健康企业转型。公司将加强各业务板块之间的相互赋能，通过资源共享，优势互补，深入挖掘医药、医疗器械、大健康等行业资源，整合开发公司个人健康消费产品、健康监测、保健品类等大健康业务，将公司线上电商业务统一管理，实现电商业务的整合与升级。感谢您的关注！</w:t>
            </w:r>
          </w:p>
          <w:p w14:paraId="1A0C960A">
            <w:pPr>
              <w:spacing w:line="360" w:lineRule="auto"/>
              <w:rPr>
                <w:rFonts w:hint="default" w:ascii="宋体" w:hAnsi="宋体" w:eastAsia="宋体" w:cs="宋体"/>
                <w:sz w:val="24"/>
                <w:szCs w:val="24"/>
                <w:lang w:val="en-US"/>
              </w:rPr>
            </w:pPr>
            <w:r>
              <w:rPr>
                <w:rFonts w:hint="default" w:ascii="宋体" w:hAnsi="宋体" w:eastAsia="宋体" w:cs="宋体"/>
                <w:sz w:val="24"/>
                <w:szCs w:val="24"/>
                <w:lang w:val="en-US"/>
              </w:rPr>
              <w:t>3、131*****736问中国医药董事长、总经理杨光：报告期内公司经营活动产生的现金流量净额持续为负（-5.46亿元），应收账款余额较高（147.61亿元）。公司将如何优化现金流管理，并提升应收账款和存货的周转效率以改善运营质量？</w:t>
            </w:r>
          </w:p>
          <w:p w14:paraId="48C19D46">
            <w:pPr>
              <w:spacing w:line="360" w:lineRule="auto"/>
              <w:rPr>
                <w:rFonts w:hint="default" w:ascii="宋体" w:hAnsi="宋体" w:eastAsia="宋体" w:cs="宋体"/>
                <w:sz w:val="24"/>
                <w:szCs w:val="24"/>
                <w:lang w:val="en-US"/>
              </w:rPr>
            </w:pPr>
            <w:r>
              <w:rPr>
                <w:rFonts w:hint="default" w:ascii="宋体" w:hAnsi="宋体" w:eastAsia="宋体" w:cs="宋体"/>
                <w:sz w:val="24"/>
                <w:szCs w:val="24"/>
                <w:lang w:val="en-US"/>
              </w:rPr>
              <w:t>董事长</w:t>
            </w:r>
            <w:r>
              <w:rPr>
                <w:rFonts w:hint="eastAsia" w:ascii="宋体" w:hAnsi="宋体" w:cs="宋体"/>
                <w:sz w:val="24"/>
                <w:szCs w:val="24"/>
                <w:lang w:val="en-US" w:eastAsia="zh-CN"/>
              </w:rPr>
              <w:t>、总经理</w:t>
            </w:r>
            <w:r>
              <w:rPr>
                <w:rFonts w:hint="default" w:ascii="宋体" w:hAnsi="宋体" w:eastAsia="宋体" w:cs="宋体"/>
                <w:sz w:val="24"/>
                <w:szCs w:val="24"/>
                <w:lang w:val="en-US"/>
              </w:rPr>
              <w:t>杨光答</w:t>
            </w:r>
            <w:r>
              <w:rPr>
                <w:rFonts w:hint="eastAsia" w:ascii="宋体" w:hAnsi="宋体" w:cs="宋体"/>
                <w:sz w:val="24"/>
                <w:szCs w:val="24"/>
                <w:lang w:val="en-US" w:eastAsia="zh-CN"/>
              </w:rPr>
              <w:t>：</w:t>
            </w:r>
            <w:r>
              <w:rPr>
                <w:rFonts w:hint="default" w:ascii="宋体" w:hAnsi="宋体" w:eastAsia="宋体" w:cs="宋体"/>
                <w:sz w:val="24"/>
                <w:szCs w:val="24"/>
                <w:lang w:val="en-US"/>
              </w:rPr>
              <w:t>尊敬的投资者您好！2025年上半年，公司经营活动产生的现金流量净额-5.46亿元，较上年同期的现金流量净额-7.43亿元相比，净流出有较大幅度收窄。公司将强化应收账款清收管理、建立应收账款重点客户跟踪台账；推行精益化管理，优化库存结构；加强资金计划管理，紧抓关键回款节点，减少资金占用。感谢您的关注！</w:t>
            </w:r>
          </w:p>
          <w:p w14:paraId="28B8A772">
            <w:pPr>
              <w:spacing w:line="360" w:lineRule="auto"/>
              <w:rPr>
                <w:rFonts w:hint="eastAsia" w:ascii="宋体" w:hAnsi="宋体" w:eastAsia="宋体" w:cs="宋体"/>
                <w:sz w:val="24"/>
                <w:szCs w:val="24"/>
              </w:rPr>
            </w:pPr>
            <w:r>
              <w:rPr>
                <w:rFonts w:hint="default" w:ascii="宋体" w:hAnsi="宋体" w:eastAsia="宋体" w:cs="宋体"/>
                <w:sz w:val="24"/>
                <w:szCs w:val="24"/>
                <w:lang w:val="en-US"/>
              </w:rPr>
              <w:t>4、131*****736问中国医药董事长、总经理杨光：上半年公司营收和净利润同比双降，且毛利率、净利率及净资产收益率均呈现持续下滑趋势。请问管理层，面对行业集采和竞争压力，公司计划采取哪些具体措施来提升核心盈利能力？特别是在创新药和特色仿制药方面有何布局？</w:t>
            </w:r>
          </w:p>
          <w:p w14:paraId="2AE4442D">
            <w:pPr>
              <w:spacing w:line="360" w:lineRule="auto"/>
              <w:rPr>
                <w:rFonts w:hint="eastAsia" w:ascii="宋体" w:hAnsi="宋体"/>
                <w:sz w:val="24"/>
                <w:szCs w:val="24"/>
              </w:rPr>
            </w:pPr>
            <w:r>
              <w:rPr>
                <w:rFonts w:hint="default" w:ascii="宋体" w:hAnsi="宋体" w:eastAsia="宋体" w:cs="宋体"/>
                <w:sz w:val="24"/>
                <w:szCs w:val="24"/>
                <w:lang w:val="en-US"/>
              </w:rPr>
              <w:t>董事长</w:t>
            </w:r>
            <w:r>
              <w:rPr>
                <w:rFonts w:hint="eastAsia" w:ascii="宋体" w:hAnsi="宋体" w:cs="宋体"/>
                <w:sz w:val="24"/>
                <w:szCs w:val="24"/>
                <w:lang w:val="en-US" w:eastAsia="zh-CN"/>
              </w:rPr>
              <w:t>、总经理</w:t>
            </w:r>
            <w:r>
              <w:rPr>
                <w:rFonts w:hint="default" w:ascii="宋体" w:hAnsi="宋体" w:eastAsia="宋体" w:cs="宋体"/>
                <w:sz w:val="24"/>
                <w:szCs w:val="24"/>
                <w:lang w:val="en-US"/>
              </w:rPr>
              <w:t>杨光答</w:t>
            </w:r>
            <w:r>
              <w:rPr>
                <w:rFonts w:hint="eastAsia" w:ascii="宋体" w:hAnsi="宋体" w:cs="宋体"/>
                <w:sz w:val="24"/>
                <w:szCs w:val="24"/>
                <w:lang w:val="en-US" w:eastAsia="zh-CN"/>
              </w:rPr>
              <w:t>：尊敬的投资者您好！为提升核心盈利能力，公司将持续推进业务转型，强化成本费用管控，优化销售策略，工业板块通过集中采购、工艺优化及产能整合降本，医药商业发力创新业务，医疗器械推进一体化布局，国际贸易深耕新兴市场。公司加大创新布局，品种建设体系化推进，品种储备不断丰富，上半年工业产品实现立项12个，申报10个，获批10个，发明专利申请17项。公司积极推进相关生产平台及转化中心建设，部分产品获得国际认证；同时依托通用技术集团协同优势，强化全产业链竞争力。感谢您的关注！</w:t>
            </w:r>
          </w:p>
        </w:tc>
      </w:tr>
    </w:tbl>
    <w:p w14:paraId="5C405071">
      <w:pPr>
        <w:rPr>
          <w:rFonts w:hint="eastAsia"/>
        </w:rPr>
      </w:pPr>
    </w:p>
    <w:p w14:paraId="4F971998"/>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98D56">
    <w:pPr>
      <w:pStyle w:val="2"/>
      <w:tabs>
        <w:tab w:val="clear" w:pos="4153"/>
      </w:tabs>
      <w:jc w:val="right"/>
    </w:pPr>
    <w:r>
      <w:rPr>
        <w:rFonts w:hint="eastAsia"/>
      </w:rPr>
      <w:t>中国医药健康产业股份有限公司投资者关系活动记录表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111D4D29"/>
    <w:rsid w:val="1CB2496B"/>
    <w:rsid w:val="4337311A"/>
    <w:rsid w:val="4DAF5289"/>
    <w:rsid w:val="55EB1F7F"/>
    <w:rsid w:val="61B42C51"/>
    <w:rsid w:val="670E1BEF"/>
    <w:rsid w:val="79D87B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rPr>
      <w:sz w:val="24"/>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Hyperlink"/>
    <w:basedOn w:val="6"/>
    <w:unhideWhenUsed/>
    <w:qFormat/>
    <w:uiPriority w:val="99"/>
    <w:rPr>
      <w:color w:val="0563C1"/>
      <w:u w:val="single"/>
    </w:rPr>
  </w:style>
  <w:style w:type="paragraph" w:customStyle="1" w:styleId="8">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1419</Words>
  <Characters>1547</Characters>
  <Lines>0</Lines>
  <Paragraphs>0</Paragraphs>
  <TotalTime>4</TotalTime>
  <ScaleCrop>false</ScaleCrop>
  <LinksUpToDate>false</LinksUpToDate>
  <CharactersWithSpaces>1585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ACD</cp:lastModifiedBy>
  <dcterms:modified xsi:type="dcterms:W3CDTF">2025-09-11T08:42:23Z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B627D10F5700417FA5F346AEAE93F508_13</vt:lpwstr>
  </property>
  <property fmtid="{D5CDD505-2E9C-101B-9397-08002B2CF9AE}" pid="4" name="KSOTemplateDocerSaveRecord">
    <vt:lpwstr>eyJoZGlkIjoiYWQ3OGFkMmZiYmFkNTVjMmRmMzZhZjBlMzcyOTQ0NzciLCJ1c2VySWQiOiIxMzExMDkxNTk3In0=</vt:lpwstr>
  </property>
</Properties>
</file>