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DF30">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601107</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四川成渝</w:t>
      </w:r>
    </w:p>
    <w:p w14:paraId="7F6373A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 xml:space="preserve">债券代码：241012.SH                                     </w:t>
      </w:r>
      <w:r>
        <w:rPr>
          <w:rFonts w:hint="default" w:ascii="宋体" w:hAnsi="宋体" w:eastAsia="宋体" w:cs="宋体"/>
          <w:sz w:val="20"/>
          <w:szCs w:val="20"/>
          <w:lang w:val="en-US" w:eastAsia="zh-CN" w:bidi="zh-CN"/>
        </w:rPr>
        <w:t>债券简称</w:t>
      </w:r>
      <w:r>
        <w:rPr>
          <w:rFonts w:hint="eastAsia" w:ascii="宋体" w:hAnsi="宋体" w:eastAsia="宋体" w:cs="宋体"/>
          <w:sz w:val="20"/>
          <w:szCs w:val="20"/>
          <w:lang w:val="en-US" w:eastAsia="zh-CN" w:bidi="zh-CN"/>
        </w:rPr>
        <w:t>：</w:t>
      </w:r>
      <w:r>
        <w:rPr>
          <w:rFonts w:hint="default" w:ascii="宋体" w:hAnsi="宋体" w:eastAsia="宋体" w:cs="宋体"/>
          <w:sz w:val="20"/>
          <w:szCs w:val="20"/>
          <w:lang w:val="en-US" w:eastAsia="zh-CN" w:bidi="zh-CN"/>
        </w:rPr>
        <w:t>24成渝01</w:t>
      </w:r>
    </w:p>
    <w:p w14:paraId="2BC5CC6A">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sz w:val="20"/>
          <w:szCs w:val="20"/>
          <w:lang w:val="en-US" w:eastAsia="zh-CN" w:bidi="zh-CN"/>
        </w:rPr>
      </w:pPr>
      <w:r>
        <w:rPr>
          <w:rFonts w:hint="default" w:ascii="宋体" w:hAnsi="宋体" w:eastAsia="宋体" w:cs="宋体"/>
          <w:sz w:val="20"/>
          <w:szCs w:val="20"/>
          <w:lang w:val="en-US" w:eastAsia="zh-CN" w:bidi="zh-CN"/>
        </w:rPr>
        <w:t xml:space="preserve">债券代码：102485587 </w:t>
      </w:r>
      <w:r>
        <w:rPr>
          <w:rFonts w:hint="eastAsia" w:ascii="宋体" w:hAnsi="宋体" w:eastAsia="宋体" w:cs="宋体"/>
          <w:sz w:val="20"/>
          <w:szCs w:val="20"/>
          <w:lang w:val="en-US" w:eastAsia="zh-CN" w:bidi="zh-CN"/>
        </w:rPr>
        <w:t xml:space="preserve">                                    </w:t>
      </w:r>
      <w:r>
        <w:rPr>
          <w:rFonts w:hint="default" w:ascii="宋体" w:hAnsi="宋体" w:eastAsia="宋体" w:cs="宋体"/>
          <w:sz w:val="20"/>
          <w:szCs w:val="20"/>
          <w:lang w:val="en-US" w:eastAsia="zh-CN" w:bidi="zh-CN"/>
        </w:rPr>
        <w:t>债券简称：24成渝高速MTN001</w:t>
      </w:r>
    </w:p>
    <w:p w14:paraId="4B320312">
      <w:pPr>
        <w:spacing w:line="360" w:lineRule="auto"/>
        <w:jc w:val="center"/>
        <w:rPr>
          <w:rFonts w:ascii="宋体" w:hAnsi="宋体" w:eastAsia="宋体" w:cs="宋体"/>
          <w:b/>
          <w:bCs/>
          <w:color w:val="FF0000"/>
          <w:sz w:val="44"/>
          <w:szCs w:val="44"/>
        </w:rPr>
      </w:pPr>
      <w:r>
        <w:rPr>
          <w:rFonts w:hint="eastAsia" w:ascii="宋体" w:hAnsi="宋体" w:eastAsia="宋体" w:cs="宋体"/>
          <w:b/>
          <w:bCs/>
          <w:color w:val="FF0000"/>
          <w:sz w:val="44"/>
          <w:szCs w:val="44"/>
        </w:rPr>
        <w:t>四川成渝高速公路股份有限公司</w:t>
      </w:r>
    </w:p>
    <w:p w14:paraId="00B8B34B">
      <w:pPr>
        <w:spacing w:line="360" w:lineRule="auto"/>
        <w:jc w:val="center"/>
        <w:rPr>
          <w:rFonts w:ascii="宋体" w:hAnsi="宋体" w:eastAsia="宋体" w:cs="宋体"/>
          <w:color w:val="FF0000"/>
          <w:sz w:val="44"/>
          <w:szCs w:val="44"/>
        </w:rPr>
      </w:pPr>
      <w:r>
        <w:rPr>
          <w:rFonts w:hint="eastAsia" w:ascii="宋体" w:hAnsi="宋体" w:eastAsia="宋体" w:cs="宋体"/>
          <w:b/>
          <w:bCs/>
          <w:color w:val="FF0000"/>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52"/>
        <w:gridCol w:w="5973"/>
      </w:tblGrid>
      <w:tr w14:paraId="61E8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52" w:type="dxa"/>
          </w:tcPr>
          <w:p w14:paraId="5AEEF4F1">
            <w:pPr>
              <w:pStyle w:val="13"/>
              <w:spacing w:before="7"/>
              <w:rPr>
                <w:rFonts w:ascii="宋体" w:hAnsi="宋体" w:eastAsia="宋体" w:cs="宋体"/>
                <w:b/>
                <w:bCs/>
                <w:sz w:val="20"/>
                <w:szCs w:val="20"/>
              </w:rPr>
            </w:pPr>
          </w:p>
          <w:p w14:paraId="564D5F89">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73" w:type="dxa"/>
          </w:tcPr>
          <w:p w14:paraId="45500781">
            <w:pPr>
              <w:pStyle w:val="13"/>
              <w:spacing w:before="7"/>
              <w:rPr>
                <w:rFonts w:ascii="宋体" w:hAnsi="宋体" w:eastAsia="宋体" w:cs="宋体"/>
                <w:sz w:val="20"/>
                <w:szCs w:val="20"/>
              </w:rPr>
            </w:pPr>
          </w:p>
          <w:p w14:paraId="3D624373">
            <w:pPr>
              <w:pStyle w:val="13"/>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416AB9B">
            <w:pPr>
              <w:pStyle w:val="13"/>
              <w:spacing w:before="11"/>
              <w:rPr>
                <w:rFonts w:ascii="宋体" w:hAnsi="宋体" w:eastAsia="宋体" w:cs="宋体"/>
                <w:sz w:val="20"/>
                <w:szCs w:val="20"/>
              </w:rPr>
            </w:pPr>
          </w:p>
          <w:p w14:paraId="3AB93243">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147475815"/>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7F39FE3">
            <w:pPr>
              <w:pStyle w:val="13"/>
              <w:spacing w:before="8"/>
              <w:rPr>
                <w:rFonts w:ascii="宋体" w:hAnsi="宋体" w:eastAsia="宋体" w:cs="宋体"/>
                <w:sz w:val="20"/>
                <w:szCs w:val="20"/>
              </w:rPr>
            </w:pPr>
          </w:p>
          <w:p w14:paraId="681AC6C7">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474647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5AF6EE8D">
            <w:pPr>
              <w:pStyle w:val="13"/>
              <w:spacing w:before="8"/>
              <w:rPr>
                <w:rFonts w:ascii="宋体" w:hAnsi="宋体" w:eastAsia="宋体" w:cs="宋体"/>
                <w:sz w:val="20"/>
                <w:szCs w:val="20"/>
              </w:rPr>
            </w:pPr>
          </w:p>
          <w:p w14:paraId="35CC502E">
            <w:pPr>
              <w:pStyle w:val="13"/>
              <w:ind w:left="107"/>
              <w:rPr>
                <w:rFonts w:ascii="宋体" w:hAnsi="宋体" w:eastAsia="宋体" w:cs="宋体"/>
                <w:sz w:val="20"/>
                <w:szCs w:val="20"/>
              </w:rPr>
            </w:pPr>
            <w:sdt>
              <w:sdtPr>
                <w:rPr>
                  <w:rFonts w:hint="eastAsia" w:ascii="宋体" w:hAnsi="宋体" w:eastAsia="宋体" w:cs="宋体"/>
                  <w:sz w:val="20"/>
                  <w:szCs w:val="20"/>
                </w:rPr>
                <w:id w:val="147459937"/>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现场参观</w:t>
            </w:r>
          </w:p>
          <w:p w14:paraId="18F88EAA">
            <w:pPr>
              <w:pStyle w:val="13"/>
              <w:spacing w:before="11"/>
              <w:rPr>
                <w:rFonts w:ascii="宋体" w:hAnsi="宋体" w:eastAsia="宋体" w:cs="宋体"/>
                <w:sz w:val="20"/>
                <w:szCs w:val="20"/>
              </w:rPr>
            </w:pPr>
          </w:p>
          <w:p w14:paraId="1C8CAAFA">
            <w:pPr>
              <w:pStyle w:val="13"/>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其他</w:t>
            </w:r>
            <w:r>
              <w:rPr>
                <w:rFonts w:hint="eastAsia" w:ascii="宋体" w:hAnsi="宋体" w:eastAsia="宋体" w:cs="宋体"/>
                <w:sz w:val="20"/>
                <w:szCs w:val="20"/>
                <w:u w:val="none"/>
              </w:rPr>
              <w:t>（</w:t>
            </w:r>
            <w:r>
              <w:rPr>
                <w:rFonts w:hint="eastAsia" w:ascii="宋体" w:hAnsi="宋体" w:eastAsia="宋体" w:cs="宋体"/>
                <w:sz w:val="20"/>
                <w:szCs w:val="20"/>
                <w:u w:val="single"/>
              </w:rPr>
              <w:t>请文字说明其他活动内容</w:t>
            </w:r>
            <w:r>
              <w:rPr>
                <w:rFonts w:hint="eastAsia" w:ascii="宋体" w:hAnsi="宋体" w:eastAsia="宋体" w:cs="宋体"/>
                <w:sz w:val="20"/>
                <w:szCs w:val="20"/>
                <w:u w:val="none"/>
              </w:rPr>
              <w:t>）</w:t>
            </w:r>
          </w:p>
        </w:tc>
      </w:tr>
      <w:tr w14:paraId="2BCC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52" w:type="dxa"/>
            <w:vAlign w:val="center"/>
          </w:tcPr>
          <w:p w14:paraId="2FA4DC27">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ind w:left="107" w:right="96"/>
              <w:textAlignment w:val="auto"/>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w:t>
            </w:r>
            <w:r>
              <w:rPr>
                <w:rFonts w:hint="eastAsia" w:cs="宋体" w:asciiTheme="minorEastAsia" w:hAnsiTheme="minorEastAsia" w:eastAsiaTheme="minorEastAsia"/>
                <w:b/>
                <w:bCs/>
                <w:sz w:val="20"/>
                <w:szCs w:val="20"/>
                <w:highlight w:val="none"/>
              </w:rPr>
              <w:t>位名称及</w:t>
            </w:r>
            <w:r>
              <w:rPr>
                <w:rFonts w:hint="eastAsia" w:cs="宋体" w:asciiTheme="minorEastAsia" w:hAnsiTheme="minorEastAsia" w:eastAsiaTheme="minorEastAsia"/>
                <w:b/>
                <w:bCs/>
                <w:sz w:val="20"/>
                <w:szCs w:val="20"/>
              </w:rPr>
              <w:t>人员姓名</w:t>
            </w:r>
          </w:p>
        </w:tc>
        <w:tc>
          <w:tcPr>
            <w:tcW w:w="5973" w:type="dxa"/>
            <w:vAlign w:val="center"/>
          </w:tcPr>
          <w:p w14:paraId="03D908EF">
            <w:pPr>
              <w:pStyle w:val="13"/>
              <w:keepNext w:val="0"/>
              <w:keepLines w:val="0"/>
              <w:pageBreakBefore w:val="0"/>
              <w:widowControl w:val="0"/>
              <w:kinsoku/>
              <w:wordWrap/>
              <w:overflowPunct/>
              <w:topLinePunct w:val="0"/>
              <w:autoSpaceDE w:val="0"/>
              <w:autoSpaceDN w:val="0"/>
              <w:bidi w:val="0"/>
              <w:adjustRightInd/>
              <w:snapToGrid/>
              <w:spacing w:before="100" w:beforeAutospacing="0" w:line="360" w:lineRule="auto"/>
              <w:textAlignment w:val="auto"/>
              <w:rPr>
                <w:rFonts w:hint="default" w:cs="宋体" w:asciiTheme="minorEastAsia" w:hAnsiTheme="minorEastAsia" w:eastAsiaTheme="minorEastAsia"/>
                <w:sz w:val="20"/>
                <w:szCs w:val="20"/>
                <w:lang w:val="en-US" w:eastAsia="zh-CN"/>
              </w:rPr>
            </w:pPr>
            <w:r>
              <w:rPr>
                <w:rFonts w:hint="default" w:cs="宋体" w:asciiTheme="minorEastAsia" w:hAnsiTheme="minorEastAsia" w:eastAsiaTheme="minorEastAsia"/>
                <w:sz w:val="20"/>
                <w:szCs w:val="20"/>
                <w:lang w:val="en-US" w:eastAsia="zh-CN"/>
              </w:rPr>
              <w:t>线上参与四川成渝（601107）202</w:t>
            </w:r>
            <w:r>
              <w:rPr>
                <w:rFonts w:hint="eastAsia" w:cs="宋体" w:asciiTheme="minorEastAsia" w:hAnsiTheme="minorEastAsia" w:eastAsiaTheme="minorEastAsia"/>
                <w:sz w:val="20"/>
                <w:szCs w:val="20"/>
                <w:lang w:val="en-US" w:eastAsia="zh-CN"/>
              </w:rPr>
              <w:t>5年半年度</w:t>
            </w:r>
            <w:r>
              <w:rPr>
                <w:rFonts w:hint="default" w:cs="宋体" w:asciiTheme="minorEastAsia" w:hAnsiTheme="minorEastAsia" w:eastAsiaTheme="minorEastAsia"/>
                <w:sz w:val="20"/>
                <w:szCs w:val="20"/>
                <w:lang w:val="en-US" w:eastAsia="zh-CN"/>
              </w:rPr>
              <w:t>业绩说明会的全体投资者</w:t>
            </w:r>
          </w:p>
        </w:tc>
      </w:tr>
      <w:tr w14:paraId="2C4AE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6" w:hRule="atLeast"/>
          <w:jc w:val="center"/>
        </w:trPr>
        <w:tc>
          <w:tcPr>
            <w:tcW w:w="2552" w:type="dxa"/>
            <w:vAlign w:val="center"/>
          </w:tcPr>
          <w:p w14:paraId="1A320BDE">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73" w:type="dxa"/>
            <w:vAlign w:val="center"/>
          </w:tcPr>
          <w:p w14:paraId="28F3C693">
            <w:pPr>
              <w:keepNext w:val="0"/>
              <w:keepLines w:val="0"/>
              <w:pageBreakBefore w:val="0"/>
              <w:widowControl w:val="0"/>
              <w:kinsoku/>
              <w:wordWrap/>
              <w:overflowPunct/>
              <w:topLinePunct w:val="0"/>
              <w:autoSpaceDE w:val="0"/>
              <w:autoSpaceDN w:val="0"/>
              <w:bidi w:val="0"/>
              <w:adjustRightInd/>
              <w:snapToGrid/>
              <w:spacing w:before="100" w:beforeAutospacing="0" w:line="360" w:lineRule="auto"/>
              <w:textAlignment w:val="auto"/>
              <w:rPr>
                <w:rFonts w:hint="default" w:eastAsiaTheme="minorEastAsia"/>
                <w:sz w:val="20"/>
                <w:szCs w:val="20"/>
                <w:lang w:val="en-US" w:eastAsia="zh-CN"/>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12</w:t>
            </w:r>
            <w:r>
              <w:rPr>
                <w:rFonts w:hint="eastAsia" w:asciiTheme="minorEastAsia" w:hAnsiTheme="minorEastAsia" w:eastAsiaTheme="minorEastAsia" w:cstheme="minorEastAsia"/>
                <w:sz w:val="20"/>
                <w:szCs w:val="20"/>
              </w:rPr>
              <w:t>日</w:t>
            </w:r>
            <w:r>
              <w:rPr>
                <w:rFonts w:hint="eastAsia" w:asciiTheme="minorEastAsia" w:hAnsiTheme="minorEastAsia" w:eastAsiaTheme="minorEastAsia" w:cstheme="minorEastAsia"/>
                <w:sz w:val="20"/>
                <w:szCs w:val="20"/>
                <w:lang w:val="en-US" w:eastAsia="zh-CN"/>
              </w:rPr>
              <w:t>14:00-17:00</w:t>
            </w:r>
          </w:p>
        </w:tc>
      </w:tr>
      <w:tr w14:paraId="31864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4" w:hRule="atLeast"/>
          <w:jc w:val="center"/>
        </w:trPr>
        <w:tc>
          <w:tcPr>
            <w:tcW w:w="2552" w:type="dxa"/>
            <w:vAlign w:val="center"/>
          </w:tcPr>
          <w:p w14:paraId="2798FFE5">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73" w:type="dxa"/>
            <w:vAlign w:val="center"/>
          </w:tcPr>
          <w:p w14:paraId="10F3306B">
            <w:pPr>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line="240" w:lineRule="auto"/>
              <w:jc w:val="both"/>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线上</w:t>
            </w:r>
            <w:r>
              <w:rPr>
                <w:rFonts w:hint="eastAsia" w:cs="宋体" w:asciiTheme="minorEastAsia" w:hAnsiTheme="minorEastAsia" w:eastAsiaTheme="minorEastAsia"/>
                <w:sz w:val="20"/>
                <w:szCs w:val="20"/>
                <w:lang w:eastAsia="zh-CN"/>
              </w:rPr>
              <w:t>－</w:t>
            </w:r>
            <w:r>
              <w:rPr>
                <w:rFonts w:hint="default" w:cs="宋体" w:asciiTheme="minorEastAsia" w:hAnsiTheme="minorEastAsia" w:eastAsiaTheme="minorEastAsia"/>
                <w:b w:val="0"/>
                <w:bCs w:val="0"/>
                <w:color w:val="auto"/>
                <w:sz w:val="20"/>
                <w:szCs w:val="20"/>
                <w:lang w:val="en-US" w:eastAsia="zh-CN" w:bidi="ar-SA"/>
              </w:rPr>
              <w:t>四川辖区2025年投资者网上集体接待日及半年度报告业绩说明会活动</w:t>
            </w:r>
          </w:p>
        </w:tc>
      </w:tr>
      <w:tr w14:paraId="59AB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411" w:hRule="atLeast"/>
          <w:jc w:val="center"/>
        </w:trPr>
        <w:tc>
          <w:tcPr>
            <w:tcW w:w="2552" w:type="dxa"/>
            <w:vAlign w:val="center"/>
          </w:tcPr>
          <w:p w14:paraId="697A7005">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73" w:type="dxa"/>
            <w:vAlign w:val="center"/>
          </w:tcPr>
          <w:p w14:paraId="0D1A0A3B">
            <w:pPr>
              <w:pStyle w:val="13"/>
              <w:adjustRightInd w:val="0"/>
              <w:snapToGrid w:val="0"/>
              <w:spacing w:line="240" w:lineRule="auto"/>
              <w:ind w:firstLineChars="200"/>
              <w:rPr>
                <w:rFonts w:ascii="宋体" w:hAnsi="宋体" w:eastAsia="宋体" w:cs="宋体"/>
                <w:bCs w:val="0"/>
                <w:sz w:val="20"/>
                <w:szCs w:val="20"/>
              </w:rPr>
            </w:pPr>
            <w:r>
              <w:rPr>
                <w:rFonts w:hint="default" w:ascii="宋体" w:hAnsi="宋体" w:eastAsia="宋体" w:cs="宋体"/>
                <w:bCs w:val="0"/>
                <w:sz w:val="20"/>
                <w:szCs w:val="20"/>
              </w:rPr>
              <w:t>董事长：罗祖义先生</w:t>
            </w:r>
          </w:p>
          <w:p w14:paraId="2466CE23">
            <w:pPr>
              <w:pStyle w:val="13"/>
              <w:adjustRightInd w:val="0"/>
              <w:snapToGrid w:val="0"/>
              <w:spacing w:line="240" w:lineRule="auto"/>
              <w:ind w:firstLineChars="200"/>
              <w:rPr>
                <w:rFonts w:ascii="宋体" w:hAnsi="宋体" w:eastAsia="宋体" w:cs="宋体"/>
                <w:bCs w:val="0"/>
                <w:sz w:val="20"/>
                <w:szCs w:val="20"/>
              </w:rPr>
            </w:pPr>
            <w:r>
              <w:rPr>
                <w:rFonts w:hint="default" w:ascii="宋体" w:hAnsi="宋体" w:eastAsia="宋体" w:cs="宋体"/>
                <w:bCs w:val="0"/>
                <w:sz w:val="20"/>
                <w:szCs w:val="20"/>
              </w:rPr>
              <w:t>副董事长、总经理：游志明先生</w:t>
            </w:r>
          </w:p>
          <w:p w14:paraId="084DF52F">
            <w:pPr>
              <w:pStyle w:val="13"/>
              <w:adjustRightInd w:val="0"/>
              <w:snapToGrid w:val="0"/>
              <w:spacing w:line="240" w:lineRule="auto"/>
              <w:ind w:firstLineChars="200"/>
              <w:rPr>
                <w:rFonts w:ascii="宋体" w:hAnsi="宋体" w:eastAsia="宋体" w:cs="宋体"/>
                <w:bCs w:val="0"/>
                <w:sz w:val="20"/>
                <w:szCs w:val="20"/>
              </w:rPr>
            </w:pPr>
            <w:r>
              <w:rPr>
                <w:rFonts w:hint="default" w:ascii="宋体" w:hAnsi="宋体" w:eastAsia="宋体" w:cs="宋体"/>
                <w:bCs w:val="0"/>
                <w:sz w:val="20"/>
                <w:szCs w:val="20"/>
              </w:rPr>
              <w:t>财务总监：郭人荣先生</w:t>
            </w:r>
          </w:p>
          <w:p w14:paraId="6D185AE3">
            <w:pPr>
              <w:pStyle w:val="13"/>
              <w:adjustRightInd w:val="0"/>
              <w:snapToGrid w:val="0"/>
              <w:spacing w:line="240" w:lineRule="auto"/>
              <w:ind w:firstLineChars="200"/>
              <w:rPr>
                <w:rFonts w:ascii="宋体" w:hAnsi="宋体" w:eastAsia="宋体" w:cs="宋体"/>
                <w:bCs w:val="0"/>
                <w:sz w:val="20"/>
                <w:szCs w:val="20"/>
              </w:rPr>
            </w:pPr>
            <w:r>
              <w:rPr>
                <w:rFonts w:hint="default" w:ascii="宋体" w:hAnsi="宋体" w:eastAsia="宋体" w:cs="宋体"/>
                <w:bCs w:val="0"/>
                <w:sz w:val="20"/>
                <w:szCs w:val="20"/>
              </w:rPr>
              <w:t>董事会秘书：姚建成先生</w:t>
            </w:r>
          </w:p>
          <w:p w14:paraId="55AEE450">
            <w:pPr>
              <w:pStyle w:val="13"/>
              <w:keepNext w:val="0"/>
              <w:keepLines w:val="0"/>
              <w:pageBreakBefore w:val="0"/>
              <w:widowControl/>
              <w:kinsoku/>
              <w:wordWrap/>
              <w:overflowPunct/>
              <w:topLinePunct w:val="0"/>
              <w:autoSpaceDE/>
              <w:autoSpaceDN/>
              <w:bidi w:val="0"/>
              <w:adjustRightInd w:val="0"/>
              <w:snapToGrid w:val="0"/>
              <w:spacing w:beforeAutospacing="0" w:line="240" w:lineRule="auto"/>
              <w:ind w:firstLineChars="200"/>
              <w:textAlignment w:val="auto"/>
              <w:rPr>
                <w:rFonts w:ascii="宋体" w:hAnsi="宋体" w:eastAsia="宋体" w:cs="宋体"/>
                <w:sz w:val="20"/>
                <w:szCs w:val="20"/>
              </w:rPr>
            </w:pPr>
            <w:r>
              <w:rPr>
                <w:rFonts w:hint="default" w:ascii="宋体" w:hAnsi="宋体" w:eastAsia="宋体" w:cs="宋体"/>
                <w:bCs w:val="0"/>
                <w:sz w:val="20"/>
                <w:szCs w:val="20"/>
              </w:rPr>
              <w:t>独立董事：步丹璐女士</w:t>
            </w:r>
          </w:p>
        </w:tc>
      </w:tr>
      <w:tr w14:paraId="70CD7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53" w:hRule="atLeast"/>
          <w:jc w:val="center"/>
        </w:trPr>
        <w:tc>
          <w:tcPr>
            <w:tcW w:w="2552" w:type="dxa"/>
          </w:tcPr>
          <w:p w14:paraId="576B59F8">
            <w:pPr>
              <w:pStyle w:val="13"/>
              <w:rPr>
                <w:rFonts w:ascii="宋体" w:hAnsi="宋体" w:eastAsia="宋体" w:cs="宋体"/>
                <w:b/>
                <w:bCs/>
                <w:sz w:val="20"/>
                <w:szCs w:val="20"/>
              </w:rPr>
            </w:pPr>
          </w:p>
          <w:p w14:paraId="2025C3B8">
            <w:pPr>
              <w:pStyle w:val="13"/>
              <w:rPr>
                <w:rFonts w:ascii="宋体" w:hAnsi="宋体" w:eastAsia="宋体" w:cs="宋体"/>
                <w:b/>
                <w:bCs/>
                <w:sz w:val="20"/>
                <w:szCs w:val="20"/>
              </w:rPr>
            </w:pPr>
          </w:p>
          <w:p w14:paraId="76E73793">
            <w:pPr>
              <w:pStyle w:val="13"/>
              <w:spacing w:before="5"/>
              <w:rPr>
                <w:rFonts w:ascii="宋体" w:hAnsi="宋体" w:eastAsia="宋体" w:cs="宋体"/>
                <w:b/>
                <w:bCs/>
                <w:sz w:val="20"/>
                <w:szCs w:val="20"/>
              </w:rPr>
            </w:pPr>
          </w:p>
          <w:p w14:paraId="260F4007">
            <w:pPr>
              <w:pStyle w:val="13"/>
              <w:spacing w:before="1" w:line="499" w:lineRule="auto"/>
              <w:ind w:left="107" w:right="96"/>
              <w:rPr>
                <w:rFonts w:hint="eastAsia" w:ascii="宋体" w:hAnsi="宋体" w:eastAsia="宋体" w:cs="宋体"/>
                <w:b/>
                <w:bCs/>
                <w:sz w:val="20"/>
                <w:szCs w:val="20"/>
              </w:rPr>
            </w:pPr>
            <w:r>
              <w:rPr>
                <w:rFonts w:hint="eastAsia" w:ascii="宋体" w:hAnsi="宋体" w:eastAsia="宋体" w:cs="宋体"/>
                <w:b/>
                <w:bCs/>
                <w:sz w:val="20"/>
                <w:szCs w:val="20"/>
              </w:rPr>
              <w:t>投资者关系活动</w:t>
            </w:r>
          </w:p>
          <w:p w14:paraId="648439DA">
            <w:pPr>
              <w:pStyle w:val="13"/>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主要内容介绍</w:t>
            </w:r>
          </w:p>
        </w:tc>
        <w:tc>
          <w:tcPr>
            <w:tcW w:w="5973" w:type="dxa"/>
          </w:tcPr>
          <w:p w14:paraId="2FE038D4">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1.成乐高速扩容项目预计今年通车，该项目国补资金今年能到位吗？谢谢！</w:t>
            </w:r>
          </w:p>
          <w:p w14:paraId="7497C506">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答：目前成乐改扩建项目还在修建过程中，预计今年不会通车；具体项目进程，届时请关注公司公告。</w:t>
            </w:r>
          </w:p>
          <w:p w14:paraId="76D1A64A">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2、请问城北高速已到期，对公司有什么影响？</w:t>
            </w:r>
          </w:p>
          <w:p w14:paraId="291E5A73">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color w:val="auto"/>
                <w:sz w:val="20"/>
                <w:szCs w:val="20"/>
                <w:lang w:val="en-US" w:eastAsia="zh-CN"/>
              </w:rPr>
            </w:pPr>
            <w:r>
              <w:rPr>
                <w:rFonts w:hint="eastAsia" w:ascii="宋体" w:hAnsi="宋体" w:eastAsia="宋体" w:cs="宋体"/>
                <w:b w:val="0"/>
                <w:bCs w:val="0"/>
                <w:color w:val="auto"/>
                <w:sz w:val="20"/>
                <w:szCs w:val="20"/>
                <w:lang w:val="en-US" w:eastAsia="zh-CN"/>
              </w:rPr>
              <w:t>答：城北出口高速已于2025年9月17日收费期限届满，根据四川省交通运输厅的通告，自2025年9月17日24时起，城北出口高速停止收费，对通行该路段所有车辆免收车辆通行费。</w:t>
            </w:r>
            <w:r>
              <w:rPr>
                <w:rFonts w:hint="eastAsia" w:ascii="宋体" w:hAnsi="宋体" w:eastAsia="宋体" w:cs="宋体"/>
                <w:color w:val="auto"/>
                <w:sz w:val="20"/>
                <w:szCs w:val="20"/>
                <w:lang w:val="en-US" w:eastAsia="zh-CN"/>
              </w:rPr>
              <w:t>城北高速全长10公里左右，2024年度通行费收入总计为10,329.7万元，占公司2024年度通行费收入总额477,713.53万元的比重较小，收费期限届满不会对公司业绩产生重要影响</w:t>
            </w:r>
            <w:r>
              <w:rPr>
                <w:rFonts w:hint="default" w:ascii="宋体" w:hAnsi="宋体" w:eastAsia="宋体" w:cs="宋体"/>
                <w:color w:val="auto"/>
                <w:sz w:val="20"/>
                <w:szCs w:val="20"/>
                <w:lang w:val="en-US" w:eastAsia="zh-CN"/>
              </w:rPr>
              <w:t>。</w:t>
            </w:r>
          </w:p>
          <w:p w14:paraId="77B72F27">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3、公司的成雅改扩建项目为什么要组成联合体？公司为什么不单独做？</w:t>
            </w:r>
          </w:p>
          <w:p w14:paraId="37679A33">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答：一是控制资本开支。本项目估算总投资约为人民币285.48亿元，项目资本金为总投资的20.20%，约为57.67亿元，由联合体成员按照其在项目公司的股权比例承担，其中公司出资约49.02亿元，占比85%；华西股份出资约5.77亿元，占比10%；交建集团出资约1.73亿元，占比3%；路桥集团出资约0.58亿元，占比1%；高路信息出资约0.58亿元，占比1%。二是充分发挥联合体的优势。成雅改扩建项目不仅投资规模大，还涉及公路、房建工程施工、高速公路交安、机电、大数据协同等多个复杂环节，单一企业难以高效覆盖全链条需求。此次联合的交建集团、路桥集团、高路信息、华西股份，均在各自领域具备突出且不可替代的优势，通过联合体模式可实现资源互补、能力协同，最大化提升项目推进效率与建设质量。</w:t>
            </w:r>
          </w:p>
          <w:p w14:paraId="2CCA42D0">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val="0"/>
                <w:bCs w:val="0"/>
                <w:color w:val="auto"/>
                <w:sz w:val="20"/>
                <w:szCs w:val="20"/>
                <w:lang w:val="en-US" w:eastAsia="zh-CN"/>
              </w:rPr>
            </w:pPr>
            <w:r>
              <w:rPr>
                <w:rFonts w:hint="eastAsia" w:ascii="宋体" w:hAnsi="宋体" w:eastAsia="宋体" w:cs="宋体"/>
                <w:b/>
                <w:bCs/>
                <w:color w:val="auto"/>
                <w:sz w:val="20"/>
                <w:szCs w:val="20"/>
                <w:lang w:val="en-US" w:eastAsia="zh-CN"/>
              </w:rPr>
              <w:t>4</w:t>
            </w:r>
            <w:r>
              <w:rPr>
                <w:rFonts w:hint="default" w:ascii="宋体" w:hAnsi="宋体" w:eastAsia="宋体" w:cs="宋体"/>
                <w:b/>
                <w:bCs/>
                <w:color w:val="auto"/>
                <w:sz w:val="20"/>
                <w:szCs w:val="20"/>
                <w:lang w:val="en-US" w:eastAsia="zh-CN"/>
              </w:rPr>
              <w:t>、公司未来的分红计划？</w:t>
            </w:r>
          </w:p>
          <w:p w14:paraId="11065EEB">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答：</w:t>
            </w:r>
            <w:r>
              <w:rPr>
                <w:rFonts w:hint="default" w:ascii="宋体" w:hAnsi="宋体" w:eastAsia="宋体" w:cs="宋体"/>
                <w:b w:val="0"/>
                <w:bCs w:val="0"/>
                <w:color w:val="auto"/>
                <w:sz w:val="20"/>
                <w:szCs w:val="20"/>
                <w:lang w:val="en-US" w:eastAsia="zh-CN"/>
              </w:rPr>
              <w:t>2024年初，公司发布3年股东回报规划，2023-2025年度现金分红比例不低于60%。2024年度公司拟派息0.29元/股，分红比例达60.79%，2025年将继续维持此分红比例。未来，公司将综合考虑行业监管导向与政策环境、公司自身发展战略需求和经营业绩、全体股东实现价值最大化的意愿，继续推行稳定的现金分红，积极回报投资者。</w:t>
            </w:r>
          </w:p>
          <w:p w14:paraId="19BB1CB2">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5</w:t>
            </w:r>
            <w:r>
              <w:rPr>
                <w:rFonts w:hint="default" w:ascii="宋体" w:hAnsi="宋体" w:eastAsia="宋体" w:cs="宋体"/>
                <w:b/>
                <w:bCs/>
                <w:color w:val="auto"/>
                <w:sz w:val="20"/>
                <w:szCs w:val="20"/>
                <w:lang w:val="en-US" w:eastAsia="zh-CN"/>
              </w:rPr>
              <w:t>、公司中期营业收入下降的主要原因是什么？</w:t>
            </w:r>
          </w:p>
          <w:p w14:paraId="023E93FE">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报告期内营业收入有所下降，主要源于建造服务收入下降：天邛高速项目已于去年9月顺利完工，同时成乐扩容项目也已进入建设后期，工程收入少于去年同期。此外，受市场环境影响，贸易业务收入规模也有所调整。需要特别说明的是，上述两类业务的收入变化同步对应成本变化，因此并未对公司整体利润构成实质影响，公司的核心盈利能力持续稳健。</w:t>
            </w:r>
          </w:p>
          <w:p w14:paraId="2EC393B4">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6</w:t>
            </w:r>
            <w:r>
              <w:rPr>
                <w:rFonts w:hint="default" w:ascii="宋体" w:hAnsi="宋体" w:eastAsia="宋体" w:cs="宋体"/>
                <w:b/>
                <w:bCs/>
                <w:color w:val="auto"/>
                <w:sz w:val="20"/>
                <w:szCs w:val="20"/>
                <w:lang w:val="en-US" w:eastAsia="zh-CN"/>
              </w:rPr>
              <w:t>、2025年中期利润增长显著的主要原因是什么？</w:t>
            </w:r>
          </w:p>
          <w:p w14:paraId="14A4B8F4">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本期利润实现显著增长，核心在于公司成本控制工作效果显著。具体体现在两方面：其一，公司大力优化债务结构，通过多元举措成功减少有息负债规模并降低利率，使得报告期内财务费用同比大幅减少31.13%；其二，公司持续推进内部整合与精益化管理，顺利完成运营路公司“7合3”及市场化企业“7合1”的重组工作，有效削减运营成本，显著提高了管理效率，上述两方面共同促进了利润的增长 。</w:t>
            </w:r>
          </w:p>
          <w:p w14:paraId="122D1C75">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val="0"/>
                <w:bCs w:val="0"/>
                <w:color w:val="auto"/>
                <w:sz w:val="20"/>
                <w:szCs w:val="20"/>
                <w:lang w:val="en-US" w:eastAsia="zh-CN"/>
              </w:rPr>
            </w:pPr>
            <w:r>
              <w:rPr>
                <w:rFonts w:hint="eastAsia" w:ascii="宋体" w:hAnsi="宋体" w:eastAsia="宋体" w:cs="宋体"/>
                <w:b/>
                <w:bCs/>
                <w:color w:val="auto"/>
                <w:sz w:val="20"/>
                <w:szCs w:val="20"/>
                <w:lang w:val="en-US" w:eastAsia="zh-CN"/>
              </w:rPr>
              <w:t>7</w:t>
            </w:r>
            <w:r>
              <w:rPr>
                <w:rFonts w:hint="default" w:ascii="宋体" w:hAnsi="宋体" w:eastAsia="宋体" w:cs="宋体"/>
                <w:b/>
                <w:bCs/>
                <w:color w:val="auto"/>
                <w:sz w:val="20"/>
                <w:szCs w:val="20"/>
                <w:lang w:val="en-US" w:eastAsia="zh-CN"/>
              </w:rPr>
              <w:t>、2025股东投资回报计划到期后，是否会重新制定新的投资计划？</w:t>
            </w:r>
          </w:p>
          <w:p w14:paraId="4D4A238D">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答：目前公司尚未制定新的股东回报规划。后续若有相关制定及调整安排，公司将严格按照信息披露规则及时发布公告，敬请您关注公司届时的公告内容。</w:t>
            </w:r>
          </w:p>
          <w:p w14:paraId="3FAB9792">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val="0"/>
                <w:bCs w:val="0"/>
                <w:color w:val="auto"/>
                <w:sz w:val="20"/>
                <w:szCs w:val="20"/>
                <w:lang w:val="en-US" w:eastAsia="zh-CN"/>
              </w:rPr>
            </w:pPr>
            <w:r>
              <w:rPr>
                <w:rFonts w:hint="eastAsia" w:ascii="宋体" w:hAnsi="宋体" w:eastAsia="宋体" w:cs="宋体"/>
                <w:b/>
                <w:bCs/>
                <w:color w:val="auto"/>
                <w:sz w:val="20"/>
                <w:szCs w:val="20"/>
                <w:lang w:val="en-US" w:eastAsia="zh-CN"/>
              </w:rPr>
              <w:t>8</w:t>
            </w:r>
            <w:r>
              <w:rPr>
                <w:rFonts w:hint="default" w:ascii="宋体" w:hAnsi="宋体" w:eastAsia="宋体" w:cs="宋体"/>
                <w:b/>
                <w:bCs/>
                <w:color w:val="auto"/>
                <w:sz w:val="20"/>
                <w:szCs w:val="20"/>
                <w:lang w:val="en-US" w:eastAsia="zh-CN"/>
              </w:rPr>
              <w:t>、请问贵公司每年分红比例还有提升空间吗？公司这几年业绩较好，主要有哪些举措？</w:t>
            </w:r>
          </w:p>
          <w:p w14:paraId="30BC89DF">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2023-2025年度公司现金分红比例不低于60%，该分红政策目前保持稳定，暂无提高分红比例的新规划。公司近年业绩稳健增长，核心得益于持续推进降本增效工作，一方面是优化财务结构，另一方面是深化内部整合与精益化管理，从运营各环节挖潜增效，降低成本消耗。</w:t>
            </w:r>
          </w:p>
          <w:p w14:paraId="28B46FF8">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9</w:t>
            </w:r>
            <w:r>
              <w:rPr>
                <w:rFonts w:hint="default" w:ascii="宋体" w:hAnsi="宋体" w:eastAsia="宋体" w:cs="宋体"/>
                <w:b/>
                <w:bCs/>
                <w:color w:val="auto"/>
                <w:sz w:val="20"/>
                <w:szCs w:val="20"/>
                <w:lang w:val="en-US" w:eastAsia="zh-CN"/>
              </w:rPr>
              <w:t>、公司持有的路产成渝高速经营期将于27年到期，届时公司在经营路产规模会受到较大影响，公司近期是否有收并购计划？公司大股东持有大量川内路产，蜀道集团也承诺排除同质化竞争，请问是否有资产注入计划呢？公司股东回报指引25年即将到期，请问是否有制定26年-28年未来三年的股东回报计划的安排？</w:t>
            </w:r>
          </w:p>
          <w:p w14:paraId="5B98013F">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答：根据公司战略部署，蜀道集团会一如既往支持公司发展。后续若有收并购计划及股东回报的新规划，公司将及时予以公告。</w:t>
            </w:r>
          </w:p>
          <w:p w14:paraId="16942E0C">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1</w:t>
            </w:r>
            <w:r>
              <w:rPr>
                <w:rFonts w:hint="eastAsia" w:ascii="宋体" w:hAnsi="宋体" w:eastAsia="宋体" w:cs="宋体"/>
                <w:b/>
                <w:bCs/>
                <w:color w:val="auto"/>
                <w:sz w:val="20"/>
                <w:szCs w:val="20"/>
                <w:lang w:val="en-US" w:eastAsia="zh-CN"/>
              </w:rPr>
              <w:t>0</w:t>
            </w:r>
            <w:r>
              <w:rPr>
                <w:rFonts w:hint="default" w:ascii="宋体" w:hAnsi="宋体" w:eastAsia="宋体" w:cs="宋体"/>
                <w:b/>
                <w:bCs/>
                <w:color w:val="auto"/>
                <w:sz w:val="20"/>
                <w:szCs w:val="20"/>
                <w:lang w:val="en-US" w:eastAsia="zh-CN"/>
              </w:rPr>
              <w:t>、成乐高速扩容项目今年预计完工，该项目的国补资金今年能到位吗？</w:t>
            </w:r>
          </w:p>
          <w:p w14:paraId="646DA2CC">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答：目前成乐改扩建项目还在修建过程中，预计今年不会通车；具体项目进程，届时请关注公司公告。</w:t>
            </w:r>
          </w:p>
          <w:p w14:paraId="00E7A5CB">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1</w:t>
            </w:r>
            <w:r>
              <w:rPr>
                <w:rFonts w:hint="eastAsia" w:ascii="宋体" w:hAnsi="宋体" w:eastAsia="宋体" w:cs="宋体"/>
                <w:b/>
                <w:bCs/>
                <w:color w:val="auto"/>
                <w:sz w:val="20"/>
                <w:szCs w:val="20"/>
                <w:lang w:val="en-US" w:eastAsia="zh-CN"/>
              </w:rPr>
              <w:t>1</w:t>
            </w:r>
            <w:r>
              <w:rPr>
                <w:rFonts w:hint="default" w:ascii="宋体" w:hAnsi="宋体" w:eastAsia="宋体" w:cs="宋体"/>
                <w:b/>
                <w:bCs/>
                <w:color w:val="auto"/>
                <w:sz w:val="20"/>
                <w:szCs w:val="20"/>
                <w:lang w:val="en-US" w:eastAsia="zh-CN"/>
              </w:rPr>
              <w:t>、如果高速公路收费管理条例今年或者明年初能推出，且收费年限达40年这对成渝公司的经营有何影响？</w:t>
            </w:r>
          </w:p>
          <w:p w14:paraId="06701886">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答：最终影响程度还需关注条例的具体细则，包括收费标准是否调整、延长收费年限的具体实施条件等。公司也将密切关注政策动态，及时做好战略应对。</w:t>
            </w:r>
          </w:p>
          <w:p w14:paraId="2EDAE590">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1</w:t>
            </w:r>
            <w:r>
              <w:rPr>
                <w:rFonts w:hint="eastAsia" w:ascii="宋体" w:hAnsi="宋体" w:eastAsia="宋体" w:cs="宋体"/>
                <w:b/>
                <w:bCs/>
                <w:color w:val="auto"/>
                <w:sz w:val="20"/>
                <w:szCs w:val="20"/>
                <w:lang w:val="en-US" w:eastAsia="zh-CN"/>
              </w:rPr>
              <w:t>2</w:t>
            </w:r>
            <w:r>
              <w:rPr>
                <w:rFonts w:hint="default" w:ascii="宋体" w:hAnsi="宋体" w:eastAsia="宋体" w:cs="宋体"/>
                <w:b/>
                <w:bCs/>
                <w:color w:val="auto"/>
                <w:sz w:val="20"/>
                <w:szCs w:val="20"/>
                <w:lang w:val="en-US" w:eastAsia="zh-CN"/>
              </w:rPr>
              <w:t>、成都二绕高速的经营情况没有达到预期，蜀道集团的业绩补偿款什么时候能到位？</w:t>
            </w:r>
          </w:p>
          <w:p w14:paraId="436A1388">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答：蓉城二绕西虽然阶段性业绩未达预期，但仍处于持续盈利状态。公司一直在持续开展降本增效工作，强化高速公路引流、稽核打逃等创收举措。根据蜀道高速、蜀道集团与本公司的业绩承诺，若2023</w:t>
            </w:r>
            <w:r>
              <w:rPr>
                <w:rFonts w:hint="eastAsia" w:ascii="宋体" w:hAnsi="宋体" w:eastAsia="宋体" w:cs="宋体"/>
                <w:b w:val="0"/>
                <w:bCs w:val="0"/>
                <w:color w:val="auto"/>
                <w:sz w:val="20"/>
                <w:szCs w:val="20"/>
                <w:lang w:val="en-US" w:eastAsia="zh-CN"/>
              </w:rPr>
              <w:t>—</w:t>
            </w:r>
            <w:r>
              <w:rPr>
                <w:rFonts w:hint="default" w:ascii="宋体" w:hAnsi="宋体" w:eastAsia="宋体" w:cs="宋体"/>
                <w:b w:val="0"/>
                <w:bCs w:val="0"/>
                <w:color w:val="auto"/>
                <w:sz w:val="20"/>
                <w:szCs w:val="20"/>
                <w:lang w:val="en-US" w:eastAsia="zh-CN"/>
              </w:rPr>
              <w:t>2029年实际净利润实现值未达到评估预测值，将给予公司业绩补偿。</w:t>
            </w:r>
          </w:p>
          <w:p w14:paraId="4A8A80B7">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1</w:t>
            </w:r>
            <w:r>
              <w:rPr>
                <w:rFonts w:hint="eastAsia" w:ascii="宋体" w:hAnsi="宋体" w:eastAsia="宋体" w:cs="宋体"/>
                <w:b/>
                <w:bCs/>
                <w:color w:val="auto"/>
                <w:sz w:val="20"/>
                <w:szCs w:val="20"/>
                <w:lang w:val="en-US" w:eastAsia="zh-CN"/>
              </w:rPr>
              <w:t>3</w:t>
            </w:r>
            <w:r>
              <w:rPr>
                <w:rFonts w:hint="default" w:ascii="宋体" w:hAnsi="宋体" w:eastAsia="宋体" w:cs="宋体"/>
                <w:b/>
                <w:bCs/>
                <w:color w:val="auto"/>
                <w:sz w:val="20"/>
                <w:szCs w:val="20"/>
                <w:lang w:val="en-US" w:eastAsia="zh-CN"/>
              </w:rPr>
              <w:t>、成绵、城北高速收费期已届满，而公司运营的成都机场高速、成雅、成乐等路段也已达到或即将达到收费期。请问公司如何应对运营路段收费陆续到期的影响？是否已制定系统性措施保障未来业绩？另外，部分路段的扩容项目是否会延长该路的收费期限？</w:t>
            </w:r>
          </w:p>
          <w:p w14:paraId="69EB3FAC">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default" w:ascii="宋体" w:hAnsi="宋体" w:eastAsia="宋体" w:cs="宋体"/>
                <w:b w:val="0"/>
                <w:bCs w:val="0"/>
                <w:color w:val="auto"/>
                <w:sz w:val="20"/>
                <w:szCs w:val="20"/>
                <w:lang w:val="en-US" w:eastAsia="zh-CN"/>
              </w:rPr>
            </w:pPr>
            <w:r>
              <w:rPr>
                <w:rFonts w:hint="default" w:ascii="宋体" w:hAnsi="宋体" w:eastAsia="宋体" w:cs="宋体"/>
                <w:b w:val="0"/>
                <w:bCs w:val="0"/>
                <w:color w:val="auto"/>
                <w:sz w:val="20"/>
                <w:szCs w:val="20"/>
                <w:lang w:val="en-US" w:eastAsia="zh-CN"/>
              </w:rPr>
              <w:t>答：感谢您的关注。成绵高速不是本公司路产；城北高速通行费收入占公司年度通行费总额比重较小，收费期限届满不会对公司业绩产生重要影响。目前，公司已制定一系列系统性措施，以积极应对部分运营路段收费陆续到期带来的挑战。一方面是快速推进成乐及成雅扩容项目施工建设工作。通过扩容，不仅能提升道路通行能力，满足日益增长的交通需求，还能延长收费期限，为公司持续带来稳定的通行费收入。另一方面公司将持续开展降本增效工作，通过深化改革、科技赋能等手段降低高速公路运营成本，优化财务结构，提升公司整体运营水平，增强盈利能力。</w:t>
            </w:r>
          </w:p>
          <w:p w14:paraId="7815834F">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2" w:firstLineChars="200"/>
              <w:jc w:val="both"/>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14、公司在低空经济业务上具体有何布局或未来有何打算，具体落实到应用场景上是怎样一个盈利模式，谢谢。</w:t>
            </w:r>
          </w:p>
          <w:p w14:paraId="72A390E8">
            <w:pPr>
              <w:keepNext w:val="0"/>
              <w:keepLines w:val="0"/>
              <w:pageBreakBefore w:val="0"/>
              <w:widowControl w:val="0"/>
              <w:numPr>
                <w:ilvl w:val="0"/>
                <w:numId w:val="0"/>
              </w:numPr>
              <w:kinsoku/>
              <w:wordWrap/>
              <w:overflowPunct/>
              <w:topLinePunct w:val="0"/>
              <w:autoSpaceDE/>
              <w:autoSpaceDN/>
              <w:bidi w:val="0"/>
              <w:adjustRightInd/>
              <w:snapToGrid/>
              <w:spacing w:before="80" w:line="360" w:lineRule="auto"/>
              <w:ind w:firstLine="400" w:firstLineChars="200"/>
              <w:jc w:val="both"/>
              <w:textAlignment w:val="auto"/>
              <w:rPr>
                <w:rFonts w:hint="eastAsia" w:ascii="宋体" w:hAnsi="宋体" w:eastAsia="宋体" w:cs="宋体"/>
                <w:sz w:val="20"/>
                <w:szCs w:val="20"/>
                <w:lang w:eastAsia="zh-CN"/>
              </w:rPr>
            </w:pPr>
            <w:r>
              <w:rPr>
                <w:rFonts w:hint="default" w:ascii="宋体" w:hAnsi="宋体" w:eastAsia="宋体" w:cs="宋体"/>
                <w:b w:val="0"/>
                <w:bCs w:val="0"/>
                <w:color w:val="auto"/>
                <w:sz w:val="20"/>
                <w:szCs w:val="20"/>
                <w:lang w:val="en-US" w:eastAsia="zh-CN"/>
              </w:rPr>
              <w:t>答：感谢您的关注。公司已在成仁高速试点应用无人机智能巡逻项目。无人机智能巡逻项目是省内首家在高速公路禁飞区域成功申请无人机巡逻航线的企业。成本方面，单次巡逻18公里仅耗电0.6度，经济效益突出；识别精准度上，能主动识别施工、事故等多种状况，识别准确率超95% ，为应急决策提供关键信息；巡逻效率层面，可24小时作业，是传统方式的8倍，还能凭借夜视、热成像优势，在浓雾等</w:t>
            </w:r>
            <w:r>
              <w:rPr>
                <w:rFonts w:hint="eastAsia" w:ascii="宋体" w:hAnsi="宋体" w:eastAsia="宋体" w:cs="宋体"/>
                <w:b w:val="0"/>
                <w:bCs w:val="0"/>
                <w:color w:val="auto"/>
                <w:sz w:val="20"/>
                <w:szCs w:val="20"/>
                <w:lang w:val="en-US" w:eastAsia="zh-CN"/>
              </w:rPr>
              <w:t>极端</w:t>
            </w:r>
            <w:bookmarkStart w:id="0" w:name="_GoBack"/>
            <w:bookmarkEnd w:id="0"/>
            <w:r>
              <w:rPr>
                <w:rFonts w:hint="default" w:ascii="宋体" w:hAnsi="宋体" w:eastAsia="宋体" w:cs="宋体"/>
                <w:b w:val="0"/>
                <w:bCs w:val="0"/>
                <w:color w:val="auto"/>
                <w:sz w:val="20"/>
                <w:szCs w:val="20"/>
                <w:lang w:val="en-US" w:eastAsia="zh-CN"/>
              </w:rPr>
              <w:t>天气下清晰反映实时路况。此外，公司还在包括边坡监测、服务区配送等方面开展了多项无人机相关应用实践。未来，公司计划进一步拓展高速公路与低空应用服务的实用场景结合。</w:t>
            </w:r>
          </w:p>
        </w:tc>
      </w:tr>
      <w:tr w14:paraId="1252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42" w:hRule="atLeast"/>
          <w:jc w:val="center"/>
        </w:trPr>
        <w:tc>
          <w:tcPr>
            <w:tcW w:w="2552" w:type="dxa"/>
            <w:vAlign w:val="center"/>
          </w:tcPr>
          <w:p w14:paraId="43F27004">
            <w:pPr>
              <w:pStyle w:val="13"/>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CDDF8C9">
            <w:pPr>
              <w:pStyle w:val="13"/>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73" w:type="dxa"/>
            <w:vAlign w:val="center"/>
          </w:tcPr>
          <w:p w14:paraId="0E6D5823">
            <w:pPr>
              <w:pStyle w:val="13"/>
              <w:keepNext w:val="0"/>
              <w:keepLines w:val="0"/>
              <w:pageBreakBefore w:val="0"/>
              <w:widowControl w:val="0"/>
              <w:kinsoku/>
              <w:wordWrap/>
              <w:overflowPunct/>
              <w:topLinePunct w:val="0"/>
              <w:autoSpaceDE w:val="0"/>
              <w:autoSpaceDN w:val="0"/>
              <w:bidi w:val="0"/>
              <w:adjustRightInd/>
              <w:snapToGrid/>
              <w:spacing w:before="100" w:beforeAutospacing="0"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E42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39" w:hRule="atLeast"/>
          <w:jc w:val="center"/>
        </w:trPr>
        <w:tc>
          <w:tcPr>
            <w:tcW w:w="2552" w:type="dxa"/>
            <w:vAlign w:val="center"/>
          </w:tcPr>
          <w:p w14:paraId="6C8111AD">
            <w:pPr>
              <w:pStyle w:val="13"/>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73" w:type="dxa"/>
            <w:vAlign w:val="center"/>
          </w:tcPr>
          <w:p w14:paraId="0C903F60">
            <w:pPr>
              <w:pStyle w:val="13"/>
              <w:keepNext w:val="0"/>
              <w:keepLines w:val="0"/>
              <w:pageBreakBefore w:val="0"/>
              <w:widowControl w:val="0"/>
              <w:kinsoku/>
              <w:wordWrap/>
              <w:overflowPunct/>
              <w:topLinePunct w:val="0"/>
              <w:autoSpaceDE w:val="0"/>
              <w:autoSpaceDN w:val="0"/>
              <w:bidi w:val="0"/>
              <w:adjustRightInd/>
              <w:snapToGrid/>
              <w:spacing w:before="100" w:beforeAutospacing="0" w:line="360" w:lineRule="auto"/>
              <w:textAlignment w:val="auto"/>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无</w:t>
            </w:r>
          </w:p>
        </w:tc>
      </w:tr>
      <w:tr w14:paraId="69BA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52" w:type="dxa"/>
            <w:vAlign w:val="center"/>
          </w:tcPr>
          <w:p w14:paraId="4F9B4F57">
            <w:pPr>
              <w:pStyle w:val="13"/>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73" w:type="dxa"/>
            <w:vAlign w:val="center"/>
          </w:tcPr>
          <w:p w14:paraId="751DF234">
            <w:pPr>
              <w:pStyle w:val="13"/>
              <w:keepNext w:val="0"/>
              <w:keepLines w:val="0"/>
              <w:pageBreakBefore w:val="0"/>
              <w:widowControl w:val="0"/>
              <w:kinsoku/>
              <w:wordWrap/>
              <w:overflowPunct/>
              <w:topLinePunct w:val="0"/>
              <w:autoSpaceDE w:val="0"/>
              <w:autoSpaceDN w:val="0"/>
              <w:bidi w:val="0"/>
              <w:adjustRightInd/>
              <w:snapToGrid/>
              <w:spacing w:before="100" w:beforeAutospacing="0"/>
              <w:textAlignment w:val="auto"/>
              <w:rPr>
                <w:rFonts w:ascii="宋体" w:hAnsi="宋体" w:eastAsia="宋体" w:cs="宋体"/>
                <w:sz w:val="20"/>
                <w:szCs w:val="20"/>
                <w:lang w:val="zh-CN" w:eastAsia="zh-CN" w:bidi="zh-CN"/>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highlight w:val="none"/>
              </w:rPr>
              <w:t>年</w:t>
            </w:r>
            <w:r>
              <w:rPr>
                <w:rFonts w:hint="eastAsia" w:ascii="宋体" w:hAnsi="宋体" w:eastAsia="宋体" w:cs="宋体"/>
                <w:sz w:val="20"/>
                <w:szCs w:val="20"/>
                <w:highlight w:val="none"/>
                <w:lang w:val="en-US" w:eastAsia="zh-CN"/>
              </w:rPr>
              <w:t>9</w:t>
            </w:r>
            <w:r>
              <w:rPr>
                <w:rFonts w:ascii="宋体" w:hAnsi="宋体" w:eastAsia="宋体" w:cs="宋体"/>
                <w:sz w:val="20"/>
                <w:szCs w:val="20"/>
                <w:highlight w:val="none"/>
              </w:rPr>
              <w:t>月</w:t>
            </w:r>
            <w:r>
              <w:rPr>
                <w:rFonts w:hint="eastAsia" w:ascii="宋体" w:hAnsi="宋体" w:eastAsia="宋体" w:cs="宋体"/>
                <w:sz w:val="20"/>
                <w:szCs w:val="20"/>
                <w:highlight w:val="none"/>
                <w:lang w:val="en-US" w:eastAsia="zh-CN"/>
              </w:rPr>
              <w:t>12</w:t>
            </w:r>
            <w:r>
              <w:rPr>
                <w:rFonts w:ascii="宋体" w:hAnsi="宋体" w:eastAsia="宋体" w:cs="宋体"/>
                <w:sz w:val="20"/>
                <w:szCs w:val="20"/>
                <w:highlight w:val="none"/>
              </w:rPr>
              <w:t>日</w:t>
            </w:r>
          </w:p>
        </w:tc>
      </w:tr>
    </w:tbl>
    <w:p w14:paraId="677881ED">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MTVhZmU2M2YwMDA1MWY2MDcyN2YyOGEyOWVhYWQ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324165E"/>
    <w:rsid w:val="03B721E0"/>
    <w:rsid w:val="04B072D4"/>
    <w:rsid w:val="04F54AA7"/>
    <w:rsid w:val="05AB5771"/>
    <w:rsid w:val="05F575D4"/>
    <w:rsid w:val="06047A69"/>
    <w:rsid w:val="064249C6"/>
    <w:rsid w:val="08641132"/>
    <w:rsid w:val="08C473E5"/>
    <w:rsid w:val="09186774"/>
    <w:rsid w:val="0945438F"/>
    <w:rsid w:val="0A71587A"/>
    <w:rsid w:val="0B2E1CE4"/>
    <w:rsid w:val="0B792C38"/>
    <w:rsid w:val="0C28640C"/>
    <w:rsid w:val="0CF60D11"/>
    <w:rsid w:val="0DB13287"/>
    <w:rsid w:val="0E0F0640"/>
    <w:rsid w:val="0E90599A"/>
    <w:rsid w:val="0ED720CD"/>
    <w:rsid w:val="0FE61F2C"/>
    <w:rsid w:val="11452D31"/>
    <w:rsid w:val="117C29F7"/>
    <w:rsid w:val="1197170D"/>
    <w:rsid w:val="12070CAE"/>
    <w:rsid w:val="12EF3EDA"/>
    <w:rsid w:val="145F688C"/>
    <w:rsid w:val="14D47131"/>
    <w:rsid w:val="15680001"/>
    <w:rsid w:val="15DD2205"/>
    <w:rsid w:val="16E82450"/>
    <w:rsid w:val="17072842"/>
    <w:rsid w:val="17A67110"/>
    <w:rsid w:val="18393FA5"/>
    <w:rsid w:val="18595469"/>
    <w:rsid w:val="1864189B"/>
    <w:rsid w:val="18D73A7D"/>
    <w:rsid w:val="19557370"/>
    <w:rsid w:val="1A2A56C6"/>
    <w:rsid w:val="1A8E38DF"/>
    <w:rsid w:val="1BD06B6A"/>
    <w:rsid w:val="1CDD1CB6"/>
    <w:rsid w:val="1EEC6E06"/>
    <w:rsid w:val="1F782BDE"/>
    <w:rsid w:val="1FDB36A6"/>
    <w:rsid w:val="204A6A53"/>
    <w:rsid w:val="211639B5"/>
    <w:rsid w:val="22017A9C"/>
    <w:rsid w:val="23317869"/>
    <w:rsid w:val="25650CAE"/>
    <w:rsid w:val="25675F6C"/>
    <w:rsid w:val="26406598"/>
    <w:rsid w:val="26B06083"/>
    <w:rsid w:val="270A253F"/>
    <w:rsid w:val="27BC09B5"/>
    <w:rsid w:val="28080056"/>
    <w:rsid w:val="28734C1A"/>
    <w:rsid w:val="28C72DDD"/>
    <w:rsid w:val="297C7ACB"/>
    <w:rsid w:val="29EB065A"/>
    <w:rsid w:val="29EE0E64"/>
    <w:rsid w:val="2AD34978"/>
    <w:rsid w:val="2BAD4762"/>
    <w:rsid w:val="2BC4020A"/>
    <w:rsid w:val="2C19393B"/>
    <w:rsid w:val="2EE5404A"/>
    <w:rsid w:val="2EF90F16"/>
    <w:rsid w:val="2F125C63"/>
    <w:rsid w:val="302C3D0A"/>
    <w:rsid w:val="3104598F"/>
    <w:rsid w:val="321067B8"/>
    <w:rsid w:val="32EB6D9B"/>
    <w:rsid w:val="335E29E7"/>
    <w:rsid w:val="33DE31BB"/>
    <w:rsid w:val="35742F68"/>
    <w:rsid w:val="36FF7AC9"/>
    <w:rsid w:val="389C49C0"/>
    <w:rsid w:val="39754676"/>
    <w:rsid w:val="39BC78F4"/>
    <w:rsid w:val="3A0D7192"/>
    <w:rsid w:val="3B35486F"/>
    <w:rsid w:val="3BB06205"/>
    <w:rsid w:val="3C4440AB"/>
    <w:rsid w:val="3C693069"/>
    <w:rsid w:val="3DB96A0B"/>
    <w:rsid w:val="3ED83F30"/>
    <w:rsid w:val="3EF1250A"/>
    <w:rsid w:val="40437927"/>
    <w:rsid w:val="40567DB0"/>
    <w:rsid w:val="40CF59B6"/>
    <w:rsid w:val="40FF5CD2"/>
    <w:rsid w:val="41670E6B"/>
    <w:rsid w:val="42DB40B0"/>
    <w:rsid w:val="43B71B0A"/>
    <w:rsid w:val="44FA0589"/>
    <w:rsid w:val="45A663E3"/>
    <w:rsid w:val="460F66BC"/>
    <w:rsid w:val="469F09AF"/>
    <w:rsid w:val="4A3A715A"/>
    <w:rsid w:val="4B453388"/>
    <w:rsid w:val="4B6C6473"/>
    <w:rsid w:val="4B756271"/>
    <w:rsid w:val="4B9C0F8A"/>
    <w:rsid w:val="4C28087F"/>
    <w:rsid w:val="4C8E1CA8"/>
    <w:rsid w:val="4D6D36A4"/>
    <w:rsid w:val="4D6E120A"/>
    <w:rsid w:val="4D737540"/>
    <w:rsid w:val="4E2F4540"/>
    <w:rsid w:val="4E70713A"/>
    <w:rsid w:val="4F82051D"/>
    <w:rsid w:val="50831419"/>
    <w:rsid w:val="510903EF"/>
    <w:rsid w:val="510A18E3"/>
    <w:rsid w:val="5304326B"/>
    <w:rsid w:val="53F137F4"/>
    <w:rsid w:val="540E7263"/>
    <w:rsid w:val="543A6906"/>
    <w:rsid w:val="54C44A2C"/>
    <w:rsid w:val="550A054A"/>
    <w:rsid w:val="56463C17"/>
    <w:rsid w:val="56850CBB"/>
    <w:rsid w:val="59D8738A"/>
    <w:rsid w:val="5A666D76"/>
    <w:rsid w:val="5B2253C2"/>
    <w:rsid w:val="5B2A58B0"/>
    <w:rsid w:val="5C2060A7"/>
    <w:rsid w:val="5CF02E0F"/>
    <w:rsid w:val="5E202E15"/>
    <w:rsid w:val="5E442B42"/>
    <w:rsid w:val="5F644639"/>
    <w:rsid w:val="5FC06CAB"/>
    <w:rsid w:val="603269D2"/>
    <w:rsid w:val="60790A8D"/>
    <w:rsid w:val="60960597"/>
    <w:rsid w:val="61A52BCA"/>
    <w:rsid w:val="61F47A31"/>
    <w:rsid w:val="630F1C12"/>
    <w:rsid w:val="634D7265"/>
    <w:rsid w:val="63A70B3A"/>
    <w:rsid w:val="63ED7DE0"/>
    <w:rsid w:val="66061D85"/>
    <w:rsid w:val="67095496"/>
    <w:rsid w:val="67ED7463"/>
    <w:rsid w:val="681A546A"/>
    <w:rsid w:val="68507D37"/>
    <w:rsid w:val="689D1149"/>
    <w:rsid w:val="68CF0D4C"/>
    <w:rsid w:val="69CB37D4"/>
    <w:rsid w:val="6A0D5B9B"/>
    <w:rsid w:val="6A1B2B67"/>
    <w:rsid w:val="6A3B23B1"/>
    <w:rsid w:val="6AE23394"/>
    <w:rsid w:val="6AEA32DC"/>
    <w:rsid w:val="6C1E73CC"/>
    <w:rsid w:val="6C4D4E55"/>
    <w:rsid w:val="6C4E4F3C"/>
    <w:rsid w:val="6CC24AB5"/>
    <w:rsid w:val="6D9271B2"/>
    <w:rsid w:val="6ED7755A"/>
    <w:rsid w:val="6F134790"/>
    <w:rsid w:val="6F150F79"/>
    <w:rsid w:val="6FCA2B56"/>
    <w:rsid w:val="6FE81F5F"/>
    <w:rsid w:val="72446028"/>
    <w:rsid w:val="72DB6EC5"/>
    <w:rsid w:val="73076EC0"/>
    <w:rsid w:val="73534D9F"/>
    <w:rsid w:val="74210CA6"/>
    <w:rsid w:val="746F4E76"/>
    <w:rsid w:val="75063359"/>
    <w:rsid w:val="75BFD6B2"/>
    <w:rsid w:val="76430096"/>
    <w:rsid w:val="774B251F"/>
    <w:rsid w:val="786732E5"/>
    <w:rsid w:val="788C25F5"/>
    <w:rsid w:val="79A52992"/>
    <w:rsid w:val="79F72AA9"/>
    <w:rsid w:val="7A144529"/>
    <w:rsid w:val="7A7E260B"/>
    <w:rsid w:val="7AAF053A"/>
    <w:rsid w:val="7BED4F0F"/>
    <w:rsid w:val="7C6355B7"/>
    <w:rsid w:val="7DD37FAE"/>
    <w:rsid w:val="7F2C666B"/>
    <w:rsid w:val="FFBBE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8"/>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autoRedefine/>
    <w:qFormat/>
    <w:uiPriority w:val="0"/>
    <w:rPr>
      <w:b/>
      <w:bCs/>
    </w:rPr>
  </w:style>
  <w:style w:type="character" w:styleId="11">
    <w:name w:val="Strong"/>
    <w:basedOn w:val="10"/>
    <w:qFormat/>
    <w:uiPriority w:val="0"/>
    <w:rPr>
      <w:b/>
    </w:rPr>
  </w:style>
  <w:style w:type="character" w:styleId="12">
    <w:name w:val="annotation reference"/>
    <w:basedOn w:val="10"/>
    <w:autoRedefine/>
    <w:qFormat/>
    <w:uiPriority w:val="0"/>
    <w:rPr>
      <w:sz w:val="21"/>
      <w:szCs w:val="21"/>
    </w:rPr>
  </w:style>
  <w:style w:type="paragraph" w:customStyle="1" w:styleId="13">
    <w:name w:val="Table Paragraph"/>
    <w:basedOn w:val="1"/>
    <w:autoRedefine/>
    <w:qFormat/>
    <w:uiPriority w:val="1"/>
  </w:style>
  <w:style w:type="character" w:customStyle="1" w:styleId="14">
    <w:name w:val="页眉 字符"/>
    <w:basedOn w:val="10"/>
    <w:link w:val="7"/>
    <w:autoRedefine/>
    <w:qFormat/>
    <w:uiPriority w:val="0"/>
    <w:rPr>
      <w:rFonts w:ascii="仿宋" w:hAnsi="仿宋" w:eastAsia="仿宋" w:cs="仿宋"/>
      <w:sz w:val="18"/>
      <w:szCs w:val="18"/>
      <w:lang w:val="zh-CN" w:bidi="zh-CN"/>
    </w:rPr>
  </w:style>
  <w:style w:type="character" w:customStyle="1" w:styleId="15">
    <w:name w:val="页脚 字符"/>
    <w:basedOn w:val="10"/>
    <w:link w:val="6"/>
    <w:autoRedefine/>
    <w:qFormat/>
    <w:uiPriority w:val="0"/>
    <w:rPr>
      <w:rFonts w:ascii="仿宋" w:hAnsi="仿宋" w:eastAsia="仿宋" w:cs="仿宋"/>
      <w:sz w:val="18"/>
      <w:szCs w:val="18"/>
      <w:lang w:val="zh-CN" w:bidi="zh-CN"/>
    </w:rPr>
  </w:style>
  <w:style w:type="character" w:customStyle="1" w:styleId="16">
    <w:name w:val="批注文字 字符"/>
    <w:basedOn w:val="10"/>
    <w:link w:val="3"/>
    <w:autoRedefine/>
    <w:qFormat/>
    <w:uiPriority w:val="0"/>
    <w:rPr>
      <w:rFonts w:ascii="仿宋" w:hAnsi="仿宋" w:eastAsia="仿宋" w:cs="仿宋"/>
      <w:sz w:val="22"/>
      <w:szCs w:val="22"/>
      <w:lang w:val="zh-CN" w:bidi="zh-CN"/>
    </w:rPr>
  </w:style>
  <w:style w:type="character" w:customStyle="1" w:styleId="17">
    <w:name w:val="批注主题 字符"/>
    <w:basedOn w:val="16"/>
    <w:link w:val="8"/>
    <w:autoRedefine/>
    <w:qFormat/>
    <w:uiPriority w:val="0"/>
    <w:rPr>
      <w:rFonts w:ascii="仿宋" w:hAnsi="仿宋" w:eastAsia="仿宋" w:cs="仿宋"/>
      <w:b/>
      <w:bCs/>
      <w:sz w:val="22"/>
      <w:szCs w:val="22"/>
      <w:lang w:val="zh-CN" w:bidi="zh-CN"/>
    </w:rPr>
  </w:style>
  <w:style w:type="character" w:customStyle="1" w:styleId="18">
    <w:name w:val="批注框文本 字符"/>
    <w:basedOn w:val="10"/>
    <w:link w:val="5"/>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2929</Words>
  <Characters>3128</Characters>
  <Lines>2</Lines>
  <Paragraphs>1</Paragraphs>
  <TotalTime>82</TotalTime>
  <ScaleCrop>false</ScaleCrop>
  <LinksUpToDate>false</LinksUpToDate>
  <CharactersWithSpaces>3251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2022-04-12T14:10:00Z</dcterms:created>
  <dc:creator>jie.huang</dc:creator>
  <cp:lastModifiedBy>LENOVO</cp:lastModifiedBy>
  <cp:lastPrinted>2025-09-01T06:55:00Z</cp:lastPrinted>
  <dcterms:modified xsi:type="dcterms:W3CDTF">2025-09-12T08:48:55Z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75373C3ACAAA414BA0623CCE8353D8A9_13</vt:lpwstr>
  </property>
  <property fmtid="{D5CDD505-2E9C-101B-9397-08002B2CF9AE}" pid="4" name="KSOTemplateDocerSaveRecord">
    <vt:lpwstr>eyJoZGlkIjoiNGFmYzAzYTFlOWZjZTUzNmFkYWI3YzFmMzZlYjZmMzUiLCJ1c2VySWQiOiI1MjI2Nzc2MjkifQ==</vt:lpwstr>
  </property>
</Properties>
</file>