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AFBD">
      <w:pPr>
        <w:spacing w:before="156" w:beforeLines="50" w:after="156" w:afterLines="50" w:line="400" w:lineRule="exact"/>
        <w:rPr>
          <w:bCs/>
          <w:iCs/>
          <w:color w:val="auto"/>
          <w:sz w:val="24"/>
        </w:rPr>
      </w:pPr>
      <w:r>
        <w:rPr>
          <w:rFonts w:hAnsi="宋体"/>
          <w:bCs/>
          <w:iCs/>
          <w:color w:val="auto"/>
          <w:sz w:val="24"/>
        </w:rPr>
        <w:t>证券代码：</w:t>
      </w:r>
      <w:r>
        <w:rPr>
          <w:bCs/>
          <w:iCs/>
          <w:color w:val="auto"/>
          <w:sz w:val="24"/>
        </w:rPr>
        <w:t xml:space="preserve"> </w:t>
      </w:r>
      <w:r>
        <w:rPr>
          <w:color w:val="auto"/>
          <w:sz w:val="24"/>
        </w:rPr>
        <w:t xml:space="preserve">600581                             </w:t>
      </w:r>
      <w:r>
        <w:rPr>
          <w:rFonts w:hAnsi="宋体"/>
          <w:bCs/>
          <w:iCs/>
          <w:color w:val="auto"/>
          <w:sz w:val="24"/>
        </w:rPr>
        <w:t>证券简称：</w:t>
      </w:r>
      <w:r>
        <w:rPr>
          <w:color w:val="auto"/>
          <w:sz w:val="24"/>
        </w:rPr>
        <w:t>八一钢铁</w:t>
      </w:r>
    </w:p>
    <w:p w14:paraId="7FEC54A2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auto"/>
          <w:sz w:val="32"/>
          <w:szCs w:val="32"/>
        </w:rPr>
      </w:pPr>
      <w:r>
        <w:rPr>
          <w:rFonts w:ascii="宋体" w:hAnsi="宋体"/>
          <w:b/>
          <w:bCs/>
          <w:iCs/>
          <w:color w:val="auto"/>
          <w:sz w:val="32"/>
          <w:szCs w:val="32"/>
        </w:rPr>
        <w:t>新疆八一钢铁股份有限公司</w:t>
      </w:r>
      <w:r>
        <w:rPr>
          <w:rFonts w:hint="eastAsia" w:ascii="宋体" w:hAnsi="宋体"/>
          <w:b/>
          <w:bCs/>
          <w:iCs/>
          <w:color w:val="auto"/>
          <w:sz w:val="32"/>
          <w:szCs w:val="32"/>
        </w:rPr>
        <w:t>投资者关系活动记录表</w:t>
      </w:r>
    </w:p>
    <w:p w14:paraId="6BAAD4C1">
      <w:pPr>
        <w:spacing w:line="400" w:lineRule="exact"/>
        <w:rPr>
          <w:bCs/>
          <w:iCs/>
          <w:color w:val="auto"/>
          <w:sz w:val="24"/>
        </w:rPr>
      </w:pPr>
      <w:r>
        <w:rPr>
          <w:rFonts w:hint="eastAsia" w:ascii="宋体" w:hAnsi="宋体"/>
          <w:bCs/>
          <w:iCs/>
          <w:color w:val="auto"/>
          <w:sz w:val="24"/>
        </w:rPr>
        <w:t xml:space="preserve">                               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7A41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B9E733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投资者关系活动类别</w:t>
            </w:r>
          </w:p>
          <w:p w14:paraId="18F806C7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37A1C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Ansi="宋体"/>
                <w:color w:val="auto"/>
                <w:kern w:val="0"/>
                <w:sz w:val="24"/>
              </w:rPr>
              <w:t>特定对象调研</w:t>
            </w:r>
            <w:r>
              <w:rPr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  <w:r>
              <w:rPr>
                <w:color w:val="auto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分析师会议</w:t>
            </w:r>
          </w:p>
          <w:p w14:paraId="6CEB3444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媒体采访</w:t>
            </w:r>
            <w:r>
              <w:rPr>
                <w:color w:val="auto"/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auto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业绩说明会</w:t>
            </w:r>
          </w:p>
          <w:p w14:paraId="6132CFD0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新闻发布会</w:t>
            </w:r>
            <w:r>
              <w:rPr>
                <w:color w:val="auto"/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路演活动</w:t>
            </w:r>
          </w:p>
          <w:p w14:paraId="419A5CA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现场参观</w:t>
            </w:r>
            <w:r>
              <w:rPr>
                <w:bCs/>
                <w:iCs/>
                <w:color w:val="auto"/>
                <w:kern w:val="0"/>
                <w:sz w:val="24"/>
              </w:rPr>
              <w:tab/>
            </w:r>
          </w:p>
          <w:p w14:paraId="0F0D12A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auto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其他</w:t>
            </w:r>
            <w:r>
              <w:rPr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（</w:t>
            </w:r>
            <w:r>
              <w:rPr>
                <w:rFonts w:hAnsi="宋体"/>
                <w:color w:val="auto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51CD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F53D0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DD6B6">
            <w:pPr>
              <w:spacing w:line="420" w:lineRule="exact"/>
              <w:rPr>
                <w:bCs/>
                <w:iCs/>
                <w:color w:val="auto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auto"/>
                <w:sz w:val="24"/>
                <w:lang w:val="en-GB"/>
              </w:rPr>
              <w:t>投资者网上提问</w:t>
            </w:r>
          </w:p>
        </w:tc>
      </w:tr>
      <w:tr w14:paraId="54E5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B87B9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37CD10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  <w:r>
              <w:rPr>
                <w:bCs/>
                <w:iCs/>
                <w:color w:val="auto"/>
                <w:sz w:val="24"/>
              </w:rPr>
              <w:t>2025年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auto"/>
                <w:sz w:val="24"/>
              </w:rPr>
              <w:t>月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12</w:t>
            </w:r>
            <w:r>
              <w:rPr>
                <w:bCs/>
                <w:iCs/>
                <w:color w:val="auto"/>
                <w:sz w:val="24"/>
              </w:rPr>
              <w:t>日 (周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五</w:t>
            </w:r>
            <w:r>
              <w:rPr>
                <w:bCs/>
                <w:iCs/>
                <w:color w:val="auto"/>
                <w:sz w:val="24"/>
              </w:rPr>
              <w:t>) 下午 15: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auto"/>
                <w:sz w:val="24"/>
              </w:rPr>
              <w:t>0~1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7</w:t>
            </w:r>
            <w:r>
              <w:rPr>
                <w:bCs/>
                <w:iCs/>
                <w:color w:val="auto"/>
                <w:sz w:val="24"/>
              </w:rPr>
              <w:t>:00</w:t>
            </w:r>
          </w:p>
        </w:tc>
      </w:tr>
      <w:tr w14:paraId="5364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A87630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A22BD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全景网“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”（http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s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://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.p5w.net）采用网络远程的方式</w:t>
            </w:r>
            <w:r>
              <w:rPr>
                <w:rFonts w:ascii="宋体" w:hAnsi="宋体"/>
                <w:color w:val="auto"/>
                <w:sz w:val="24"/>
              </w:rPr>
              <w:t>召开</w:t>
            </w:r>
            <w:r>
              <w:rPr>
                <w:rFonts w:hint="eastAsia" w:ascii="宋体" w:hAnsi="宋体"/>
                <w:color w:val="auto"/>
                <w:sz w:val="24"/>
              </w:rPr>
              <w:t>业绩</w:t>
            </w:r>
            <w:r>
              <w:rPr>
                <w:rFonts w:ascii="宋体" w:hAnsi="宋体"/>
                <w:color w:val="auto"/>
                <w:sz w:val="24"/>
              </w:rPr>
              <w:t>说明会</w:t>
            </w:r>
          </w:p>
        </w:tc>
      </w:tr>
      <w:tr w14:paraId="4926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38E6D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22AF">
            <w:pPr>
              <w:spacing w:line="420" w:lineRule="exact"/>
              <w:rPr>
                <w:rFonts w:hint="default"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、</w:t>
            </w:r>
            <w:r>
              <w:rPr>
                <w:rFonts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总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经理</w:t>
            </w:r>
            <w:r>
              <w:rPr>
                <w:rFonts w:hint="eastAsia" w:ascii="sans-serif" w:hAnsi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刘文壮</w:t>
            </w:r>
          </w:p>
          <w:p w14:paraId="03B55F9F">
            <w:pPr>
              <w:spacing w:line="420" w:lineRule="exact"/>
              <w:rPr>
                <w:rFonts w:hint="default" w:ascii="宋体" w:hAnsi="宋体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、</w:t>
            </w:r>
            <w:r>
              <w:rPr>
                <w:rFonts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独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立董事</w:t>
            </w:r>
            <w:r>
              <w:rPr>
                <w:rFonts w:hint="eastAsia" w:ascii="sans-serif" w:hAnsi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陈盈如</w:t>
            </w:r>
          </w:p>
          <w:p w14:paraId="34EA39BD">
            <w:pPr>
              <w:spacing w:line="42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、董事会秘书、总会计师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樊国康</w:t>
            </w:r>
          </w:p>
        </w:tc>
      </w:tr>
      <w:tr w14:paraId="0726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E90B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投资者关系活动主要内容介绍</w:t>
            </w:r>
          </w:p>
          <w:p w14:paraId="232FF1E8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BE626">
            <w:pPr>
              <w:spacing w:line="420" w:lineRule="exact"/>
              <w:jc w:val="left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ascii="宋体" w:hAnsi="宋体"/>
                <w:b/>
                <w:bCs w:val="0"/>
                <w:color w:val="auto"/>
                <w:sz w:val="24"/>
              </w:rPr>
              <w:t>投资者提出的问题及公司回复情况</w:t>
            </w:r>
          </w:p>
          <w:p w14:paraId="3EBFEF7E">
            <w:pPr>
              <w:spacing w:line="420" w:lineRule="exact"/>
              <w:ind w:firstLine="480" w:firstLineChars="200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公司就投资者在本次说明会中提出的问题进行了回复：</w:t>
            </w:r>
          </w:p>
          <w:p w14:paraId="4FA4E647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1、请介绍一下公司有无参与雅江水电站、新藏铁路建设相关项目，今年经营情况如何？今年能扭亏为盈吗？</w:t>
            </w:r>
          </w:p>
          <w:p w14:paraId="4A9436A0"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尊敬的投资者您好！公司长期专注于钢铁冶炼、轧制、加工及销售，是新疆产业链最长、产能和技术装备水平最高、产品品种最全的钢铁企业。目前，公司正在积极关注并寻求您所提到的项目工程合作机会。公司今年具体经营情况请查阅已披露的2025年半年度报告。在当前持续承压的经营环境下，公司始终坚持推行"精细化管理与四有方针"相结合的战略管控体系。构建周产品排产盈利动态分析机制，严守"无边际效益不决策"的底线原则，确保钢铁主业的现金流安全。通过采取相关经营举措，有望不断改善公司经营绩效。感谢您对公司的关注。</w:t>
            </w:r>
          </w:p>
          <w:p w14:paraId="32E2F083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2、请问贵公司产品在新疆地区市场占有率能够达到多少？贵司产品在临近的中亚地区销售增长趋势是否已经形成？未来新藏铁路开建，贵司就如何更大程度占有这个项目的市场有何打算？</w:t>
            </w:r>
          </w:p>
          <w:p w14:paraId="307FDFE0"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，我公司在近年来营销布局中持续践行“深耕新疆”策略，不断开展新疆区域近地化销售，目前在疆内全品种市场占有率保持在60%以上；此外，随着“一带一路”项目不断深入推进，近年来我公司在中亚市场的布局也在逐步深化，2025年已成立哈萨克斯坦营销服务处、乌兹别克斯坦营销服务处、吉尔吉斯斯坦营销服务处，并增派相关业务人员，今年上半年通过在中亚三国开展全品种营销，已实现上半年出口销量同比增长60%，后期将持续加大出口力度。关于“新藏铁路”项目，我公司将持续关注项目动态，后期利用我公司在此项目的区位优势、资源保供优势等全面参与项目钢材需求供应。感谢您的关注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。</w:t>
            </w:r>
          </w:p>
          <w:p w14:paraId="5B94C61C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3、领导，您好！我来自四川大决策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请问，公司在2025年中报中提到，要确保疆内及河西走廊资源投放占比超90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%，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董秘能否介绍一下公司在当地市场的竞争优势和市场份额情况？如何进一步巩固和拓展当地市场？</w:t>
            </w:r>
          </w:p>
          <w:p w14:paraId="370DC810">
            <w:pPr>
              <w:pStyle w:val="8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，我公司在近年来营销布局中持续践行“深耕新疆”策略，不断开展新疆区域近地化销售，同时积极参与河西走廊区域市场的终端项目建设，今年上半年疆内加河西区域资源投放达90%左右。目前我公司在当前市场中拥有原材料资源禀赋优势、成本优势、资源保供优势、品种齐全优势等，后期将充分发挥自身优势，积极参与近地化区域项目建设。感谢您的关注。</w:t>
            </w:r>
          </w:p>
          <w:p w14:paraId="0962FF0A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4、今年下半年的业绩怎么样？新藏铁路，雅江是否有参与？</w:t>
            </w:r>
          </w:p>
          <w:p w14:paraId="13997252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公司通过自身挖潜，持续降低成本；加快公司满足区域市场产品结构步伐的调整，进一步提升产品的差异化及盈利能力；以市场需求为导向，严格按照市场需求高效组织生产。极致低库存运行，加快两金周转，提高资金利用效率；通过采取措施，有望不断改善公司经营绩效。您所提及的项目工程公司正在积极关注并寻求合作机会，感谢您的关注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。</w:t>
            </w:r>
          </w:p>
          <w:p w14:paraId="4CB20F35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5、是不是有什么大利好，为什么涨停了。</w:t>
            </w:r>
          </w:p>
          <w:p w14:paraId="53A2C8E3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尊敬的投资者您好，经核查公司没有应披露未披露的事项。</w:t>
            </w:r>
          </w:p>
          <w:p w14:paraId="471BA852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、上半年业绩怎么样。</w:t>
            </w:r>
          </w:p>
          <w:p w14:paraId="51FF03E4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公司始终秉持“稳中求进”工作总基调，以精准研判行业态势为前提，深度剖析全国及新疆钢铁市场格局。公司以内部管理提升为核心抓手，持续优化运营机制，通过推行全流程精细化管理，将“算账经营”理念贯穿生产、采购、销售、物流等各环节，精准把控成本波动，提升资源配置效率。生产端，聚焦效率提升与能耗降低，不断提高生产连续性与稳定性，降低单位产品能耗与物耗；经营端，强化产品结构调整，加大高附加值、高技术含量产品研发与市场推广力度，提升产品核心竞争力，以应对市场价格波动与同质化竞争压力。具体经营数据请关注公司公告，感谢您对公司的关注与支持。</w:t>
            </w:r>
          </w:p>
          <w:p w14:paraId="572A9260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、通过天山钢铁平台重组进展情况如何？。</w:t>
            </w:r>
          </w:p>
          <w:p w14:paraId="78956FEF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尊敬的投资者你好，2020年公司对外披露未来解决与天山钢铁同业竞争问题，具体情况请关注相关公告。</w:t>
            </w:r>
          </w:p>
          <w:p w14:paraId="1735B704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、雅江水电签合同了吗。</w:t>
            </w:r>
          </w:p>
          <w:p w14:paraId="3893A730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尊敬的投资者您好！目前，公司相关业务承接暂不涉及您所提到的项目工程，公司正在积极关注并寻求合作机会，把握市场机遇。感谢您对公司的关注与支持。</w:t>
            </w:r>
          </w:p>
          <w:p w14:paraId="65C47419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、传闻与昆仑钢铁重组的消息是否属实？。</w:t>
            </w:r>
          </w:p>
          <w:p w14:paraId="375813AA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尊敬的投资者，您好。公司暂无应披露未披露事项，请关注公司公告。</w:t>
            </w:r>
          </w:p>
          <w:p w14:paraId="5D1F3989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、传闻雅江水电站项目公司已中标螺纹钢订单合同，该消息是否属实。</w:t>
            </w:r>
          </w:p>
          <w:p w14:paraId="26A0378D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尊敬的投资者你好，公司高度关注重点工程项目，没有应披未披事项。</w:t>
            </w:r>
          </w:p>
          <w:p w14:paraId="393796D8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、下半年提质增效方面采取了哪些措施？预测下半年业绩情况如何？。</w:t>
            </w:r>
          </w:p>
          <w:p w14:paraId="0FDBEF65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公司坚持以“四化”“四有”和算账经营为指引，坚持市场驱动、经营驱动，要以“活下去”的心态调整好心态和定位，切实提升体系能力、制造能力、精益管理能力，全面对标找差、深挖主要矛盾和关键问题，以解决问题和创造价值为导向，统筹策划、狠抓落实，全面增强市场竞争能力，打赢扭亏增盈攻坚战。一是加快产品结构转型升级，提升核心竞争力。二是强化质量管理，全面提升质量水平。三是深耕新疆，开拓新市场，努力开发新产品、新市场、新用户。通过采取措施，有望不断改善公司经营绩效。具体请关注公司已披露的《八一钢铁2025年度“提质增效重回报”行动方案》，感谢您对公司的关注与支持。</w:t>
            </w:r>
          </w:p>
          <w:p w14:paraId="5F57DD28">
            <w:pPr>
              <w:pStyle w:val="8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、贵司2025年8月10日发布公告，计划向控股股东新疆八一钢铁有限公司购买炼铁、能源及物流等相关资产。可以介绍一下具体方案吗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？</w:t>
            </w:r>
          </w:p>
          <w:p w14:paraId="39B27DED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eastAsia" w:ascii="宋体" w:hAnsi="宋体"/>
                <w:color w:val="auto"/>
                <w:sz w:val="24"/>
                <w:szCs w:val="24"/>
                <w:shd w:val="clear"/>
                <w:lang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尊敬的投资者，您好。公司暂无应披露未披露事项，请关注公司公告。</w:t>
            </w:r>
          </w:p>
        </w:tc>
      </w:tr>
      <w:tr w14:paraId="4636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4BF5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4D73B">
            <w:pPr>
              <w:spacing w:line="420" w:lineRule="exact"/>
              <w:rPr>
                <w:rFonts w:hint="eastAsia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无</w:t>
            </w:r>
          </w:p>
        </w:tc>
      </w:tr>
      <w:tr w14:paraId="2D9C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EB95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D57825">
            <w:pPr>
              <w:spacing w:line="420" w:lineRule="exact"/>
              <w:rPr>
                <w:rFonts w:hint="default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bCs/>
                <w:iCs/>
                <w:color w:val="auto"/>
                <w:sz w:val="24"/>
              </w:rPr>
              <w:t>202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auto"/>
                <w:sz w:val="24"/>
              </w:rPr>
              <w:t>-0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9</w:t>
            </w:r>
            <w:r>
              <w:rPr>
                <w:bCs/>
                <w:iCs/>
                <w:color w:val="auto"/>
                <w:sz w:val="24"/>
              </w:rPr>
              <w:t>-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12</w:t>
            </w:r>
          </w:p>
        </w:tc>
      </w:tr>
    </w:tbl>
    <w:p w14:paraId="138EE97B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DBA3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9A9CB">
    <w:pPr>
      <w:pStyle w:val="4"/>
      <w:pBdr>
        <w:bottom w:val="none" w:color="auto" w:sz="0" w:space="0"/>
      </w:pBdr>
      <w:jc w:val="left"/>
    </w:pPr>
    <w:r>
      <w:drawing>
        <wp:inline distT="0" distB="0" distL="114300" distR="114300">
          <wp:extent cx="1104900" cy="1809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3EF6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083F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B187B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B5644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65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346256"/>
    <w:rsid w:val="01B75D7B"/>
    <w:rsid w:val="04CB4A75"/>
    <w:rsid w:val="0510649A"/>
    <w:rsid w:val="05743BFE"/>
    <w:rsid w:val="0584236B"/>
    <w:rsid w:val="06041961"/>
    <w:rsid w:val="06055EDD"/>
    <w:rsid w:val="06484699"/>
    <w:rsid w:val="069F2A49"/>
    <w:rsid w:val="06D43CC1"/>
    <w:rsid w:val="087579C3"/>
    <w:rsid w:val="08F43D5E"/>
    <w:rsid w:val="091A2894"/>
    <w:rsid w:val="0B3865DD"/>
    <w:rsid w:val="0B6D38EB"/>
    <w:rsid w:val="0BC64080"/>
    <w:rsid w:val="0C8E20CE"/>
    <w:rsid w:val="0CF02CC4"/>
    <w:rsid w:val="0D21345E"/>
    <w:rsid w:val="0D4B12AF"/>
    <w:rsid w:val="0E541F2C"/>
    <w:rsid w:val="0E6C0137"/>
    <w:rsid w:val="0F213836"/>
    <w:rsid w:val="10774EAC"/>
    <w:rsid w:val="11AC420E"/>
    <w:rsid w:val="12015808"/>
    <w:rsid w:val="12076A57"/>
    <w:rsid w:val="132A7B11"/>
    <w:rsid w:val="13932D80"/>
    <w:rsid w:val="13A10E9D"/>
    <w:rsid w:val="13B96E01"/>
    <w:rsid w:val="15080015"/>
    <w:rsid w:val="15FC0F5A"/>
    <w:rsid w:val="16962215"/>
    <w:rsid w:val="16F763DC"/>
    <w:rsid w:val="17666FB1"/>
    <w:rsid w:val="17C53A17"/>
    <w:rsid w:val="17CF6EAC"/>
    <w:rsid w:val="1850153D"/>
    <w:rsid w:val="19C05D54"/>
    <w:rsid w:val="1A317647"/>
    <w:rsid w:val="1A7A7D93"/>
    <w:rsid w:val="1A8266C3"/>
    <w:rsid w:val="1B2224D9"/>
    <w:rsid w:val="1B860A9F"/>
    <w:rsid w:val="1BB405C6"/>
    <w:rsid w:val="1C135D77"/>
    <w:rsid w:val="1CD16CBF"/>
    <w:rsid w:val="1CF91770"/>
    <w:rsid w:val="1E0B7622"/>
    <w:rsid w:val="1E4C6AC4"/>
    <w:rsid w:val="1EFB4662"/>
    <w:rsid w:val="1F5B7F1D"/>
    <w:rsid w:val="1FBFC074"/>
    <w:rsid w:val="1FDD36D3"/>
    <w:rsid w:val="21874065"/>
    <w:rsid w:val="22633D5B"/>
    <w:rsid w:val="23E534CB"/>
    <w:rsid w:val="24833AB3"/>
    <w:rsid w:val="24A558A7"/>
    <w:rsid w:val="24F63E0D"/>
    <w:rsid w:val="25B36AC9"/>
    <w:rsid w:val="26A70D64"/>
    <w:rsid w:val="26F36979"/>
    <w:rsid w:val="2731282C"/>
    <w:rsid w:val="277D3758"/>
    <w:rsid w:val="27B52098"/>
    <w:rsid w:val="29FE7F82"/>
    <w:rsid w:val="2A303E92"/>
    <w:rsid w:val="2B76690D"/>
    <w:rsid w:val="2C991C9F"/>
    <w:rsid w:val="2DAE7131"/>
    <w:rsid w:val="2F0127C8"/>
    <w:rsid w:val="2F913091"/>
    <w:rsid w:val="2FB5551A"/>
    <w:rsid w:val="304E6357"/>
    <w:rsid w:val="30B9625E"/>
    <w:rsid w:val="30E12CF9"/>
    <w:rsid w:val="33701470"/>
    <w:rsid w:val="33C747FF"/>
    <w:rsid w:val="34453CA8"/>
    <w:rsid w:val="34EE5DA6"/>
    <w:rsid w:val="35A419B4"/>
    <w:rsid w:val="35E07BDB"/>
    <w:rsid w:val="36637910"/>
    <w:rsid w:val="36FB9E1F"/>
    <w:rsid w:val="375A57BB"/>
    <w:rsid w:val="37E02242"/>
    <w:rsid w:val="383832E1"/>
    <w:rsid w:val="38895B03"/>
    <w:rsid w:val="3A156746"/>
    <w:rsid w:val="3A1A3D1F"/>
    <w:rsid w:val="3BFA0FC1"/>
    <w:rsid w:val="3BFA3B96"/>
    <w:rsid w:val="3C6E3334"/>
    <w:rsid w:val="3C771BDA"/>
    <w:rsid w:val="3CC547A1"/>
    <w:rsid w:val="3CEF3472"/>
    <w:rsid w:val="3CFF03B5"/>
    <w:rsid w:val="3D6D117D"/>
    <w:rsid w:val="3DD42E33"/>
    <w:rsid w:val="3E3E513D"/>
    <w:rsid w:val="3E9D6F68"/>
    <w:rsid w:val="3ED646FB"/>
    <w:rsid w:val="3EFF16E9"/>
    <w:rsid w:val="3FD45044"/>
    <w:rsid w:val="413454C4"/>
    <w:rsid w:val="41864C80"/>
    <w:rsid w:val="4247794A"/>
    <w:rsid w:val="431E5ED8"/>
    <w:rsid w:val="43691E94"/>
    <w:rsid w:val="438C2474"/>
    <w:rsid w:val="44027962"/>
    <w:rsid w:val="45243838"/>
    <w:rsid w:val="4571301D"/>
    <w:rsid w:val="460D2C47"/>
    <w:rsid w:val="47753904"/>
    <w:rsid w:val="480B4E32"/>
    <w:rsid w:val="48637208"/>
    <w:rsid w:val="48902B92"/>
    <w:rsid w:val="48BE3054"/>
    <w:rsid w:val="49385404"/>
    <w:rsid w:val="496048CA"/>
    <w:rsid w:val="4A547864"/>
    <w:rsid w:val="4A8041CA"/>
    <w:rsid w:val="4B074B1B"/>
    <w:rsid w:val="4B58220E"/>
    <w:rsid w:val="4B5E64C7"/>
    <w:rsid w:val="4B62464B"/>
    <w:rsid w:val="4B76606F"/>
    <w:rsid w:val="4C300FCB"/>
    <w:rsid w:val="4CCE7536"/>
    <w:rsid w:val="4E45219E"/>
    <w:rsid w:val="4EC00507"/>
    <w:rsid w:val="4F0B5CD2"/>
    <w:rsid w:val="4F0F63D3"/>
    <w:rsid w:val="4F77609D"/>
    <w:rsid w:val="4FBD5ABB"/>
    <w:rsid w:val="51681F24"/>
    <w:rsid w:val="51736437"/>
    <w:rsid w:val="51AD2DF8"/>
    <w:rsid w:val="51D24F51"/>
    <w:rsid w:val="51FD68F9"/>
    <w:rsid w:val="528D14FE"/>
    <w:rsid w:val="532B465F"/>
    <w:rsid w:val="54143AEA"/>
    <w:rsid w:val="545E1835"/>
    <w:rsid w:val="57667407"/>
    <w:rsid w:val="57F34BD6"/>
    <w:rsid w:val="58AC312F"/>
    <w:rsid w:val="592F6B22"/>
    <w:rsid w:val="59CE35DF"/>
    <w:rsid w:val="5B113C83"/>
    <w:rsid w:val="5BAC6AF2"/>
    <w:rsid w:val="5BE40216"/>
    <w:rsid w:val="5C341E49"/>
    <w:rsid w:val="5C7C16B8"/>
    <w:rsid w:val="5D44466D"/>
    <w:rsid w:val="5D5029B7"/>
    <w:rsid w:val="5DC605C7"/>
    <w:rsid w:val="5E5B0B84"/>
    <w:rsid w:val="5EB90ACB"/>
    <w:rsid w:val="5ED27563"/>
    <w:rsid w:val="5F4A6B88"/>
    <w:rsid w:val="5FAB6771"/>
    <w:rsid w:val="61477666"/>
    <w:rsid w:val="61783B86"/>
    <w:rsid w:val="61DD53CB"/>
    <w:rsid w:val="62495C9D"/>
    <w:rsid w:val="63A233EE"/>
    <w:rsid w:val="66000F15"/>
    <w:rsid w:val="673A70D6"/>
    <w:rsid w:val="67FE2351"/>
    <w:rsid w:val="68112FCA"/>
    <w:rsid w:val="68C604F0"/>
    <w:rsid w:val="691A33EE"/>
    <w:rsid w:val="692E4BA1"/>
    <w:rsid w:val="69FD1915"/>
    <w:rsid w:val="6A597C7A"/>
    <w:rsid w:val="6A654C5D"/>
    <w:rsid w:val="6A865633"/>
    <w:rsid w:val="6C382416"/>
    <w:rsid w:val="6C615B9E"/>
    <w:rsid w:val="6D0956EA"/>
    <w:rsid w:val="6D5F47B7"/>
    <w:rsid w:val="6DBF6D49"/>
    <w:rsid w:val="6E654DD6"/>
    <w:rsid w:val="6FAD1747"/>
    <w:rsid w:val="705C37A5"/>
    <w:rsid w:val="70787571"/>
    <w:rsid w:val="70D06616"/>
    <w:rsid w:val="70FC1909"/>
    <w:rsid w:val="71BF6750"/>
    <w:rsid w:val="71EF136D"/>
    <w:rsid w:val="720044EA"/>
    <w:rsid w:val="721C6264"/>
    <w:rsid w:val="72995E62"/>
    <w:rsid w:val="7347787E"/>
    <w:rsid w:val="734E195C"/>
    <w:rsid w:val="74400637"/>
    <w:rsid w:val="77B50435"/>
    <w:rsid w:val="77B74323"/>
    <w:rsid w:val="77CF73AC"/>
    <w:rsid w:val="77F526F3"/>
    <w:rsid w:val="78F01ECC"/>
    <w:rsid w:val="78FF0116"/>
    <w:rsid w:val="7A771369"/>
    <w:rsid w:val="7A9605C2"/>
    <w:rsid w:val="7AA20E87"/>
    <w:rsid w:val="7AE8614A"/>
    <w:rsid w:val="7AEE5ABC"/>
    <w:rsid w:val="7BE45206"/>
    <w:rsid w:val="7C085C8E"/>
    <w:rsid w:val="7C737385"/>
    <w:rsid w:val="7CCB33DC"/>
    <w:rsid w:val="7DA622E2"/>
    <w:rsid w:val="7EA86EFB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Char Char Char1"/>
    <w:basedOn w:val="1"/>
    <w:qFormat/>
    <w:uiPriority w:val="0"/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208</Words>
  <Characters>1191</Characters>
  <Lines>9</Lines>
  <Paragraphs>2</Paragraphs>
  <TotalTime>21</TotalTime>
  <ScaleCrop>false</ScaleCrop>
  <LinksUpToDate>false</LinksUpToDate>
  <CharactersWithSpaces>1397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卢涌</cp:lastModifiedBy>
  <cp:lastPrinted>2014-02-21T05:34:00Z</cp:lastPrinted>
  <dcterms:modified xsi:type="dcterms:W3CDTF">2025-09-12T09:37:04Z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F11DC8EA8368474D986A6E92BDF7AFF6</vt:lpwstr>
  </property>
</Properties>
</file>