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hint="eastAsia"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hint="eastAsia" w:ascii="宋体" w:hAnsi="宋体"/>
          <w:bCs/>
          <w:iCs/>
          <w:color w:val="000000"/>
          <w:sz w:val="24"/>
        </w:rPr>
      </w:pPr>
    </w:p>
    <w:p w14:paraId="531D70F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hint="eastAsia" w:ascii="宋体" w:hAnsi="宋体" w:eastAsia="宋体"/>
          <w:bCs/>
          <w:iCs/>
          <w:color w:val="000000"/>
          <w:sz w:val="24"/>
          <w:lang w:val="en-US" w:eastAsia="zh-CN"/>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编号：2025</w:t>
      </w:r>
      <w:r>
        <w:rPr>
          <w:rFonts w:ascii="宋体" w:hAnsi="宋体"/>
          <w:bCs/>
          <w:iCs/>
          <w:color w:val="000000"/>
          <w:sz w:val="24"/>
          <w:lang w:eastAsia="zh-Hans"/>
        </w:rPr>
        <w:t>-00</w:t>
      </w:r>
      <w:r>
        <w:rPr>
          <w:rFonts w:hint="eastAsia" w:ascii="宋体" w:hAnsi="宋体"/>
          <w:bCs/>
          <w:iCs/>
          <w:color w:val="000000"/>
          <w:sz w:val="24"/>
          <w:lang w:val="en-US" w:eastAsia="zh-CN"/>
        </w:rPr>
        <w:t>9</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7580"/>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vAlign w:val="center"/>
          </w:tcPr>
          <w:p w14:paraId="792E63ED">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活动类别</w:t>
            </w:r>
          </w:p>
        </w:tc>
        <w:tc>
          <w:tcPr>
            <w:tcW w:w="7580" w:type="dxa"/>
          </w:tcPr>
          <w:p w14:paraId="681B6C31">
            <w:pPr>
              <w:adjustRightInd w:val="0"/>
              <w:snapToGrid w:val="0"/>
              <w:rPr>
                <w:rFonts w:hint="eastAsia"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lang w:eastAsia="zh-CN"/>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228DE7E">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名称及人员姓名</w:t>
            </w:r>
          </w:p>
        </w:tc>
        <w:tc>
          <w:tcPr>
            <w:tcW w:w="7580" w:type="dxa"/>
            <w:vAlign w:val="center"/>
          </w:tcPr>
          <w:p w14:paraId="006480E0">
            <w:pPr>
              <w:rPr>
                <w:rFonts w:hint="eastAsia" w:ascii="宋体" w:hAnsi="宋体" w:eastAsia="宋体"/>
                <w:b/>
                <w:bCs w:val="0"/>
                <w:iCs/>
                <w:color w:val="000000"/>
                <w:kern w:val="0"/>
                <w:sz w:val="24"/>
                <w:lang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7</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2</w:t>
            </w:r>
            <w:r>
              <w:rPr>
                <w:rFonts w:hint="eastAsia" w:ascii="宋体" w:hAnsi="宋体"/>
                <w:b/>
                <w:bCs w:val="0"/>
                <w:iCs/>
                <w:color w:val="000000"/>
                <w:kern w:val="0"/>
                <w:sz w:val="24"/>
              </w:rPr>
              <w:t>日</w:t>
            </w:r>
          </w:p>
          <w:p w14:paraId="59144D30">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申万宏源：达邵炜、武雨桐、田昕；建信理财：栾天悦；亚太财险：朱军宁、陈光；新华基金：姚海明；申万资管：王鹤静；太平养老：鲍聘。</w:t>
            </w:r>
          </w:p>
          <w:p w14:paraId="29D2CDB2">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浙商证券：周向昉、吴天佑、张博文；银华基金：王华、张珂、白照坤；</w:t>
            </w:r>
          </w:p>
          <w:p w14:paraId="064D0AF2">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国金证券：倪赵义、刘民喆；中银基金：张欣仪；方正证券：黄凯伦、孔德璋、赵璐。</w:t>
            </w:r>
          </w:p>
          <w:p w14:paraId="40641412">
            <w:pPr>
              <w:rPr>
                <w:rFonts w:hint="eastAsia" w:ascii="宋体" w:hAnsi="宋体" w:eastAsia="宋体"/>
                <w:b/>
                <w:bCs w:val="0"/>
                <w:iCs/>
                <w:color w:val="000000"/>
                <w:kern w:val="0"/>
                <w:sz w:val="24"/>
                <w:lang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7</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3</w:t>
            </w:r>
            <w:r>
              <w:rPr>
                <w:rFonts w:hint="eastAsia" w:ascii="宋体" w:hAnsi="宋体"/>
                <w:b/>
                <w:bCs w:val="0"/>
                <w:iCs/>
                <w:color w:val="000000"/>
                <w:kern w:val="0"/>
                <w:sz w:val="24"/>
              </w:rPr>
              <w:t>日</w:t>
            </w:r>
          </w:p>
          <w:p w14:paraId="1789D99E">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长江证券：王硕；交银施罗德：柳轩。</w:t>
            </w:r>
          </w:p>
          <w:p w14:paraId="0D310BAA">
            <w:pPr>
              <w:rPr>
                <w:rFonts w:hint="eastAsia" w:ascii="宋体" w:hAnsi="宋体"/>
                <w:b w:val="0"/>
                <w:bCs/>
                <w:iCs/>
                <w:color w:val="000000"/>
                <w:kern w:val="0"/>
                <w:sz w:val="24"/>
                <w:lang w:val="en-US"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7</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8</w:t>
            </w:r>
            <w:r>
              <w:rPr>
                <w:rFonts w:hint="eastAsia" w:ascii="宋体" w:hAnsi="宋体"/>
                <w:b/>
                <w:bCs w:val="0"/>
                <w:iCs/>
                <w:color w:val="000000"/>
                <w:kern w:val="0"/>
                <w:sz w:val="24"/>
              </w:rPr>
              <w:t>日</w:t>
            </w:r>
          </w:p>
          <w:p w14:paraId="6931677F">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民生证券：许浚哲；中信证券：杨博钧、郭柯宇；天风证券：敖颖晨、梁晨</w:t>
            </w:r>
          </w:p>
          <w:p w14:paraId="212A3E31">
            <w:pPr>
              <w:rPr>
                <w:rFonts w:hint="eastAsia" w:ascii="宋体" w:hAnsi="宋体" w:eastAsia="宋体"/>
                <w:b/>
                <w:bCs w:val="0"/>
                <w:iCs/>
                <w:color w:val="000000"/>
                <w:kern w:val="0"/>
                <w:sz w:val="24"/>
                <w:lang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7</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11</w:t>
            </w:r>
            <w:r>
              <w:rPr>
                <w:rFonts w:hint="eastAsia" w:ascii="宋体" w:hAnsi="宋体"/>
                <w:b/>
                <w:bCs w:val="0"/>
                <w:iCs/>
                <w:color w:val="000000"/>
                <w:kern w:val="0"/>
                <w:sz w:val="24"/>
              </w:rPr>
              <w:t>日</w:t>
            </w:r>
          </w:p>
          <w:p w14:paraId="274333B3">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方正证券：黄凯伦；中金证券：刘婧；财通证券：杨博星；景顺长城：江磊。</w:t>
            </w:r>
          </w:p>
          <w:p w14:paraId="462310F5">
            <w:pPr>
              <w:rPr>
                <w:rFonts w:hint="eastAsia" w:ascii="宋体" w:hAnsi="宋体"/>
                <w:b/>
                <w:bCs w:val="0"/>
                <w:iCs/>
                <w:color w:val="000000"/>
                <w:kern w:val="0"/>
                <w:sz w:val="24"/>
                <w:lang w:val="en-US" w:eastAsia="zh-CN"/>
              </w:rPr>
            </w:pPr>
            <w:r>
              <w:rPr>
                <w:rFonts w:hint="eastAsia" w:ascii="宋体" w:hAnsi="宋体"/>
                <w:b/>
                <w:bCs w:val="0"/>
                <w:iCs/>
                <w:color w:val="000000"/>
                <w:kern w:val="0"/>
                <w:sz w:val="24"/>
                <w:lang w:val="en-US" w:eastAsia="zh-CN"/>
              </w:rPr>
              <w:t>2025年8月14日</w:t>
            </w:r>
          </w:p>
          <w:p w14:paraId="6BA40EAA">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中信建投：汪正鑫</w:t>
            </w:r>
          </w:p>
          <w:p w14:paraId="2B8EC975">
            <w:pPr>
              <w:rPr>
                <w:rFonts w:hint="eastAsia" w:ascii="宋体" w:hAnsi="宋体"/>
                <w:b/>
                <w:bCs w:val="0"/>
                <w:iCs/>
                <w:color w:val="000000"/>
                <w:kern w:val="0"/>
                <w:sz w:val="24"/>
                <w:lang w:val="en-US" w:eastAsia="zh-CN"/>
              </w:rPr>
            </w:pPr>
            <w:r>
              <w:rPr>
                <w:rFonts w:hint="eastAsia" w:ascii="宋体" w:hAnsi="宋体"/>
                <w:b/>
                <w:bCs w:val="0"/>
                <w:iCs/>
                <w:color w:val="000000"/>
                <w:kern w:val="0"/>
                <w:sz w:val="24"/>
                <w:lang w:val="en-US" w:eastAsia="zh-CN"/>
              </w:rPr>
              <w:t>2025年9月1日</w:t>
            </w:r>
          </w:p>
          <w:p w14:paraId="13FCD500">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国盛证券：乾亮</w:t>
            </w:r>
          </w:p>
          <w:p w14:paraId="0DA85C0A">
            <w:pPr>
              <w:rPr>
                <w:rFonts w:hint="eastAsia" w:ascii="宋体" w:hAnsi="宋体"/>
                <w:b/>
                <w:bCs w:val="0"/>
                <w:iCs/>
                <w:color w:val="000000"/>
                <w:kern w:val="0"/>
                <w:sz w:val="24"/>
                <w:lang w:val="en-US" w:eastAsia="zh-CN"/>
              </w:rPr>
            </w:pPr>
            <w:r>
              <w:rPr>
                <w:rFonts w:hint="eastAsia" w:ascii="宋体" w:hAnsi="宋体"/>
                <w:b/>
                <w:bCs w:val="0"/>
                <w:iCs/>
                <w:color w:val="000000"/>
                <w:kern w:val="0"/>
                <w:sz w:val="24"/>
                <w:lang w:val="en-US" w:eastAsia="zh-CN"/>
              </w:rPr>
              <w:t>2025年9月8日</w:t>
            </w:r>
          </w:p>
          <w:p w14:paraId="27272731">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长江证券：王硕、杨继虎；华鑫国际信托：田曜齐；中邮保险资管：李柯宏；兴全基金：姚佳；昱奕资产：马李仪；国泰海通：黄龙、梁琳；紫马资本：鲍灵杨；国元证券：楼珈利；长盛基金：张君平；华福证券：徐丽华。</w:t>
            </w:r>
          </w:p>
          <w:p w14:paraId="265E2DD1">
            <w:pPr>
              <w:rPr>
                <w:rFonts w:hint="eastAsia" w:ascii="宋体" w:hAnsi="宋体"/>
                <w:b/>
                <w:bCs w:val="0"/>
                <w:iCs/>
                <w:color w:val="000000"/>
                <w:kern w:val="0"/>
                <w:sz w:val="24"/>
                <w:lang w:val="en-US" w:eastAsia="zh-CN"/>
              </w:rPr>
            </w:pPr>
            <w:r>
              <w:rPr>
                <w:rFonts w:hint="eastAsia" w:ascii="宋体" w:hAnsi="宋体"/>
                <w:b/>
                <w:bCs w:val="0"/>
                <w:iCs/>
                <w:color w:val="000000"/>
                <w:kern w:val="0"/>
                <w:sz w:val="24"/>
                <w:lang w:val="en-US" w:eastAsia="zh-CN"/>
              </w:rPr>
              <w:t>2025年9月11日</w:t>
            </w:r>
          </w:p>
          <w:p w14:paraId="1CEE2641">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国金证券：刘民喆；淡水泉投资：柏杨、刘耀阳。</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173B8F3">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时  间</w:t>
            </w:r>
          </w:p>
        </w:tc>
        <w:tc>
          <w:tcPr>
            <w:tcW w:w="7580" w:type="dxa"/>
          </w:tcPr>
          <w:p w14:paraId="73AAC894">
            <w:pPr>
              <w:spacing w:line="240" w:lineRule="auto"/>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w:t>
            </w:r>
            <w:r>
              <w:rPr>
                <w:rFonts w:hint="eastAsia" w:ascii="宋体" w:hAnsi="宋体"/>
                <w:bCs/>
                <w:iCs/>
                <w:color w:val="000000"/>
                <w:kern w:val="0"/>
                <w:sz w:val="24"/>
                <w:lang w:val="en-US" w:eastAsia="zh-CN"/>
              </w:rPr>
              <w:t>7月</w:t>
            </w:r>
            <w:r>
              <w:rPr>
                <w:rFonts w:hint="eastAsia" w:ascii="宋体" w:hAnsi="宋体"/>
                <w:bCs/>
                <w:iCs/>
                <w:color w:val="000000"/>
                <w:kern w:val="0"/>
                <w:sz w:val="24"/>
                <w:lang w:val="en-US" w:eastAsia="zh-CN"/>
              </w:rPr>
              <w:t>2日（</w:t>
            </w:r>
            <w:r>
              <w:rPr>
                <w:rFonts w:hint="eastAsia" w:ascii="宋体" w:hAnsi="宋体"/>
                <w:bCs/>
                <w:iCs/>
                <w:color w:val="000000"/>
                <w:kern w:val="0"/>
                <w:sz w:val="24"/>
                <w:lang w:val="en-US" w:eastAsia="zh-CN"/>
              </w:rPr>
              <w:t>9：</w:t>
            </w:r>
            <w:r>
              <w:rPr>
                <w:rFonts w:hint="eastAsia" w:ascii="宋体" w:hAnsi="宋体"/>
                <w:bCs/>
                <w:iCs/>
                <w:color w:val="000000"/>
                <w:kern w:val="0"/>
                <w:sz w:val="24"/>
                <w:lang w:val="en-US" w:eastAsia="zh-CN"/>
              </w:rPr>
              <w:t>3</w:t>
            </w:r>
            <w:r>
              <w:rPr>
                <w:rFonts w:hint="default" w:ascii="宋体" w:hAnsi="宋体"/>
                <w:bCs/>
                <w:iCs/>
                <w:color w:val="000000"/>
                <w:kern w:val="0"/>
                <w:sz w:val="24"/>
                <w:lang w:val="en-US" w:eastAsia="zh-CN"/>
              </w:rPr>
              <w:t>0</w:t>
            </w:r>
            <w:r>
              <w:rPr>
                <w:rFonts w:hint="eastAsia" w:ascii="宋体" w:hAnsi="宋体"/>
                <w:bCs/>
                <w:iCs/>
                <w:color w:val="000000"/>
                <w:kern w:val="0"/>
                <w:sz w:val="24"/>
                <w:lang w:val="en-US" w:eastAsia="zh-CN"/>
              </w:rPr>
              <w:t>-1</w:t>
            </w:r>
            <w:r>
              <w:rPr>
                <w:rFonts w:hint="eastAsia" w:ascii="宋体" w:hAnsi="宋体"/>
                <w:bCs/>
                <w:iCs/>
                <w:color w:val="000000"/>
                <w:kern w:val="0"/>
                <w:sz w:val="24"/>
                <w:lang w:val="en-US" w:eastAsia="zh-CN"/>
              </w:rPr>
              <w:t>0：</w:t>
            </w:r>
            <w:r>
              <w:rPr>
                <w:rFonts w:hint="eastAsia" w:ascii="宋体" w:hAnsi="宋体"/>
                <w:bCs/>
                <w:iCs/>
                <w:color w:val="000000"/>
                <w:kern w:val="0"/>
                <w:sz w:val="24"/>
                <w:lang w:val="en-US" w:eastAsia="zh-CN"/>
              </w:rPr>
              <w:t>45）（</w:t>
            </w:r>
            <w:r>
              <w:rPr>
                <w:rFonts w:hint="eastAsia" w:ascii="宋体" w:hAnsi="宋体"/>
                <w:bCs/>
                <w:iCs/>
                <w:color w:val="000000"/>
                <w:kern w:val="0"/>
                <w:sz w:val="24"/>
                <w:lang w:val="en-US" w:eastAsia="zh-CN"/>
              </w:rPr>
              <w:t>16：</w:t>
            </w:r>
            <w:r>
              <w:rPr>
                <w:rFonts w:hint="default" w:ascii="宋体" w:hAnsi="宋体"/>
                <w:bCs/>
                <w:iCs/>
                <w:color w:val="000000"/>
                <w:kern w:val="0"/>
                <w:sz w:val="24"/>
                <w:lang w:val="en-US" w:eastAsia="zh-CN"/>
              </w:rPr>
              <w:t>0</w:t>
            </w:r>
            <w:r>
              <w:rPr>
                <w:rFonts w:hint="eastAsia" w:ascii="宋体" w:hAnsi="宋体"/>
                <w:bCs/>
                <w:iCs/>
                <w:color w:val="000000"/>
                <w:kern w:val="0"/>
                <w:sz w:val="24"/>
                <w:lang w:val="en-US" w:eastAsia="zh-CN"/>
              </w:rPr>
              <w:t>0-1</w:t>
            </w:r>
            <w:r>
              <w:rPr>
                <w:rFonts w:hint="eastAsia" w:ascii="宋体" w:hAnsi="宋体"/>
                <w:bCs/>
                <w:iCs/>
                <w:color w:val="000000"/>
                <w:kern w:val="0"/>
                <w:sz w:val="24"/>
                <w:lang w:val="en-US" w:eastAsia="zh-CN"/>
              </w:rPr>
              <w:t>7：</w:t>
            </w:r>
            <w:r>
              <w:rPr>
                <w:rFonts w:hint="eastAsia" w:ascii="宋体" w:hAnsi="宋体"/>
                <w:bCs/>
                <w:iCs/>
                <w:color w:val="000000"/>
                <w:kern w:val="0"/>
                <w:sz w:val="24"/>
                <w:lang w:val="en-US" w:eastAsia="zh-CN"/>
              </w:rPr>
              <w:t>30）</w:t>
            </w:r>
          </w:p>
          <w:p w14:paraId="5DEC58E2">
            <w:pPr>
              <w:spacing w:line="240" w:lineRule="auto"/>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w:t>
            </w:r>
            <w:r>
              <w:rPr>
                <w:rFonts w:hint="eastAsia" w:ascii="宋体" w:hAnsi="宋体"/>
                <w:bCs/>
                <w:iCs/>
                <w:color w:val="000000"/>
                <w:kern w:val="0"/>
                <w:sz w:val="24"/>
                <w:lang w:val="en-US" w:eastAsia="zh-CN"/>
              </w:rPr>
              <w:t>7月</w:t>
            </w:r>
            <w:r>
              <w:rPr>
                <w:rFonts w:hint="eastAsia" w:ascii="宋体" w:hAnsi="宋体"/>
                <w:bCs/>
                <w:iCs/>
                <w:color w:val="000000"/>
                <w:kern w:val="0"/>
                <w:sz w:val="24"/>
                <w:lang w:val="en-US" w:eastAsia="zh-CN"/>
              </w:rPr>
              <w:t>3日（</w:t>
            </w:r>
            <w:r>
              <w:rPr>
                <w:rFonts w:hint="eastAsia" w:ascii="宋体" w:hAnsi="宋体"/>
                <w:bCs/>
                <w:iCs/>
                <w:color w:val="000000"/>
                <w:kern w:val="0"/>
                <w:sz w:val="24"/>
                <w:lang w:val="en-US" w:eastAsia="zh-CN"/>
              </w:rPr>
              <w:t>14：</w:t>
            </w:r>
            <w:r>
              <w:rPr>
                <w:rFonts w:hint="eastAsia" w:ascii="宋体" w:hAnsi="宋体"/>
                <w:bCs/>
                <w:iCs/>
                <w:color w:val="000000"/>
                <w:kern w:val="0"/>
                <w:sz w:val="24"/>
                <w:lang w:val="en-US" w:eastAsia="zh-CN"/>
              </w:rPr>
              <w:t>3</w:t>
            </w:r>
            <w:r>
              <w:rPr>
                <w:rFonts w:hint="default" w:ascii="宋体" w:hAnsi="宋体"/>
                <w:bCs/>
                <w:iCs/>
                <w:color w:val="000000"/>
                <w:kern w:val="0"/>
                <w:sz w:val="24"/>
                <w:lang w:val="en-US" w:eastAsia="zh-CN"/>
              </w:rPr>
              <w:t>0</w:t>
            </w:r>
            <w:r>
              <w:rPr>
                <w:rFonts w:hint="eastAsia" w:ascii="宋体" w:hAnsi="宋体"/>
                <w:bCs/>
                <w:iCs/>
                <w:color w:val="000000"/>
                <w:kern w:val="0"/>
                <w:sz w:val="24"/>
                <w:lang w:val="en-US" w:eastAsia="zh-CN"/>
              </w:rPr>
              <w:t>-1</w:t>
            </w:r>
            <w:r>
              <w:rPr>
                <w:rFonts w:hint="eastAsia" w:ascii="宋体" w:hAnsi="宋体"/>
                <w:bCs/>
                <w:iCs/>
                <w:color w:val="000000"/>
                <w:kern w:val="0"/>
                <w:sz w:val="24"/>
                <w:lang w:val="en-US" w:eastAsia="zh-CN"/>
              </w:rPr>
              <w:t>6：</w:t>
            </w:r>
            <w:r>
              <w:rPr>
                <w:rFonts w:hint="eastAsia" w:ascii="宋体" w:hAnsi="宋体"/>
                <w:bCs/>
                <w:iCs/>
                <w:color w:val="000000"/>
                <w:kern w:val="0"/>
                <w:sz w:val="24"/>
                <w:lang w:val="en-US" w:eastAsia="zh-CN"/>
              </w:rPr>
              <w:t>00）</w:t>
            </w:r>
          </w:p>
          <w:p w14:paraId="79E002BF">
            <w:pPr>
              <w:spacing w:line="240" w:lineRule="auto"/>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2025年7月8日（</w:t>
            </w:r>
            <w:r>
              <w:rPr>
                <w:rFonts w:hint="eastAsia" w:ascii="宋体" w:hAnsi="宋体"/>
                <w:bCs/>
                <w:iCs/>
                <w:color w:val="000000"/>
                <w:kern w:val="0"/>
                <w:sz w:val="24"/>
                <w:lang w:val="en-US" w:eastAsia="zh-CN"/>
              </w:rPr>
              <w:t>10：00-1</w:t>
            </w:r>
            <w:r>
              <w:rPr>
                <w:rFonts w:hint="eastAsia" w:ascii="宋体" w:hAnsi="宋体"/>
                <w:bCs/>
                <w:iCs/>
                <w:color w:val="000000"/>
                <w:kern w:val="0"/>
                <w:sz w:val="24"/>
                <w:lang w:val="en-US" w:eastAsia="zh-CN"/>
              </w:rPr>
              <w:t>1：</w:t>
            </w:r>
            <w:r>
              <w:rPr>
                <w:rFonts w:hint="eastAsia" w:ascii="宋体" w:hAnsi="宋体"/>
                <w:bCs/>
                <w:iCs/>
                <w:color w:val="000000"/>
                <w:kern w:val="0"/>
                <w:sz w:val="24"/>
                <w:lang w:val="en-US" w:eastAsia="zh-CN"/>
              </w:rPr>
              <w:t>45）</w:t>
            </w:r>
          </w:p>
          <w:p w14:paraId="524CAB64">
            <w:pPr>
              <w:spacing w:line="240" w:lineRule="auto"/>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2025年7月11日（10：45-12：00）</w:t>
            </w:r>
          </w:p>
          <w:p w14:paraId="6089BCD1">
            <w:pPr>
              <w:spacing w:line="240" w:lineRule="auto"/>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2025年8月14日（15：00-16：00）</w:t>
            </w:r>
          </w:p>
          <w:p w14:paraId="6413E24A">
            <w:pPr>
              <w:spacing w:line="240" w:lineRule="auto"/>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2025年9月1日（10：15-11：30）</w:t>
            </w:r>
          </w:p>
          <w:p w14:paraId="4565EA8E">
            <w:pPr>
              <w:spacing w:line="240" w:lineRule="auto"/>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2025年9月8日（16：00-17：50）</w:t>
            </w:r>
          </w:p>
          <w:p w14:paraId="5C6B86C7">
            <w:pPr>
              <w:spacing w:line="240" w:lineRule="auto"/>
              <w:rPr>
                <w:rFonts w:hint="default" w:ascii="宋体" w:hAnsi="宋体"/>
                <w:bCs/>
                <w:iCs/>
                <w:color w:val="000000"/>
                <w:kern w:val="0"/>
                <w:sz w:val="24"/>
                <w:lang w:val="en-US" w:eastAsia="zh-CN"/>
              </w:rPr>
            </w:pPr>
            <w:r>
              <w:rPr>
                <w:rFonts w:hint="eastAsia" w:ascii="宋体" w:hAnsi="宋体"/>
                <w:b w:val="0"/>
                <w:bCs/>
                <w:iCs/>
                <w:color w:val="000000"/>
                <w:kern w:val="0"/>
                <w:sz w:val="24"/>
                <w:lang w:val="en-US" w:eastAsia="zh-CN"/>
              </w:rPr>
              <w:t>2025年9月11日（15：30-17：20）</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7C6581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地  点</w:t>
            </w:r>
          </w:p>
        </w:tc>
        <w:tc>
          <w:tcPr>
            <w:tcW w:w="7580" w:type="dxa"/>
          </w:tcPr>
          <w:p w14:paraId="2AD855F6">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rPr>
              <w:t>公司展厅、</w:t>
            </w:r>
            <w:r>
              <w:rPr>
                <w:rFonts w:hint="eastAsia" w:ascii="宋体" w:hAnsi="宋体"/>
                <w:bCs/>
                <w:iCs/>
                <w:color w:val="000000"/>
                <w:kern w:val="0"/>
                <w:sz w:val="24"/>
                <w:lang w:val="en-US" w:eastAsia="zh-CN"/>
              </w:rPr>
              <w:t>第二会议室、</w:t>
            </w:r>
            <w:r>
              <w:rPr>
                <w:rFonts w:hint="eastAsia" w:ascii="宋体" w:hAnsi="宋体"/>
                <w:bCs/>
                <w:iCs/>
                <w:color w:val="000000"/>
                <w:kern w:val="0"/>
                <w:sz w:val="24"/>
              </w:rPr>
              <w:t>第</w:t>
            </w:r>
            <w:r>
              <w:rPr>
                <w:rFonts w:hint="eastAsia" w:ascii="宋体" w:hAnsi="宋体"/>
                <w:bCs/>
                <w:iCs/>
                <w:color w:val="000000"/>
                <w:kern w:val="0"/>
                <w:sz w:val="24"/>
                <w:lang w:val="en-US" w:eastAsia="zh-CN"/>
              </w:rPr>
              <w:t>三</w:t>
            </w:r>
            <w:r>
              <w:rPr>
                <w:rFonts w:hint="eastAsia" w:ascii="宋体" w:hAnsi="宋体"/>
                <w:bCs/>
                <w:iCs/>
                <w:color w:val="000000"/>
                <w:kern w:val="0"/>
                <w:sz w:val="24"/>
                <w:lang w:eastAsia="zh-Hans"/>
              </w:rPr>
              <w:t>会议室</w:t>
            </w:r>
            <w:r>
              <w:rPr>
                <w:rFonts w:hint="eastAsia" w:ascii="宋体" w:hAnsi="宋体"/>
                <w:bCs/>
                <w:iCs/>
                <w:color w:val="000000"/>
                <w:kern w:val="0"/>
                <w:sz w:val="24"/>
                <w:lang w:eastAsia="zh-CN"/>
              </w:rPr>
              <w:t>、</w:t>
            </w:r>
            <w:r>
              <w:rPr>
                <w:rFonts w:hint="eastAsia" w:ascii="宋体" w:hAnsi="宋体"/>
                <w:bCs/>
                <w:iCs/>
                <w:color w:val="000000"/>
                <w:kern w:val="0"/>
                <w:sz w:val="24"/>
                <w:lang w:val="en-US" w:eastAsia="zh-CN"/>
              </w:rPr>
              <w:t>第四会议室等</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3265B6E">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接待人员姓名</w:t>
            </w:r>
          </w:p>
        </w:tc>
        <w:tc>
          <w:tcPr>
            <w:tcW w:w="7580" w:type="dxa"/>
            <w:vAlign w:val="center"/>
          </w:tcPr>
          <w:p w14:paraId="32BDBDCA">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rPr>
              <w:t>证券事务代表</w:t>
            </w:r>
            <w:r>
              <w:rPr>
                <w:rFonts w:hint="eastAsia" w:ascii="宋体" w:hAnsi="宋体"/>
                <w:bCs/>
                <w:iCs/>
                <w:color w:val="000000"/>
                <w:kern w:val="0"/>
                <w:sz w:val="24"/>
                <w:lang w:eastAsia="zh-CN"/>
              </w:rPr>
              <w:t>、</w:t>
            </w:r>
            <w:r>
              <w:rPr>
                <w:rFonts w:hint="eastAsia" w:ascii="宋体" w:hAnsi="宋体"/>
                <w:bCs/>
                <w:iCs/>
                <w:color w:val="000000"/>
                <w:kern w:val="0"/>
                <w:sz w:val="24"/>
              </w:rPr>
              <w:t>证券投资部副主任：梁建</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1" w:type="dxa"/>
            <w:vAlign w:val="center"/>
          </w:tcPr>
          <w:p w14:paraId="12FABC7C">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投资者关系活动主要内容介绍</w:t>
            </w:r>
          </w:p>
        </w:tc>
        <w:tc>
          <w:tcPr>
            <w:tcW w:w="7580" w:type="dxa"/>
          </w:tcPr>
          <w:p w14:paraId="05EE9B5B">
            <w:pPr>
              <w:spacing w:line="276" w:lineRule="auto"/>
              <w:ind w:firstLine="484" w:firstLineChars="201"/>
              <w:rPr>
                <w:rFonts w:hint="eastAsia" w:ascii="宋体" w:hAnsi="宋体"/>
                <w:b/>
                <w:bCs/>
                <w:sz w:val="24"/>
              </w:rPr>
            </w:pPr>
            <w:r>
              <w:rPr>
                <w:rFonts w:hint="eastAsia" w:ascii="宋体" w:hAnsi="宋体"/>
                <w:b/>
                <w:bCs/>
                <w:sz w:val="24"/>
              </w:rPr>
              <w:t>线下投资者关系活动主要包括：</w:t>
            </w:r>
          </w:p>
          <w:p w14:paraId="57AECD5E">
            <w:pPr>
              <w:spacing w:line="276" w:lineRule="auto"/>
              <w:ind w:firstLine="484" w:firstLineChars="201"/>
              <w:rPr>
                <w:rFonts w:hint="eastAsia" w:ascii="宋体" w:hAnsi="宋体"/>
                <w:b/>
                <w:bCs/>
                <w:sz w:val="24"/>
              </w:rPr>
            </w:pPr>
            <w:r>
              <w:rPr>
                <w:rFonts w:hint="eastAsia" w:ascii="宋体" w:hAnsi="宋体"/>
                <w:b/>
                <w:bCs/>
                <w:sz w:val="24"/>
              </w:rPr>
              <w:t>（1）参观公司展厅，观看38所和公司宣传片；</w:t>
            </w:r>
          </w:p>
          <w:p w14:paraId="1C9EF2B0">
            <w:pPr>
              <w:spacing w:line="276" w:lineRule="auto"/>
              <w:ind w:firstLine="484" w:firstLineChars="201"/>
              <w:rPr>
                <w:rFonts w:hint="eastAsia" w:ascii="宋体" w:hAnsi="宋体"/>
                <w:b/>
                <w:bCs/>
                <w:sz w:val="24"/>
              </w:rPr>
            </w:pPr>
            <w:r>
              <w:rPr>
                <w:rFonts w:hint="eastAsia" w:ascii="宋体" w:hAnsi="宋体"/>
                <w:b/>
                <w:bCs/>
                <w:sz w:val="24"/>
              </w:rPr>
              <w:t>（2）公司接待人员与来访投资者在会议室进行互动交流。</w:t>
            </w:r>
          </w:p>
          <w:p w14:paraId="6B994115">
            <w:pPr>
              <w:spacing w:line="276" w:lineRule="auto"/>
              <w:ind w:firstLine="484" w:firstLineChars="201"/>
              <w:rPr>
                <w:rFonts w:hint="eastAsia" w:ascii="宋体" w:hAnsi="宋体"/>
                <w:b/>
                <w:bCs/>
                <w:sz w:val="24"/>
              </w:rPr>
            </w:pPr>
            <w:r>
              <w:rPr>
                <w:rFonts w:hint="eastAsia" w:ascii="宋体" w:hAnsi="宋体"/>
                <w:b/>
                <w:bCs/>
                <w:sz w:val="24"/>
              </w:rPr>
              <w:t>一、公司基本情况介绍</w:t>
            </w:r>
          </w:p>
          <w:p w14:paraId="0CCBF7D0">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eastAsia="zh-Hans"/>
              </w:rPr>
              <w:t>四创电子2000年8月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rPr>
              <w:t>为核心的感知</w:t>
            </w:r>
            <w:r>
              <w:rPr>
                <w:rFonts w:hint="eastAsia" w:ascii="楷体" w:hAnsi="楷体" w:eastAsia="楷体" w:cs="宋体"/>
                <w:kern w:val="0"/>
                <w:szCs w:val="21"/>
                <w:lang w:val="en-US" w:eastAsia="zh-CN"/>
              </w:rPr>
              <w:t>产品</w:t>
            </w:r>
            <w:r>
              <w:rPr>
                <w:rFonts w:hint="eastAsia" w:ascii="楷体" w:hAnsi="楷体" w:eastAsia="楷体" w:cs="宋体"/>
                <w:kern w:val="0"/>
                <w:szCs w:val="21"/>
              </w:rPr>
              <w:t>，以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rPr>
              <w:t>为核心的感知基础，以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eastAsia="zh-Hans"/>
              </w:rPr>
              <w:t>人防信息系统</w:t>
            </w:r>
            <w:r>
              <w:rPr>
                <w:rFonts w:hint="eastAsia" w:ascii="楷体" w:hAnsi="楷体" w:eastAsia="楷体" w:cs="宋体"/>
                <w:kern w:val="0"/>
                <w:szCs w:val="21"/>
              </w:rPr>
              <w:t>为核心的感知应用</w:t>
            </w:r>
            <w:r>
              <w:rPr>
                <w:rFonts w:hint="eastAsia" w:ascii="楷体" w:hAnsi="楷体" w:eastAsia="楷体" w:cs="宋体"/>
                <w:kern w:val="0"/>
                <w:szCs w:val="21"/>
                <w:lang w:val="en-US" w:eastAsia="zh-CN"/>
              </w:rPr>
              <w:t>以及低空经济等新动能业务。</w:t>
            </w:r>
          </w:p>
          <w:p w14:paraId="0600598B">
            <w:pPr>
              <w:spacing w:line="276" w:lineRule="auto"/>
              <w:ind w:firstLine="484" w:firstLineChars="201"/>
              <w:rPr>
                <w:rFonts w:hint="eastAsia" w:ascii="宋体" w:hAnsi="宋体"/>
                <w:b/>
                <w:bCs/>
                <w:sz w:val="24"/>
              </w:rPr>
            </w:pPr>
            <w:r>
              <w:rPr>
                <w:rFonts w:hint="eastAsia" w:ascii="宋体" w:hAnsi="宋体"/>
                <w:b/>
                <w:bCs/>
                <w:sz w:val="24"/>
              </w:rPr>
              <w:t>二、互动问答</w:t>
            </w:r>
          </w:p>
          <w:p w14:paraId="7BB69049">
            <w:pPr>
              <w:widowControl/>
              <w:ind w:firstLine="422" w:firstLineChars="200"/>
              <w:jc w:val="left"/>
              <w:rPr>
                <w:rFonts w:hint="eastAsia" w:ascii="楷体" w:hAnsi="楷体" w:eastAsia="楷体" w:cs="宋体"/>
                <w:b/>
                <w:bCs/>
                <w:kern w:val="0"/>
                <w:szCs w:val="21"/>
                <w:lang w:eastAsia="zh-CN"/>
              </w:rPr>
            </w:pPr>
            <w:r>
              <w:rPr>
                <w:rFonts w:hint="eastAsia" w:ascii="楷体" w:hAnsi="楷体" w:eastAsia="楷体" w:cs="宋体"/>
                <w:b/>
                <w:bCs/>
                <w:kern w:val="0"/>
                <w:szCs w:val="21"/>
              </w:rPr>
              <w:t>1、</w:t>
            </w:r>
            <w:r>
              <w:rPr>
                <w:rFonts w:hint="eastAsia" w:ascii="楷体" w:hAnsi="楷体" w:eastAsia="楷体" w:cs="宋体"/>
                <w:b/>
                <w:bCs/>
                <w:kern w:val="0"/>
                <w:szCs w:val="21"/>
                <w:lang w:val="en-US" w:eastAsia="zh-CN"/>
              </w:rPr>
              <w:t>怎么看公司半年度经营情况？</w:t>
            </w:r>
          </w:p>
          <w:p w14:paraId="59672656">
            <w:pPr>
              <w:widowControl/>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rPr>
              <w:t>答：</w:t>
            </w:r>
            <w:r>
              <w:rPr>
                <w:rFonts w:hint="eastAsia" w:ascii="楷体" w:hAnsi="楷体" w:eastAsia="楷体" w:cs="宋体"/>
                <w:kern w:val="0"/>
                <w:szCs w:val="21"/>
                <w:lang w:val="en-US" w:eastAsia="zh-CN"/>
              </w:rPr>
              <w:t>公司2025年半年度营业收入较上年同期增长5.6%，主要来源于雷达整机、数智安全业务收入的增加，研发投入较上年同期有较大幅度增加，主要聚焦在感知产品和低空经济领域，归母净利润虽较上年亏损加剧，主要是上年同期有房产处置事项，因此公司扣非归母净利润较上年亏损减少，来源于销售费用、管理费用的下降以及整体毛利率的提升。公司将继续努力做好经营管理工作，力争实现年度经营目标。</w:t>
            </w:r>
          </w:p>
          <w:p w14:paraId="6DCAAAE5">
            <w:pPr>
              <w:widowControl/>
              <w:ind w:firstLine="422" w:firstLineChars="200"/>
              <w:jc w:val="left"/>
              <w:rPr>
                <w:rFonts w:hint="default" w:ascii="楷体" w:hAnsi="楷体" w:eastAsia="楷体" w:cs="宋体"/>
                <w:b/>
                <w:bCs/>
                <w:kern w:val="0"/>
                <w:szCs w:val="21"/>
                <w:lang w:val="en-US"/>
              </w:rPr>
            </w:pPr>
            <w:r>
              <w:rPr>
                <w:rFonts w:hint="eastAsia" w:ascii="楷体" w:hAnsi="楷体" w:eastAsia="楷体" w:cs="宋体"/>
                <w:b/>
                <w:bCs/>
                <w:kern w:val="0"/>
                <w:szCs w:val="21"/>
              </w:rPr>
              <w:t>2、</w:t>
            </w:r>
            <w:r>
              <w:rPr>
                <w:rFonts w:hint="eastAsia" w:ascii="楷体" w:hAnsi="楷体" w:eastAsia="楷体" w:cs="宋体"/>
                <w:b/>
                <w:bCs/>
                <w:kern w:val="0"/>
                <w:szCs w:val="21"/>
                <w:lang w:val="en-US" w:eastAsia="zh-CN"/>
              </w:rPr>
              <w:t>能否简单介绍下公司参加的第四届低空经济发展大会情况？</w:t>
            </w:r>
          </w:p>
          <w:p w14:paraId="4384BF72">
            <w:pPr>
              <w:widowControl/>
              <w:ind w:firstLine="420" w:firstLineChars="200"/>
              <w:jc w:val="left"/>
              <w:rPr>
                <w:rFonts w:hint="default" w:ascii="楷体" w:hAnsi="楷体" w:eastAsia="楷体" w:cs="宋体"/>
                <w:kern w:val="0"/>
                <w:szCs w:val="21"/>
                <w:lang w:val="en-US"/>
              </w:rPr>
            </w:pPr>
            <w:r>
              <w:rPr>
                <w:rFonts w:hint="eastAsia" w:ascii="楷体" w:hAnsi="楷体" w:eastAsia="楷体" w:cs="宋体"/>
                <w:kern w:val="0"/>
                <w:szCs w:val="21"/>
              </w:rPr>
              <w:t>答：</w:t>
            </w:r>
            <w:r>
              <w:rPr>
                <w:rFonts w:hint="eastAsia" w:ascii="楷体" w:hAnsi="楷体" w:eastAsia="楷体" w:cs="宋体"/>
                <w:kern w:val="0"/>
                <w:szCs w:val="21"/>
                <w:lang w:val="en-US" w:eastAsia="zh-CN"/>
              </w:rPr>
              <w:t>第四届低空经济发展大会于9月5日在安徽芜湖开幕，大会的主题是“场景创新引领，安全有序发展”，公司也携低空经济系列产品及系统解决发展参加了展会，展示公司在低空领域的创新成果。同时，公司在“中央企业低空经济报告会”上作了《城市立体安全防控体系的探索与实践》专题汇报，发布“低空雪亮”安全监管系统解决方案及核心产品。在解决方案方面，公司除了展示“低空雪亮”，还展示了低空试验验证基地、重要目标防护系统以及“悟空”低空大模型，展示了城市安全监管的“智慧大脑”。在目标探测领域，公司展出了从百米级到20km探测距离的多维立体、主被动协同的低空监视系列产品，包括空中警察、“萤火虫”超近程雷达、X波段相控阵雷达、微波辐射计、3G网眼雷达等。</w:t>
            </w:r>
          </w:p>
          <w:p w14:paraId="267E6040">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3、请重点介绍下重要目标防护系统？</w:t>
            </w:r>
          </w:p>
          <w:p w14:paraId="7809481A">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针对不同场景的重要目标防护需求，公司打造覆盖机动式、点位级、区域级和城市级的4大场景重要目标防护整体解决方案，具体包括区域级防护半径达20公里，适用于大型机场、港口等要地场景；点位级防护半径约5公里，为监狱监所、政府大楼、能源单位等提供“探测-识别-取证-处置”闭环综合防控；机动伴随式防护半径8公里，专门针对要人出行、大型活动安保等场景，展现出色的灵活性和适应性。城市级防护半径50公里，针对核心区、人口密集区，首创“低空雪亮”城市立体防控体系。</w:t>
            </w:r>
          </w:p>
          <w:p w14:paraId="49120BD4">
            <w:pPr>
              <w:widowControl/>
              <w:numPr>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4、请介绍下合肥低空专项债具体情况？</w:t>
            </w:r>
          </w:p>
          <w:p w14:paraId="42F82CEE">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据了解，8月26日，安徽省财政厅正式发行部分专项债券，其中合肥市低空经济基础设施建设项目获批18.6亿元，此次获批的低空经济领域专项债项目区别于其他基建产业园项目，重点聚焦低空安全监管的顶层设计，具体包括低空智联网基础设施、地面基础设施体系、低空飞行支撑体系、低空飞行保障体系、低空飞行服务与一网统飞指挥中信和安全防护体系，共计6大模块。目前项目正在开展详细设计等工作。后续根据具体进展情况，落地相关业务。</w:t>
            </w:r>
          </w:p>
          <w:p w14:paraId="7F6719A3">
            <w:pPr>
              <w:widowControl/>
              <w:ind w:firstLine="422" w:firstLineChars="200"/>
              <w:jc w:val="left"/>
              <w:rPr>
                <w:rFonts w:hint="default" w:ascii="楷体" w:hAnsi="楷体" w:eastAsia="楷体" w:cs="宋体"/>
                <w:b/>
                <w:bCs/>
                <w:kern w:val="0"/>
                <w:szCs w:val="21"/>
                <w:lang w:val="en-US" w:eastAsia="zh-CN"/>
              </w:rPr>
            </w:pPr>
            <w:r>
              <w:rPr>
                <w:rFonts w:hint="eastAsia" w:ascii="楷体" w:hAnsi="楷体" w:eastAsia="楷体" w:cs="宋体"/>
                <w:b/>
                <w:bCs/>
                <w:kern w:val="0"/>
                <w:szCs w:val="21"/>
                <w:lang w:val="en-US" w:eastAsia="zh-CN"/>
              </w:rPr>
              <w:t>5、公司针对低空领域，开发了哪些重点核心产品？</w:t>
            </w:r>
          </w:p>
          <w:p w14:paraId="61F1D947">
            <w:pPr>
              <w:widowControl/>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围绕当前行业内安全不托底的技术难题，对标低空安全市场需求，公司体系化布局了多款单装级低成本低空安全核心产品，主要包括低空监视产品和低空气象产品等。低空监视产品包括超近程低空监视雷达、近程低空监视雷达、中程低空监视雷达和远程低空监视雷达。低空气象产品包括地基辐射计、低成本相控阵天气雷达和激光测风雷达等。</w:t>
            </w:r>
          </w:p>
          <w:p w14:paraId="54EBDA5F">
            <w:pPr>
              <w:widowControl/>
              <w:numPr>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6、您提到的这些产品未来重点应用在哪些领域，市场规模如何？</w:t>
            </w:r>
          </w:p>
          <w:p w14:paraId="192F37CA">
            <w:pPr>
              <w:widowControl/>
              <w:numPr>
                <w:numId w:val="0"/>
              </w:numPr>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这些产品主要聚焦在城市空中交通、机场重防、其他要地防护等业务领域，“管的住才能放得开”随着低空经济的发展，各业务领域均有良好的市场前景。针对城市空中交通领域（包括公安城市治理），主要应用到超近程监视雷达、近程监视雷达和低空气象设备；在机场重防领域，重点需求超近程监视雷达、中程监视雷达和远程监视雷达，相关产品也在某机场开展比测；在其他要地涉及低空管控区域，主要包括涉密单位、要害设施、基础设施、特殊设施、重要场所等，重点需求中程监视雷达和远程监视雷达。</w:t>
            </w:r>
          </w:p>
          <w:p w14:paraId="0218B06A">
            <w:pPr>
              <w:widowControl/>
              <w:numPr>
                <w:numId w:val="0"/>
              </w:numPr>
              <w:ind w:left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7、最近核聚变领域的电源是否有最新进展？</w:t>
            </w:r>
          </w:p>
          <w:p w14:paraId="5DA01648">
            <w:pPr>
              <w:widowControl/>
              <w:numPr>
                <w:ilvl w:val="0"/>
                <w:numId w:val="0"/>
              </w:numPr>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答：据了解，聚变新能最近针对BES</w:t>
            </w:r>
            <w:bookmarkStart w:id="0" w:name="_GoBack"/>
            <w:bookmarkEnd w:id="0"/>
            <w:r>
              <w:rPr>
                <w:rFonts w:hint="eastAsia" w:ascii="楷体" w:hAnsi="楷体" w:eastAsia="楷体" w:cs="宋体"/>
                <w:kern w:val="0"/>
                <w:szCs w:val="21"/>
                <w:lang w:val="en-US" w:eastAsia="zh-CN"/>
              </w:rPr>
              <w:t>T项目中的离子回旋加热系统需求的高压模块批产产品向多家单位进行了询价，以编制项目预算，预计年内可能会开展招投标工作。BEST项目的中心束加热系统项目和EAST改造项目尚无最新进展。</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EB382A0">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附件清单</w:t>
            </w:r>
          </w:p>
          <w:p w14:paraId="48E8AA11">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（如有）</w:t>
            </w:r>
          </w:p>
        </w:tc>
        <w:tc>
          <w:tcPr>
            <w:tcW w:w="7580" w:type="dxa"/>
          </w:tcPr>
          <w:p w14:paraId="55614DB4">
            <w:pPr>
              <w:spacing w:line="480" w:lineRule="atLeast"/>
              <w:rPr>
                <w:rFonts w:hint="eastAsia"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F839F8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日  期</w:t>
            </w:r>
          </w:p>
        </w:tc>
        <w:tc>
          <w:tcPr>
            <w:tcW w:w="7580" w:type="dxa"/>
          </w:tcPr>
          <w:p w14:paraId="55AE9635">
            <w:pPr>
              <w:spacing w:line="240" w:lineRule="auto"/>
              <w:rPr>
                <w:rFonts w:hint="eastAsia" w:ascii="宋体" w:hAnsi="宋体"/>
                <w:bCs/>
                <w:iCs/>
                <w:color w:val="000000"/>
                <w:kern w:val="0"/>
                <w:sz w:val="24"/>
              </w:rPr>
            </w:pPr>
            <w:r>
              <w:rPr>
                <w:rFonts w:hint="eastAsia" w:ascii="宋体" w:hAnsi="宋体"/>
                <w:bCs/>
                <w:iCs/>
                <w:color w:val="000000"/>
                <w:kern w:val="0"/>
                <w:sz w:val="24"/>
                <w:lang w:val="en-US" w:eastAsia="zh-CN"/>
              </w:rPr>
              <w:t>2025年7月2日；2025年7月3日；2025年7月8日；2025年7月11日；2025年8月14日；</w:t>
            </w:r>
            <w:r>
              <w:rPr>
                <w:rFonts w:hint="eastAsia" w:ascii="宋体" w:hAnsi="宋体"/>
                <w:b w:val="0"/>
                <w:bCs/>
                <w:iCs/>
                <w:color w:val="000000"/>
                <w:kern w:val="0"/>
                <w:sz w:val="24"/>
                <w:lang w:val="en-US" w:eastAsia="zh-CN"/>
              </w:rPr>
              <w:t>2025年9月1日；</w:t>
            </w:r>
            <w:r>
              <w:rPr>
                <w:rFonts w:hint="eastAsia" w:ascii="宋体" w:hAnsi="宋体"/>
                <w:bCs/>
                <w:iCs/>
                <w:color w:val="000000"/>
                <w:kern w:val="0"/>
                <w:sz w:val="24"/>
                <w:lang w:val="en-US" w:eastAsia="zh-CN"/>
              </w:rPr>
              <w:t>2025年9月8日；</w:t>
            </w:r>
            <w:r>
              <w:rPr>
                <w:rFonts w:hint="eastAsia" w:ascii="宋体" w:hAnsi="宋体"/>
                <w:b w:val="0"/>
                <w:bCs/>
                <w:iCs/>
                <w:color w:val="000000"/>
                <w:kern w:val="0"/>
                <w:sz w:val="24"/>
                <w:lang w:val="en-US" w:eastAsia="zh-CN"/>
              </w:rPr>
              <w:t>2025年9月11日</w:t>
            </w:r>
          </w:p>
        </w:tc>
      </w:tr>
    </w:tbl>
    <w:p w14:paraId="097566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YTA0MjYzYWNlYjMwNmNiMWZlNjE2NDY1ODZlOWU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5FBE"/>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3EC1"/>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509D"/>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25DF"/>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5050"/>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A7C1F"/>
    <w:rsid w:val="004B48B0"/>
    <w:rsid w:val="004C2946"/>
    <w:rsid w:val="004C41C1"/>
    <w:rsid w:val="004D2B14"/>
    <w:rsid w:val="004D7B31"/>
    <w:rsid w:val="004E09CE"/>
    <w:rsid w:val="004E31A0"/>
    <w:rsid w:val="004E62DF"/>
    <w:rsid w:val="004E6AFD"/>
    <w:rsid w:val="004E7DC0"/>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0863"/>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C6A80"/>
    <w:rsid w:val="00BD0C6D"/>
    <w:rsid w:val="00BD1098"/>
    <w:rsid w:val="00BD1BCB"/>
    <w:rsid w:val="00BD2E8F"/>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13"/>
    <w:rsid w:val="00C546E7"/>
    <w:rsid w:val="00C55BDF"/>
    <w:rsid w:val="00C55C70"/>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3F2C"/>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44B6"/>
    <w:rsid w:val="00E172CC"/>
    <w:rsid w:val="00E20BB1"/>
    <w:rsid w:val="00E21A5B"/>
    <w:rsid w:val="00E24641"/>
    <w:rsid w:val="00E25D70"/>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51A"/>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64C75F3"/>
    <w:rsid w:val="0D9BC521"/>
    <w:rsid w:val="0E0878A8"/>
    <w:rsid w:val="0E6B132A"/>
    <w:rsid w:val="0F5D1F32"/>
    <w:rsid w:val="142F1167"/>
    <w:rsid w:val="14B13533"/>
    <w:rsid w:val="157FAB4C"/>
    <w:rsid w:val="173B61C6"/>
    <w:rsid w:val="17D7062F"/>
    <w:rsid w:val="1912584B"/>
    <w:rsid w:val="19D9C4FE"/>
    <w:rsid w:val="1B8F39F9"/>
    <w:rsid w:val="1BCF41AF"/>
    <w:rsid w:val="1C103B5D"/>
    <w:rsid w:val="1CCB5FFA"/>
    <w:rsid w:val="1ECB276E"/>
    <w:rsid w:val="1FBC2E81"/>
    <w:rsid w:val="1FDEE4EF"/>
    <w:rsid w:val="1FF96C60"/>
    <w:rsid w:val="23D63FF3"/>
    <w:rsid w:val="24EF070A"/>
    <w:rsid w:val="2593390D"/>
    <w:rsid w:val="25BA00DE"/>
    <w:rsid w:val="25F3B68A"/>
    <w:rsid w:val="262F577E"/>
    <w:rsid w:val="26783E77"/>
    <w:rsid w:val="293B50E9"/>
    <w:rsid w:val="2F3AEBD6"/>
    <w:rsid w:val="2FA00202"/>
    <w:rsid w:val="30121CBF"/>
    <w:rsid w:val="31B43443"/>
    <w:rsid w:val="32670BB9"/>
    <w:rsid w:val="333710D3"/>
    <w:rsid w:val="33FC14D2"/>
    <w:rsid w:val="3537726B"/>
    <w:rsid w:val="35590EB3"/>
    <w:rsid w:val="360F36CE"/>
    <w:rsid w:val="366A0A92"/>
    <w:rsid w:val="37534DDA"/>
    <w:rsid w:val="37B62D5E"/>
    <w:rsid w:val="38464A2A"/>
    <w:rsid w:val="39440949"/>
    <w:rsid w:val="395D7FC3"/>
    <w:rsid w:val="3B9DA3BA"/>
    <w:rsid w:val="3CD613E9"/>
    <w:rsid w:val="3CD780B2"/>
    <w:rsid w:val="3DEDC04A"/>
    <w:rsid w:val="3DFF0B3A"/>
    <w:rsid w:val="3E8B9DC5"/>
    <w:rsid w:val="3F2FA229"/>
    <w:rsid w:val="3F4348FA"/>
    <w:rsid w:val="3F9EAEF0"/>
    <w:rsid w:val="3FDFE2FC"/>
    <w:rsid w:val="3FEEF2A9"/>
    <w:rsid w:val="3FEF910E"/>
    <w:rsid w:val="3FF7DE95"/>
    <w:rsid w:val="40B7105D"/>
    <w:rsid w:val="41CA2070"/>
    <w:rsid w:val="43BEED3D"/>
    <w:rsid w:val="4849367D"/>
    <w:rsid w:val="4D0D298A"/>
    <w:rsid w:val="50C01D3C"/>
    <w:rsid w:val="54400F4F"/>
    <w:rsid w:val="55AA423F"/>
    <w:rsid w:val="579BAB39"/>
    <w:rsid w:val="5B864B76"/>
    <w:rsid w:val="5BBE33C7"/>
    <w:rsid w:val="5CCF1892"/>
    <w:rsid w:val="5CDC6630"/>
    <w:rsid w:val="5CEF07DD"/>
    <w:rsid w:val="5DA6181D"/>
    <w:rsid w:val="5DDA19FD"/>
    <w:rsid w:val="5E5B2C85"/>
    <w:rsid w:val="5E5D4D81"/>
    <w:rsid w:val="5EB76D3F"/>
    <w:rsid w:val="5FBFBBE3"/>
    <w:rsid w:val="5FDFD5C7"/>
    <w:rsid w:val="5FF5C1E7"/>
    <w:rsid w:val="5FFB09CB"/>
    <w:rsid w:val="5FFFA6C3"/>
    <w:rsid w:val="63326574"/>
    <w:rsid w:val="655A3479"/>
    <w:rsid w:val="65FC4833"/>
    <w:rsid w:val="66601E51"/>
    <w:rsid w:val="69E682D3"/>
    <w:rsid w:val="6ADF2E76"/>
    <w:rsid w:val="6BCD3D8E"/>
    <w:rsid w:val="6BEBF769"/>
    <w:rsid w:val="6BEBFDDB"/>
    <w:rsid w:val="6DFDFA7E"/>
    <w:rsid w:val="6E6A2D3F"/>
    <w:rsid w:val="6E6B62E0"/>
    <w:rsid w:val="6EE7C719"/>
    <w:rsid w:val="6F770826"/>
    <w:rsid w:val="6F9FD237"/>
    <w:rsid w:val="6FBF8949"/>
    <w:rsid w:val="6FEF7AF1"/>
    <w:rsid w:val="6FEFADB9"/>
    <w:rsid w:val="70687813"/>
    <w:rsid w:val="70DE69E9"/>
    <w:rsid w:val="71E8319D"/>
    <w:rsid w:val="71FBDB15"/>
    <w:rsid w:val="72146E61"/>
    <w:rsid w:val="7301505A"/>
    <w:rsid w:val="731B8652"/>
    <w:rsid w:val="73B7655F"/>
    <w:rsid w:val="73EB77E7"/>
    <w:rsid w:val="741B5345"/>
    <w:rsid w:val="74527E14"/>
    <w:rsid w:val="766E2067"/>
    <w:rsid w:val="76FF8029"/>
    <w:rsid w:val="77EF8C23"/>
    <w:rsid w:val="77FFBB05"/>
    <w:rsid w:val="7804209D"/>
    <w:rsid w:val="7B0A57DF"/>
    <w:rsid w:val="7B8D2DAB"/>
    <w:rsid w:val="7BBC48A1"/>
    <w:rsid w:val="7BFF68B5"/>
    <w:rsid w:val="7C5B7C2C"/>
    <w:rsid w:val="7CDBC869"/>
    <w:rsid w:val="7CFF3438"/>
    <w:rsid w:val="7D616528"/>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3</Pages>
  <Words>1539</Words>
  <Characters>1609</Characters>
  <Lines>20</Lines>
  <Paragraphs>5</Paragraphs>
  <TotalTime>114</TotalTime>
  <ScaleCrop>false</ScaleCrop>
  <LinksUpToDate>false</LinksUpToDate>
  <CharactersWithSpaces>1731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2024-12-17T06:38:00Z</cp:lastPrinted>
  <dcterms:modified xsi:type="dcterms:W3CDTF">2025-09-12T10:23:09Z</dcterms:modified>
  <dc:title>证券代码：002544                                  证券简称：杰赛科技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4253D2907D7042988851BE4EB3C293AE_13</vt:lpwstr>
  </property>
  <property fmtid="{D5CDD505-2E9C-101B-9397-08002B2CF9AE}" pid="4" name="KSOTemplateDocerSaveRecord">
    <vt:lpwstr>eyJoZGlkIjoiY2JhMGM3OTI0YmIxOGFkMzEzYmE0MTRhNGQ4ZTY1ZjMiLCJ1c2VySWQiOiIyMTc0NTczNjQifQ==</vt:lpwstr>
  </property>
</Properties>
</file>