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1" w:line="219" w:lineRule="auto"/>
        <w:ind w:left="23"/>
        <w:rPr>
          <w:rFonts w:hint="default" w:ascii="Arial Narrow" w:hAnsi="Arial Narrow" w:eastAsia="宋体" w:cs="宋体"/>
          <w:sz w:val="24"/>
          <w:szCs w:val="24"/>
          <w:lang w:val="en-US" w:eastAsia="zh-CN"/>
        </w:rPr>
      </w:pPr>
      <w:r>
        <w:rPr>
          <w:rFonts w:ascii="Arial Narrow" w:hAnsi="Arial Narrow" w:eastAsia="宋体" w:cs="宋体"/>
          <w:sz w:val="24"/>
          <w:szCs w:val="24"/>
          <w:lang w:eastAsia="zh-CN"/>
        </w:rPr>
        <w:t>证券代码：60</w:t>
      </w:r>
      <w:r>
        <w:rPr>
          <w:rFonts w:hint="eastAsia" w:ascii="Arial Narrow" w:hAnsi="Arial Narrow" w:eastAsia="宋体" w:cs="宋体"/>
          <w:sz w:val="24"/>
          <w:szCs w:val="24"/>
          <w:lang w:eastAsia="zh-CN"/>
        </w:rPr>
        <w:t>0438</w:t>
      </w:r>
      <w:r>
        <w:rPr>
          <w:rFonts w:ascii="Arial Narrow" w:hAnsi="Arial Narrow" w:eastAsia="宋体" w:cs="宋体"/>
          <w:sz w:val="24"/>
          <w:szCs w:val="24"/>
          <w:lang w:eastAsia="zh-CN"/>
        </w:rPr>
        <w:t xml:space="preserve">      </w:t>
      </w:r>
      <w:r>
        <w:rPr>
          <w:rFonts w:hint="eastAsia" w:ascii="Arial Narrow" w:hAnsi="Arial Narrow" w:eastAsia="宋体" w:cs="宋体"/>
          <w:sz w:val="24"/>
          <w:szCs w:val="24"/>
          <w:lang w:val="en-US" w:eastAsia="zh-CN"/>
        </w:rPr>
        <w:t xml:space="preserve">       </w:t>
      </w:r>
      <w:r>
        <w:rPr>
          <w:rFonts w:ascii="Arial Narrow" w:hAnsi="Arial Narrow" w:eastAsia="宋体" w:cs="宋体"/>
          <w:sz w:val="24"/>
          <w:szCs w:val="24"/>
          <w:lang w:eastAsia="zh-CN"/>
        </w:rPr>
        <w:t xml:space="preserve">   </w:t>
      </w:r>
      <w:r>
        <w:rPr>
          <w:rFonts w:hint="eastAsia" w:ascii="Arial Narrow" w:hAnsi="Arial Narrow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Arial Narrow" w:hAnsi="Arial Narrow" w:eastAsia="宋体" w:cs="宋体"/>
          <w:sz w:val="24"/>
          <w:szCs w:val="24"/>
          <w:lang w:eastAsia="zh-CN"/>
        </w:rPr>
        <w:t xml:space="preserve">     </w:t>
      </w:r>
      <w:r>
        <w:rPr>
          <w:rFonts w:ascii="Arial Narrow" w:hAnsi="Arial Narrow" w:eastAsia="宋体" w:cs="宋体"/>
          <w:spacing w:val="-1"/>
          <w:sz w:val="24"/>
          <w:szCs w:val="24"/>
          <w:lang w:eastAsia="zh-CN"/>
        </w:rPr>
        <w:t>证券简称：</w:t>
      </w:r>
      <w:r>
        <w:rPr>
          <w:rFonts w:hint="eastAsia" w:ascii="Arial Narrow" w:hAnsi="Arial Narrow" w:eastAsia="宋体" w:cs="宋体"/>
          <w:spacing w:val="-1"/>
          <w:sz w:val="24"/>
          <w:szCs w:val="24"/>
          <w:lang w:eastAsia="zh-CN"/>
        </w:rPr>
        <w:t>通威股份</w:t>
      </w:r>
      <w:r>
        <w:rPr>
          <w:rFonts w:hint="eastAsia" w:ascii="Arial Narrow" w:hAnsi="Arial Narrow" w:eastAsia="宋体" w:cs="宋体"/>
          <w:spacing w:val="-1"/>
          <w:sz w:val="24"/>
          <w:szCs w:val="24"/>
          <w:lang w:val="en-US" w:eastAsia="zh-CN"/>
        </w:rPr>
        <w:t xml:space="preserve">                          编号：2025-07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0" w:line="360" w:lineRule="auto"/>
        <w:ind w:left="0" w:right="0" w:firstLine="0"/>
        <w:jc w:val="center"/>
        <w:textAlignment w:val="baseline"/>
        <w:outlineLvl w:val="0"/>
        <w:rPr>
          <w:rFonts w:ascii="Arial Narrow" w:hAnsi="Arial Narrow" w:eastAsia="宋体" w:cs="宋体"/>
          <w:spacing w:val="3"/>
          <w:sz w:val="32"/>
          <w:szCs w:val="32"/>
          <w:lang w:eastAsia="zh-CN"/>
        </w:rPr>
      </w:pPr>
      <w:r>
        <w:rPr>
          <w:rFonts w:hint="eastAsia" w:ascii="Arial Narrow" w:hAnsi="Arial Narrow" w:eastAsia="宋体" w:cs="宋体"/>
          <w:b/>
          <w:bCs/>
          <w:spacing w:val="-4"/>
          <w:sz w:val="32"/>
          <w:szCs w:val="32"/>
          <w:lang w:eastAsia="zh-CN"/>
        </w:rPr>
        <w:t>通威股份</w:t>
      </w:r>
      <w:r>
        <w:rPr>
          <w:rFonts w:ascii="Arial Narrow" w:hAnsi="Arial Narrow" w:eastAsia="宋体" w:cs="宋体"/>
          <w:b/>
          <w:bCs/>
          <w:spacing w:val="-4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/>
        <w:jc w:val="center"/>
        <w:textAlignment w:val="baseline"/>
        <w:outlineLvl w:val="0"/>
        <w:rPr>
          <w:rFonts w:ascii="Arial Narrow" w:hAnsi="Arial Narrow" w:eastAsia="宋体" w:cs="宋体"/>
          <w:sz w:val="32"/>
          <w:szCs w:val="32"/>
          <w:lang w:eastAsia="zh-CN"/>
        </w:rPr>
      </w:pPr>
      <w:r>
        <w:rPr>
          <w:rFonts w:ascii="Arial Narrow" w:hAnsi="Arial Narrow" w:eastAsia="宋体" w:cs="宋体"/>
          <w:b/>
          <w:bCs/>
          <w:spacing w:val="-3"/>
          <w:sz w:val="32"/>
          <w:szCs w:val="32"/>
          <w:lang w:eastAsia="zh-CN"/>
        </w:rPr>
        <w:t>投资者关系活动记录表</w:t>
      </w:r>
    </w:p>
    <w:p>
      <w:pPr>
        <w:spacing w:line="69" w:lineRule="exact"/>
        <w:rPr>
          <w:lang w:eastAsia="zh-CN"/>
        </w:rPr>
      </w:pPr>
    </w:p>
    <w:tbl>
      <w:tblPr>
        <w:tblStyle w:val="6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2361"/>
        <w:gridCol w:w="41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1112" w:type="pct"/>
            <w:vAlign w:val="center"/>
          </w:tcPr>
          <w:p>
            <w:pPr>
              <w:pStyle w:val="7"/>
              <w:spacing w:before="78" w:line="347" w:lineRule="auto"/>
              <w:ind w:left="118" w:right="109" w:firstLine="1"/>
              <w:jc w:val="left"/>
            </w:pPr>
            <w:r>
              <w:rPr>
                <w:spacing w:val="27"/>
              </w:rPr>
              <w:t>投资者关系活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动类别</w:t>
            </w:r>
          </w:p>
        </w:tc>
        <w:tc>
          <w:tcPr>
            <w:tcW w:w="1415" w:type="pct"/>
            <w:tcBorders>
              <w:right w:val="nil"/>
            </w:tcBorders>
          </w:tcPr>
          <w:p>
            <w:pPr>
              <w:pStyle w:val="7"/>
              <w:spacing w:before="117" w:line="220" w:lineRule="auto"/>
              <w:ind w:left="137"/>
              <w:rPr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□</w:t>
            </w:r>
            <w:r>
              <w:rPr>
                <w:spacing w:val="-5"/>
                <w:lang w:eastAsia="zh-CN"/>
              </w:rPr>
              <w:t>特定对象调研</w:t>
            </w:r>
          </w:p>
          <w:p>
            <w:pPr>
              <w:pStyle w:val="7"/>
              <w:spacing w:before="182" w:line="219" w:lineRule="auto"/>
              <w:ind w:left="13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□媒体采访</w:t>
            </w:r>
          </w:p>
          <w:p>
            <w:pPr>
              <w:pStyle w:val="7"/>
              <w:spacing w:before="183" w:line="219" w:lineRule="auto"/>
              <w:ind w:left="13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□新闻发布会</w:t>
            </w:r>
          </w:p>
          <w:p>
            <w:pPr>
              <w:pStyle w:val="7"/>
              <w:spacing w:before="183" w:line="220" w:lineRule="auto"/>
              <w:ind w:left="137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现场参观</w:t>
            </w:r>
          </w:p>
          <w:p>
            <w:pPr>
              <w:pStyle w:val="7"/>
              <w:spacing w:before="182" w:line="220" w:lineRule="auto"/>
              <w:ind w:left="137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12"/>
                <w:lang w:eastAsia="zh-CN"/>
              </w:rPr>
              <w:t>其他</w:t>
            </w:r>
            <w:r>
              <w:rPr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u w:val="single"/>
                <w:lang w:eastAsia="zh-CN"/>
              </w:rPr>
              <w:t>线上会议</w:t>
            </w:r>
            <w:r>
              <w:rPr>
                <w:u w:val="single"/>
                <w:lang w:eastAsia="zh-CN"/>
              </w:rPr>
              <w:t xml:space="preserve">          </w:t>
            </w:r>
          </w:p>
        </w:tc>
        <w:tc>
          <w:tcPr>
            <w:tcW w:w="2472" w:type="pct"/>
            <w:tcBorders>
              <w:left w:val="nil"/>
            </w:tcBorders>
          </w:tcPr>
          <w:p>
            <w:pPr>
              <w:pStyle w:val="7"/>
              <w:spacing w:before="117" w:line="219" w:lineRule="auto"/>
              <w:ind w:left="197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分析师会议</w:t>
            </w:r>
          </w:p>
          <w:p>
            <w:pPr>
              <w:pStyle w:val="7"/>
              <w:spacing w:before="183" w:line="219" w:lineRule="auto"/>
              <w:ind w:left="197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☑</w:t>
            </w:r>
            <w:r>
              <w:rPr>
                <w:spacing w:val="-6"/>
                <w:lang w:eastAsia="zh-CN"/>
              </w:rPr>
              <w:t>业绩说明会</w:t>
            </w:r>
          </w:p>
          <w:p>
            <w:pPr>
              <w:pStyle w:val="7"/>
              <w:spacing w:before="182" w:line="220" w:lineRule="auto"/>
              <w:ind w:left="197"/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路演活动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112" w:type="pct"/>
            <w:vAlign w:val="center"/>
          </w:tcPr>
          <w:p>
            <w:pPr>
              <w:pStyle w:val="7"/>
              <w:spacing w:before="78" w:line="347" w:lineRule="auto"/>
              <w:ind w:left="116" w:right="109" w:firstLine="2"/>
              <w:jc w:val="left"/>
              <w:rPr>
                <w:lang w:eastAsia="zh-CN"/>
              </w:rPr>
            </w:pPr>
            <w:r>
              <w:rPr>
                <w:spacing w:val="28"/>
                <w:lang w:eastAsia="zh-CN"/>
              </w:rPr>
              <w:t>参与单位名称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及人员姓名</w:t>
            </w:r>
          </w:p>
        </w:tc>
        <w:tc>
          <w:tcPr>
            <w:tcW w:w="3887" w:type="pct"/>
            <w:gridSpan w:val="2"/>
            <w:vAlign w:val="center"/>
          </w:tcPr>
          <w:p>
            <w:pPr>
              <w:pStyle w:val="7"/>
              <w:spacing w:before="109" w:line="276" w:lineRule="auto"/>
              <w:ind w:left="136" w:right="23"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2025年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eastAsia="zh-CN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日，公司</w:t>
            </w:r>
            <w:r>
              <w:rPr>
                <w:rFonts w:hint="eastAsia"/>
                <w:lang w:val="en-US" w:eastAsia="zh-CN"/>
              </w:rPr>
              <w:t>参加了由四川省上市公司协会、深圳市全景网络有限公司联合举办的“四川辖区2025年投资者网上集体接待日及半年度报告业绩说明会”活动</w:t>
            </w:r>
            <w:r>
              <w:rPr>
                <w:rFonts w:hint="eastAsia"/>
                <w:lang w:eastAsia="zh-CN"/>
              </w:rPr>
              <w:t>，线上回答了广大投资者提出的问题。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12" w:type="pct"/>
          </w:tcPr>
          <w:p>
            <w:pPr>
              <w:pStyle w:val="7"/>
              <w:spacing w:before="148" w:line="222" w:lineRule="auto"/>
              <w:ind w:left="128"/>
            </w:pPr>
            <w:r>
              <w:rPr>
                <w:spacing w:val="-6"/>
              </w:rPr>
              <w:t>时间</w:t>
            </w:r>
          </w:p>
        </w:tc>
        <w:tc>
          <w:tcPr>
            <w:tcW w:w="3887" w:type="pct"/>
            <w:gridSpan w:val="2"/>
          </w:tcPr>
          <w:p>
            <w:pPr>
              <w:pStyle w:val="7"/>
              <w:spacing w:before="148" w:line="220" w:lineRule="auto"/>
              <w:ind w:left="116"/>
            </w:pPr>
            <w:r>
              <w:rPr>
                <w:rFonts w:hint="eastAsia"/>
                <w:lang w:eastAsia="zh-CN"/>
              </w:rPr>
              <w:t>2025年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eastAsia="zh-CN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12" w:type="pct"/>
          </w:tcPr>
          <w:p>
            <w:pPr>
              <w:pStyle w:val="7"/>
              <w:spacing w:before="166" w:line="224" w:lineRule="auto"/>
              <w:ind w:left="117"/>
            </w:pPr>
            <w:r>
              <w:rPr>
                <w:spacing w:val="-3"/>
              </w:rPr>
              <w:t>地点</w:t>
            </w:r>
          </w:p>
        </w:tc>
        <w:tc>
          <w:tcPr>
            <w:tcW w:w="3887" w:type="pct"/>
            <w:gridSpan w:val="2"/>
          </w:tcPr>
          <w:p>
            <w:pPr>
              <w:pStyle w:val="7"/>
              <w:spacing w:before="166" w:line="220" w:lineRule="auto"/>
              <w:ind w:left="12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全景网网站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112" w:type="pct"/>
            <w:vAlign w:val="center"/>
          </w:tcPr>
          <w:p>
            <w:pPr>
              <w:pStyle w:val="7"/>
              <w:spacing w:before="78" w:line="347" w:lineRule="auto"/>
              <w:ind w:left="119" w:right="109"/>
              <w:jc w:val="left"/>
              <w:rPr>
                <w:lang w:eastAsia="zh-CN"/>
              </w:rPr>
            </w:pPr>
            <w:r>
              <w:rPr>
                <w:spacing w:val="28"/>
                <w:lang w:eastAsia="zh-CN"/>
              </w:rPr>
              <w:t>上市公司接待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人员姓名</w:t>
            </w:r>
          </w:p>
        </w:tc>
        <w:tc>
          <w:tcPr>
            <w:tcW w:w="3887" w:type="pct"/>
            <w:gridSpan w:val="2"/>
          </w:tcPr>
          <w:p>
            <w:pPr>
              <w:pStyle w:val="7"/>
              <w:spacing w:before="166" w:line="220" w:lineRule="auto"/>
              <w:ind w:left="12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董事长、CEO 刘舒琪</w:t>
            </w:r>
          </w:p>
          <w:p>
            <w:pPr>
              <w:pStyle w:val="7"/>
              <w:spacing w:before="166" w:line="220" w:lineRule="auto"/>
              <w:ind w:left="12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独立董事 陈磊</w:t>
            </w:r>
          </w:p>
          <w:p>
            <w:pPr>
              <w:pStyle w:val="7"/>
              <w:spacing w:before="166" w:line="220" w:lineRule="auto"/>
              <w:ind w:left="12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财务总监 周斌</w:t>
            </w:r>
          </w:p>
          <w:p>
            <w:pPr>
              <w:pStyle w:val="7"/>
              <w:spacing w:before="166" w:line="220" w:lineRule="auto"/>
              <w:ind w:left="128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董事会秘书 严轲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1112" w:type="pct"/>
            <w:vAlign w:val="center"/>
          </w:tcPr>
          <w:p>
            <w:pPr>
              <w:pStyle w:val="7"/>
              <w:spacing w:before="78" w:line="353" w:lineRule="auto"/>
              <w:ind w:left="118" w:right="109" w:firstLine="1"/>
              <w:jc w:val="both"/>
              <w:rPr>
                <w:lang w:eastAsia="zh-CN"/>
              </w:rPr>
            </w:pPr>
            <w:r>
              <w:rPr>
                <w:spacing w:val="27"/>
                <w:lang w:eastAsia="zh-CN"/>
              </w:rPr>
              <w:t>投资者关系活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动主要内容介</w:t>
            </w:r>
            <w:r>
              <w:rPr>
                <w:lang w:eastAsia="zh-CN"/>
              </w:rPr>
              <w:t xml:space="preserve"> 绍</w:t>
            </w:r>
          </w:p>
        </w:tc>
        <w:tc>
          <w:tcPr>
            <w:tcW w:w="3887" w:type="pct"/>
            <w:gridSpan w:val="2"/>
          </w:tcPr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光伏其它企业都下修可转债了，公司可转债下修是什么计划？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投资者您好，关于公司可转债转股价调整计划，公司始终秉持审慎原则，综合考虑市场环境、股东利益及公司长期发展战略。目前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通22转债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转股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仍维持原有水平，若未来再次触发下修条款，公司将根据实际情况履行审议程序并及时披露。谢谢！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请问公司半导体多晶硅目前产能有多少，出货情况如何？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投资者您好，公司在乐山基地有1000吨半导体级多晶硅产能，目前已实现对国内外下游客户的批量稳定供货，但业务体量整体较小，不构成业绩重大影响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，请投资者注意投资风险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。谢谢！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请问三季度扭亏的概率大不大？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在当前光伏行业“反内卷”以及行业各方参与者共同努力下，光伏产业链各环节价格近期有所回升，行业总体经营状况或将有所好转，有利于我国光伏行业及企业走出恶性竞争困境，实现长期的高质量发展。长期来看，公司经营业绩也将受益于行业整体经营环境的恢复，具体财务数据情况请您关注公司后续定期报告，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面对行业当前激烈的竞争形势，公司在TOPCon、HJT、钙钛矿这些新的技术路线上面有多大的优势？会不会存在技术落后行业的风险？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公司一直高度重视技术研发对公司长期竞争力的持续提升，耗资超28亿元打造通威全球创新研发中心，全面布局TOPCon、HJT、xBC、钙钛矿/晶硅叠层等光伏主流技术，今年上半年公司研发费用支出超过5亿元，截至2025年6月30日公司光伏板块共计获得授权专利数量3069件。在您提到的具体技术路线方面，上半年公司重磅推出TNC 2.0组件，由四大核心组成，分别是908技术（也就是通威自主研发的0BB技术）、TPE技术、Poly Tech、钢网印刷。2.0组件功率提升了25瓦以上，组件双面率超过了85%，大幅度提升了产品竞争力。 今年3月，2384*1303mm标准尺寸下的通威TNC-G12组件功率达到778.5W，转换效率达25.06%，不断刷新了TOPCon组件效率和功率纪录。同时近期，通威基于TOPCon技术的超高双面率太阳能组件，经过权威测试机构认证，实现了电池双面率突破94.3%（经德国TÜV Rheinland 认证），组件双面率达91.7%。展示了TOPCon技术的强大潜力，引领了TOPCon技术在高效双面组件领域的发展方向。 HJT方面，经国际权威认证机构TÜV测试，上半年公司2384*1303mm标准组件尺寸THC-G12异质结组件最高功率达到790.8W，全面积组件效率达到25.46%，是目前权威第三方测试的晶硅组件全面积效率的最高值。 BC技术方面，我们的n型TBC研发效率达到26.87%，TBC组件功率超680W。 公司在钙钛矿晶硅叠层电池领域持续以“面向量产”为根本目标进行研发，攻克了钙钛矿的两步法均质化成膜难题，开发创新的界面精细修饰技术，不断释放叠层电池的效率潜能，叠层电池效率已达34.69%。总体来看，公司在光伏各类新兴技术研发方面持续走在行业前列，布局全面，成果丰硕，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就近期行业反内卷事项的市场传闻，公司管理层是否收到相关事项的具体时间表，预计何时会有确定性公告？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根据信息披露相关规则，公司在触发重大事项时将及时履行信息披露义务。公司支持多晶硅行业尽快走出“内卷式”恶性竞争，积极响应中国光伏行业协会倡议。提醒投资者注意风险，勿依赖市场猜测或传闻作出投资决策。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公司有回购计划？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在去年行业整体调整期间，公司及公司控股股东积极公布并实施股份回购/增持计划，自2024年至今公司已回购股份超20亿元，控股股东增持约13亿元，充分展现对行业、公司发展的信心。未来，公司将立足于股东利益最大化的角度，结合资本市场情况、自身发展战略、资金需求等各方面因素综合评估并谨慎决策，具体请以公司公告为准。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公司上半年公司海外组件业务增长的主要原因是什么，怎么展望今年海外市场的发展？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投资者您好，得益于公司持续在技术研发、供应保障、渠道开拓等方面的持续发</w:t>
            </w:r>
            <w:bookmarkStart w:id="0" w:name="_GoBack"/>
            <w:bookmarkEnd w:id="0"/>
            <w:r>
              <w:rPr>
                <w:rFonts w:hint="default" w:cs="宋体"/>
                <w:sz w:val="24"/>
                <w:szCs w:val="24"/>
                <w:lang w:val="en-US" w:eastAsia="zh-CN"/>
              </w:rPr>
              <w:t>力，2025年上半年公司海外组件出货同比大幅增长，目前公司组件足迹已遍布海外70 多个国家与地区。特别是依托德国公司及欧洲营销中心的启用，以及深度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主要国际光伏展会，公司面向海外客户充分展示了领先于行业的技术、质量、规模、成本、溯源等优势，有效增强了欧洲分销网络密度与客户黏性，并最终促成相应市场销量的快速增长。随着海外市场布局持续发力，预计今年海外业务占比将继续提升。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公司饲料业务经营情况如何，能对公司业绩形成支撑吗？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公司饲料业务作为公司两大主业之一，长期稳健经营，具有显著的规模和市场优势，持续为公司贡献稳定的利润及现金流，对公司业绩形成良好支撑，也有助于公司穿越光伏产业周期，实现长期健康发展，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公司农牧产业链及其他业务上半年表现如何，前景如何？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在农牧板块，除饲料业务外，公司全产业链延伸并重点布局食品业务和工厂化养殖。上半年，公司食品业务稳健增长，罗非鱼美国市场出口市占率稳居全球第一；国内聚焦川渝核心市场，巩固高端商超渠道，借助社交新媒体提升品牌影响力；在罗非鱼、生猪、家禽等主要原料价格同比显著下滑背景下，实现销量、销售收入逆势上扬，净利润同比大幅增长。水产品是人类重要的优质蛋白来源，随着居民健康意识升级与消费结构优化，消费者对优质蛋白及安全食品的需求预计会保持快速增长，绿色安全水产食品将迎来广阔发展空间。公司在农牧产业领域深耕多年，是全球领先的水产饲料生产企业及重要的畜禽饲料生产企业，且拥有上游苗种繁育、中游水产养殖与动物保健、下游食品加工与贸易等为一体的完整产业链条，具备领先于行业的品质保障、成本管控与渠道运维能力。未来，公司将坚定围绕 “打造世界级安全食品供应商” 的长期目标，在做优做强饲料主业的同时，重点发展鱼虾类水产品工厂化养殖，同时加大水产品深加工与贸易投入，不断优化“从塘口到餐桌” 体系，为消费者提供绿色安全的水产食品，打造农牧业务新的增长极。谢谢！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最近多晶硅价格涨了点，公司之前减值的存货可以转回吗？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！近期光伏产业链价格水平逐渐企稳回升，依据企业会计准则，以前减记存货价值的影响因素已经消失的，减记的金额应当予以恢复，并在原已计提的存货跌价准备金额内转回，转回的金额计入当期损益。未来，公司将继续提升经营管理质效，根据市场动态、行业发展概况部署排产与存货管理计划，力争实现公司长期经济效益的最大化，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公司如何应对负债压力及相关财务风险？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投资者您好，截至半年度末，公司资产负债率71.9%，若剔除票据池、可转债等结构化金融工具，以及电站业务等的综合影响后，负债率将下降4-7个百分点，同期公司账面货币资金及交易性金融资产规模约为 332.29亿元，能有效满足公司日常资金周转需求，且融资渠道多元，融资利率与期限优势显著。公司高度重视财务风险管控，会持续根据市场竞争、融资环境及业务需求合理调剂资金储备，确保企业具备充足流动性，并将整体负债率控制在合理可控水平。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公司2025年上半年计提了较多的资产减值损失，请问独立董事是否合理，后续是否还有减值？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2025年上半年公司计提资产减值损失共计25.04亿元，其中计提存货跌价准备24.19亿元：主要为上半年光伏行业供需失衡状况仍未显著改善，各环节产品价格持续低迷，公司根据《企业会计准则》及公司有关会计政策规定，基于审慎性原则，对期末存货成本高于其可变现净值的差额计提存货跌价准备，并计入当期损益。独立董事们认为该计提减值事项能更加真实、准确反映公司2025年6月30日的资产状况和财务状况，计提减值合理有据。后续减值情况需结合行业与公司经营动态判断，我们将持续履行独立监督职责，确保公司减值管理始终符合会计准则要求，维护公司及全体投资者，尤其是中小投资者的合法权益。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公司为何不利用资源部分转向储能，动力电池发展呢？建议同时布局研发储能产业及新能源汽车动力电池发展，锂电和固态最近发展得很好啊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！目前公司在高纯晶硅和太阳能电池方面保持全球领先地位，并顺应一体化趋势进入了组件环节，目前公司组件出货已跻身全球前五，打造形成了极具竞争优势的光伏主产业链供应体系。未来，光伏发电消纳、合理配置的发展空间不仅取决于储能的发展，整个新型电力系统在交易市场端、电网端和用户侧等多方面、多要素升级配合也非常重要，公司将在优势环节聚势聚焦，做大做强，同时动态评估、谨慎决策相关业务拓展。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公司钙钛矿光伏板实现量产销售没有？是否会针对钙钛矿光伏板进行重点研发？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！公司高度关注并持续推进包括钙钛矿/硅叠层技术在内的各类新型电池技术，早已成立先进电池实验室对含钙钛矿/硅叠层先进电池在内的多种技术路线实现并行研发。2024年，公司全球创新研发中心顺利建成投入运营，依托雄厚的技术力量优势，将大力推进技术成果转化和产业化应用，目前公司钙钛矿晶硅叠层电池产品转换效率已达34.69%，处于行业领先水平。谢谢！</w:t>
            </w:r>
          </w:p>
          <w:p>
            <w:pPr>
              <w:pStyle w:val="7"/>
              <w:numPr>
                <w:ilvl w:val="0"/>
                <w:numId w:val="1"/>
              </w:numPr>
              <w:spacing w:before="36" w:line="329" w:lineRule="auto"/>
              <w:ind w:left="0" w:leftChars="0" w:right="105" w:firstLine="403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目前行业低迷，未来如果有优质资产。请问公司未来了收并购计划吗</w:t>
            </w:r>
            <w:r>
              <w:rPr>
                <w:rFonts w:hint="eastAsia"/>
                <w:b/>
                <w:bCs/>
                <w:lang w:val="en-US" w:eastAsia="zh-CN"/>
              </w:rPr>
              <w:t>？</w:t>
            </w:r>
          </w:p>
          <w:p>
            <w:pPr>
              <w:pStyle w:val="7"/>
              <w:spacing w:before="36" w:line="329" w:lineRule="auto"/>
              <w:ind w:left="113" w:right="105" w:firstLine="503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  <w:r>
              <w:rPr>
                <w:rFonts w:hint="default" w:cs="宋体"/>
                <w:sz w:val="24"/>
                <w:szCs w:val="24"/>
                <w:lang w:val="en-US" w:eastAsia="zh-CN"/>
              </w:rPr>
              <w:t>投资者您好，公司目前将继续聚焦光伏+农牧两大主业，后续将进一步通过加大研发投入、加快数字化升级、加强精细化管理水平，巩固经营优势；同时对市场收并购机会保持积极关注，若有相关计划会根据信息披露要求及时披露。谢谢！</w:t>
            </w:r>
          </w:p>
        </w:tc>
      </w:tr>
    </w:tbl>
    <w:p>
      <w:pPr>
        <w:spacing w:line="91" w:lineRule="auto"/>
        <w:rPr>
          <w:sz w:val="2"/>
          <w:lang w:eastAsia="zh-CN"/>
        </w:rPr>
      </w:pPr>
    </w:p>
    <w:sectPr>
      <w:pgSz w:w="11907" w:h="16839"/>
      <w:pgMar w:top="1431" w:right="1785" w:bottom="1429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66491"/>
    <w:multiLevelType w:val="singleLevel"/>
    <w:tmpl w:val="B4D66491"/>
    <w:lvl w:ilvl="0" w:tentative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ljYzUzMWQ4OWI0YzBkYjYzMDRhZTY5ZjZkYmFmYTgifQ=="/>
  </w:docVars>
  <w:rsids>
    <w:rsidRoot w:val="00132B6D"/>
    <w:rsid w:val="00132B6D"/>
    <w:rsid w:val="00331F12"/>
    <w:rsid w:val="003A6CFD"/>
    <w:rsid w:val="00683645"/>
    <w:rsid w:val="007F42C5"/>
    <w:rsid w:val="0091362C"/>
    <w:rsid w:val="009F4741"/>
    <w:rsid w:val="00A9039C"/>
    <w:rsid w:val="00AB4538"/>
    <w:rsid w:val="00C317EF"/>
    <w:rsid w:val="00C3494C"/>
    <w:rsid w:val="00C429A0"/>
    <w:rsid w:val="00C508A0"/>
    <w:rsid w:val="00E051F7"/>
    <w:rsid w:val="00EE2C33"/>
    <w:rsid w:val="00F72996"/>
    <w:rsid w:val="00F979D6"/>
    <w:rsid w:val="02151639"/>
    <w:rsid w:val="02293D79"/>
    <w:rsid w:val="0B225DFB"/>
    <w:rsid w:val="0C4A6383"/>
    <w:rsid w:val="0C9E5D48"/>
    <w:rsid w:val="11766346"/>
    <w:rsid w:val="12C63575"/>
    <w:rsid w:val="14117786"/>
    <w:rsid w:val="14DC7D94"/>
    <w:rsid w:val="180327A7"/>
    <w:rsid w:val="18B01199"/>
    <w:rsid w:val="22163203"/>
    <w:rsid w:val="22462CF1"/>
    <w:rsid w:val="22F10EAE"/>
    <w:rsid w:val="25D063A7"/>
    <w:rsid w:val="294871F6"/>
    <w:rsid w:val="295408C0"/>
    <w:rsid w:val="2C8132A3"/>
    <w:rsid w:val="300F4032"/>
    <w:rsid w:val="30A74A4B"/>
    <w:rsid w:val="32956289"/>
    <w:rsid w:val="36A3052F"/>
    <w:rsid w:val="37023232"/>
    <w:rsid w:val="37965BD5"/>
    <w:rsid w:val="380F5C07"/>
    <w:rsid w:val="38AE4472"/>
    <w:rsid w:val="38CE66CE"/>
    <w:rsid w:val="39D52E80"/>
    <w:rsid w:val="3A1F234D"/>
    <w:rsid w:val="3B507E5D"/>
    <w:rsid w:val="3B77553C"/>
    <w:rsid w:val="3DEE79DD"/>
    <w:rsid w:val="3F0142EA"/>
    <w:rsid w:val="41647664"/>
    <w:rsid w:val="44A65B45"/>
    <w:rsid w:val="471468C5"/>
    <w:rsid w:val="47AE0123"/>
    <w:rsid w:val="48905315"/>
    <w:rsid w:val="48EB059E"/>
    <w:rsid w:val="4AAC19DB"/>
    <w:rsid w:val="4BB74194"/>
    <w:rsid w:val="4D960169"/>
    <w:rsid w:val="4DBB3EC8"/>
    <w:rsid w:val="54CA6DEF"/>
    <w:rsid w:val="5728063B"/>
    <w:rsid w:val="57BB500C"/>
    <w:rsid w:val="587E2868"/>
    <w:rsid w:val="58E74F73"/>
    <w:rsid w:val="5BF21B80"/>
    <w:rsid w:val="64CB052E"/>
    <w:rsid w:val="657D7A00"/>
    <w:rsid w:val="658E1FB1"/>
    <w:rsid w:val="65D75D9B"/>
    <w:rsid w:val="66522FDF"/>
    <w:rsid w:val="6841155D"/>
    <w:rsid w:val="6936597F"/>
    <w:rsid w:val="6B7878AD"/>
    <w:rsid w:val="6C5E0930"/>
    <w:rsid w:val="6DD16EDF"/>
    <w:rsid w:val="72EA0D6F"/>
    <w:rsid w:val="77D0645A"/>
    <w:rsid w:val="78D36355"/>
    <w:rsid w:val="795A5FDB"/>
    <w:rsid w:val="79CB43E5"/>
    <w:rsid w:val="7CD05C51"/>
    <w:rsid w:val="7E80031E"/>
    <w:rsid w:val="7EA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955</Words>
  <Characters>976</Characters>
  <Lines>33</Lines>
  <Paragraphs>17</Paragraphs>
  <TotalTime>9</TotalTime>
  <ScaleCrop>false</ScaleCrop>
  <LinksUpToDate>false</LinksUpToDate>
  <CharactersWithSpaces>1914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2022-05-06T15:20:00Z</dcterms:created>
  <dc:creator>毋晓妮</dc:creator>
  <cp:lastModifiedBy>陈泓宇</cp:lastModifiedBy>
  <cp:lastPrinted>2025-07-02T00:13:00Z</cp:lastPrinted>
  <dcterms:modified xsi:type="dcterms:W3CDTF">2025-09-15T08:15:39Z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2024-05-03T16:40:34Z</vt:filetime>
  </property>
  <property fmtid="{D5CDD505-2E9C-101B-9397-08002B2CF9AE}" pid="4" name="KSOProductBuildVer">
    <vt:lpwstr>2052-12.1.0.16120</vt:lpwstr>
  </property>
  <property fmtid="{D5CDD505-2E9C-101B-9397-08002B2CF9AE}" pid="5" name="ICV">
    <vt:lpwstr>ACF9FDB3F675479B83E8232BB1B90BAF_13</vt:lpwstr>
  </property>
</Properties>
</file>