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BA82" w14:textId="763A3B71" w:rsidR="00FB6599" w:rsidRPr="00FB6599" w:rsidRDefault="00FB6599" w:rsidP="00A0353B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B6599">
        <w:rPr>
          <w:rFonts w:asciiTheme="minorEastAsia" w:eastAsiaTheme="minorEastAsia" w:hAnsiTheme="minorEastAsia" w:hint="eastAsia"/>
          <w:sz w:val="24"/>
        </w:rPr>
        <w:t xml:space="preserve">证券代码：601528      </w:t>
      </w:r>
      <w:r w:rsidR="00EE0786">
        <w:rPr>
          <w:rFonts w:asciiTheme="minorEastAsia" w:eastAsiaTheme="minorEastAsia" w:hAnsiTheme="minorEastAsia" w:hint="eastAsia"/>
          <w:sz w:val="24"/>
        </w:rPr>
        <w:t xml:space="preserve">               </w:t>
      </w:r>
      <w:r w:rsidR="00CC1BF9">
        <w:rPr>
          <w:rFonts w:asciiTheme="minorEastAsia" w:eastAsiaTheme="minorEastAsia" w:hAnsiTheme="minorEastAsia"/>
          <w:sz w:val="24"/>
        </w:rPr>
        <w:t xml:space="preserve">              </w:t>
      </w:r>
      <w:r w:rsidRPr="00FB6599">
        <w:rPr>
          <w:rFonts w:asciiTheme="minorEastAsia" w:eastAsiaTheme="minorEastAsia" w:hAnsiTheme="minorEastAsia" w:hint="eastAsia"/>
          <w:sz w:val="24"/>
        </w:rPr>
        <w:t>证券简称：瑞丰银行</w:t>
      </w:r>
    </w:p>
    <w:p w14:paraId="20DE0411" w14:textId="77777777" w:rsidR="00FB6599" w:rsidRPr="00EE0786" w:rsidRDefault="00FB6599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14:paraId="004EB6F4" w14:textId="77777777" w:rsidR="00B175E4" w:rsidRPr="00FB6599" w:rsidRDefault="003D326B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sz w:val="32"/>
          <w:szCs w:val="32"/>
        </w:rPr>
        <w:t>浙江绍兴瑞丰</w:t>
      </w:r>
      <w:r w:rsidR="0036242B" w:rsidRPr="00FB6599">
        <w:rPr>
          <w:rFonts w:ascii="方正小标宋简体" w:eastAsia="方正小标宋简体" w:hAnsi="黑体" w:hint="eastAsia"/>
          <w:sz w:val="32"/>
          <w:szCs w:val="32"/>
        </w:rPr>
        <w:t>农村商业银行股份有限公司</w:t>
      </w:r>
    </w:p>
    <w:p w14:paraId="66CD59A6" w14:textId="77777777" w:rsidR="00B175E4" w:rsidRPr="00FB6599" w:rsidRDefault="0036242B" w:rsidP="00194101">
      <w:pPr>
        <w:spacing w:beforeLines="50" w:before="156" w:afterLines="50" w:after="156" w:line="400" w:lineRule="exact"/>
        <w:jc w:val="center"/>
        <w:rPr>
          <w:rFonts w:ascii="方正小标宋简体" w:eastAsia="方正小标宋简体" w:hAnsi="黑体"/>
          <w:bCs/>
          <w:iCs/>
          <w:color w:val="000000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bCs/>
          <w:iCs/>
          <w:color w:val="000000"/>
          <w:sz w:val="32"/>
          <w:szCs w:val="32"/>
        </w:rPr>
        <w:t>投资者关系活动记录表</w:t>
      </w:r>
    </w:p>
    <w:p w14:paraId="6EF5192F" w14:textId="6A855852" w:rsidR="00B175E4" w:rsidRDefault="0036242B">
      <w:pPr>
        <w:spacing w:line="400" w:lineRule="exact"/>
        <w:ind w:firstLineChars="2100" w:firstLine="5040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日期：202</w:t>
      </w:r>
      <w:r w:rsidR="00343D78">
        <w:rPr>
          <w:rFonts w:ascii="宋体" w:eastAsia="宋体" w:hAnsi="宋体"/>
          <w:bCs/>
          <w:iCs/>
          <w:color w:val="000000"/>
          <w:sz w:val="24"/>
        </w:rPr>
        <w:t>5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年 </w:t>
      </w:r>
      <w:r w:rsidR="00343D78">
        <w:rPr>
          <w:rFonts w:ascii="宋体" w:eastAsia="宋体" w:hAnsi="宋体"/>
          <w:bCs/>
          <w:iCs/>
          <w:color w:val="000000"/>
          <w:sz w:val="24"/>
        </w:rPr>
        <w:t>9</w:t>
      </w:r>
      <w:r>
        <w:rPr>
          <w:rFonts w:ascii="宋体" w:eastAsia="宋体" w:hAnsi="宋体" w:hint="eastAsia"/>
          <w:bCs/>
          <w:iCs/>
          <w:color w:val="000000"/>
          <w:sz w:val="24"/>
        </w:rPr>
        <w:t>月</w:t>
      </w:r>
      <w:r w:rsidR="00DF7EFC">
        <w:rPr>
          <w:rFonts w:ascii="宋体" w:eastAsia="宋体" w:hAnsi="宋体"/>
          <w:bCs/>
          <w:iCs/>
          <w:color w:val="000000"/>
          <w:sz w:val="24"/>
        </w:rPr>
        <w:t>1</w:t>
      </w:r>
      <w:r w:rsidR="00343D78">
        <w:rPr>
          <w:rFonts w:ascii="宋体" w:eastAsia="宋体" w:hAnsi="宋体"/>
          <w:bCs/>
          <w:iCs/>
          <w:color w:val="000000"/>
          <w:sz w:val="24"/>
        </w:rPr>
        <w:t>6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日                                                        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340"/>
      </w:tblGrid>
      <w:tr w:rsidR="00B175E4" w14:paraId="1BA8B292" w14:textId="77777777" w:rsidTr="00D97563">
        <w:trPr>
          <w:trHeight w:val="151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0D2B" w14:textId="77777777" w:rsidR="00B175E4" w:rsidRPr="00FB6599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1672" w14:textId="4679CB3F" w:rsidR="00B175E4" w:rsidRDefault="00C50ECE" w:rsidP="00FB6599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 xml:space="preserve"> </w:t>
            </w:r>
            <w:r w:rsidR="0036242B">
              <w:rPr>
                <w:rFonts w:ascii="宋体" w:eastAsia="宋体" w:hAnsi="宋体" w:cs="宋体" w:hint="eastAsia"/>
                <w:sz w:val="24"/>
              </w:rPr>
              <w:t xml:space="preserve">特定对象调研      </w:t>
            </w:r>
            <w:r w:rsidR="008C1328">
              <w:rPr>
                <w:rFonts w:ascii="宋体" w:eastAsia="宋体" w:hAnsi="宋体" w:cs="宋体"/>
                <w:sz w:val="24"/>
              </w:rPr>
              <w:t xml:space="preserve"> </w:t>
            </w:r>
            <w:r w:rsidR="0036242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36242B">
              <w:rPr>
                <w:rFonts w:ascii="宋体" w:eastAsia="宋体" w:hAnsi="宋体" w:cs="宋体" w:hint="eastAsia"/>
                <w:sz w:val="24"/>
              </w:rPr>
              <w:t>分析师会议</w:t>
            </w:r>
            <w:r w:rsidR="0036242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□</w:t>
            </w:r>
            <w:r w:rsidR="0036242B"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14:paraId="1B0BD581" w14:textId="0207C330" w:rsidR="00B175E4" w:rsidRDefault="00C50ECE" w:rsidP="00FB6599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36242B">
              <w:rPr>
                <w:rFonts w:ascii="宋体" w:eastAsia="宋体" w:hAnsi="宋体" w:cs="宋体" w:hint="eastAsia"/>
                <w:sz w:val="24"/>
              </w:rPr>
              <w:t>业绩说明会</w:t>
            </w:r>
            <w:r w:rsidR="0036242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□</w:t>
            </w:r>
            <w:r w:rsidR="0036242B">
              <w:rPr>
                <w:rFonts w:ascii="宋体" w:eastAsia="宋体" w:hAnsi="宋体" w:cs="宋体" w:hint="eastAsia"/>
                <w:sz w:val="24"/>
              </w:rPr>
              <w:t xml:space="preserve">新闻发布会        </w:t>
            </w:r>
            <w:r w:rsidR="0036242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36242B"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14:paraId="300A7148" w14:textId="44088BE6" w:rsidR="00B175E4" w:rsidRPr="00C50ECE" w:rsidRDefault="0036242B" w:rsidP="00C50ECE">
            <w:pPr>
              <w:pStyle w:val="ae"/>
              <w:numPr>
                <w:ilvl w:val="0"/>
                <w:numId w:val="3"/>
              </w:numPr>
              <w:tabs>
                <w:tab w:val="left" w:pos="3045"/>
                <w:tab w:val="center" w:pos="3199"/>
              </w:tabs>
              <w:spacing w:line="360" w:lineRule="auto"/>
              <w:ind w:firstLineChars="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C50ECE">
              <w:rPr>
                <w:rFonts w:ascii="宋体" w:eastAsia="宋体" w:hAnsi="宋体" w:cs="宋体" w:hint="eastAsia"/>
                <w:sz w:val="24"/>
              </w:rPr>
              <w:t>现场参观</w:t>
            </w:r>
            <w:r w:rsidRPr="00C50EC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  □</w:t>
            </w:r>
            <w:r w:rsidRPr="00C50ECE">
              <w:rPr>
                <w:rFonts w:ascii="宋体" w:eastAsia="宋体" w:hAnsi="宋体" w:cs="宋体" w:hint="eastAsia"/>
                <w:sz w:val="24"/>
              </w:rPr>
              <w:t xml:space="preserve">其他 </w:t>
            </w:r>
          </w:p>
        </w:tc>
      </w:tr>
      <w:tr w:rsidR="00B175E4" w14:paraId="462F7CD7" w14:textId="77777777" w:rsidTr="00D97563">
        <w:trPr>
          <w:trHeight w:val="6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5598" w14:textId="77777777" w:rsidR="00B175E4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77CB" w14:textId="15702826" w:rsidR="00B175E4" w:rsidRDefault="00C50ECE" w:rsidP="00011AC7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通过</w:t>
            </w:r>
            <w:r w:rsidR="00527579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网络互动</w:t>
            </w:r>
            <w:r w:rsidR="00D307D6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的</w:t>
            </w:r>
            <w:r w:rsidR="00527579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形式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参与公司本次业绩说明会的投资者</w:t>
            </w:r>
          </w:p>
        </w:tc>
      </w:tr>
      <w:tr w:rsidR="00B175E4" w14:paraId="304A4465" w14:textId="77777777" w:rsidTr="00D97563">
        <w:trPr>
          <w:trHeight w:val="6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2A2" w14:textId="77777777" w:rsidR="00B175E4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921D" w14:textId="6EE9CC15" w:rsidR="00B175E4" w:rsidRDefault="0036242B" w:rsidP="00343D78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</w:t>
            </w:r>
            <w:r w:rsidR="00343D78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</w:t>
            </w:r>
            <w:r w:rsidR="00343D78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DF7EFC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</w:t>
            </w:r>
            <w:r w:rsidR="00343D78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</w:t>
            </w:r>
            <w:r w:rsidR="00DC3D6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 w:rsidR="00343D7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下</w:t>
            </w:r>
            <w:r w:rsidR="003D326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午</w:t>
            </w:r>
            <w:r w:rsidR="00343D78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13</w:t>
            </w:r>
            <w:r w:rsidR="00E074A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:0</w:t>
            </w:r>
            <w:r w:rsidR="001C43A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  <w:r w:rsidR="00DC3D6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—</w:t>
            </w:r>
            <w:r w:rsidR="002914D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1</w:t>
            </w:r>
            <w:r w:rsidR="00343D78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4</w:t>
            </w:r>
            <w:r w:rsidR="000A40A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011AC7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</w:t>
            </w:r>
            <w:r w:rsidR="002914D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B175E4" w14:paraId="6AD0EF2B" w14:textId="77777777" w:rsidTr="00D97563">
        <w:trPr>
          <w:trHeight w:val="7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92B6" w14:textId="77777777" w:rsidR="00B175E4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8C0D" w14:textId="77777777" w:rsidR="00011AC7" w:rsidRDefault="00011AC7" w:rsidP="00011AC7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 w:rsidRPr="00C50ECE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上海证券交易所</w:t>
            </w:r>
            <w:proofErr w:type="gramStart"/>
            <w:r w:rsidRPr="00C50ECE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上证路演</w:t>
            </w:r>
            <w:proofErr w:type="gramEnd"/>
            <w:r w:rsidRPr="00C50ECE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中心</w:t>
            </w:r>
          </w:p>
          <w:p w14:paraId="11BF168E" w14:textId="40D19E5F" w:rsidR="00B175E4" w:rsidRDefault="00011AC7" w:rsidP="00011AC7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C50ECE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（网址：http://roadshow.sseinfo.com/）</w:t>
            </w:r>
          </w:p>
        </w:tc>
      </w:tr>
      <w:tr w:rsidR="00B175E4" w14:paraId="03B2FDF8" w14:textId="77777777" w:rsidTr="00D9756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D8E" w14:textId="77777777" w:rsidR="00B175E4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105" w14:textId="73162EBD" w:rsidR="00B175E4" w:rsidRPr="00C50ECE" w:rsidRDefault="00D307D6" w:rsidP="00DF7EFC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党委书记、</w:t>
            </w:r>
            <w:r w:rsidR="00C50ECE" w:rsidRPr="00C50EC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董事长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吴智晖</w:t>
            </w:r>
            <w:r w:rsidR="00AB665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，党委副书记、</w:t>
            </w:r>
            <w:r w:rsidR="00542F8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董事、</w:t>
            </w:r>
            <w:r w:rsidR="00C50ECE" w:rsidRPr="00C50EC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行长</w:t>
            </w:r>
            <w:r w:rsidR="00343D7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、财务负责人</w:t>
            </w:r>
            <w:r w:rsidR="00542F8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陈钢梁</w:t>
            </w:r>
            <w:r w:rsidR="00AB665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，党委委员、</w:t>
            </w:r>
            <w:r w:rsidR="00542F8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董事、</w:t>
            </w:r>
            <w:r w:rsidR="00730BD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副行长严国利</w:t>
            </w:r>
            <w:r w:rsidR="00AB665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="00730BD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独立董事鲁瑛均</w:t>
            </w:r>
            <w:r w:rsidR="00343D7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，董事会秘书章国江</w:t>
            </w:r>
          </w:p>
        </w:tc>
      </w:tr>
      <w:tr w:rsidR="00B175E4" w14:paraId="1DDEA893" w14:textId="77777777" w:rsidTr="00D97563">
        <w:trPr>
          <w:trHeight w:val="452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BF0E" w14:textId="05B980D1" w:rsidR="00B175E4" w:rsidRDefault="00527579" w:rsidP="00A0514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</w:t>
            </w:r>
            <w:r w:rsidR="00A05146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主要</w:t>
            </w:r>
            <w:r w:rsidR="0036242B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内容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91B7" w14:textId="6E39B707" w:rsidR="00011AC7" w:rsidRDefault="00527579" w:rsidP="00DF7EF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各位嘉宾、各位投资者、各位网友，大家好！欢迎光临瑞丰银行2025年半年度业绩说明会。本次活动由浙江绍兴瑞</w:t>
            </w:r>
            <w:proofErr w:type="gramStart"/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丰农村</w:t>
            </w:r>
            <w:proofErr w:type="gramEnd"/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商业银行股份有限公司主办，上证所信息网络有限公司提供网络平台支持，感谢您的关注与参与。8月27日，浙江绍兴瑞</w:t>
            </w:r>
            <w:proofErr w:type="gramStart"/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丰农村</w:t>
            </w:r>
            <w:proofErr w:type="gramEnd"/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商业银行股份有限公司刊登了《2025年半年度报告》，各位投资者可以登录上海证券交易所网站（http://www.sse.com.cn/）或本平台（http://roadshow.sseinfo.com/），查看相关公告。为便于广大投资者更全面深入地了解公司2025年半年度经营成果、财务状况，公司决定</w:t>
            </w:r>
            <w:proofErr w:type="gramStart"/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召开瑞</w:t>
            </w:r>
            <w:proofErr w:type="gramEnd"/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丰银行2025年半年度业绩说明会。在今天的活动中，瑞丰银行管理层主要成员做客</w:t>
            </w:r>
            <w:proofErr w:type="gramStart"/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上证路演</w:t>
            </w:r>
            <w:proofErr w:type="gramEnd"/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中心，将与投资者进行沟通交流。欢迎大家积极参与。首先有请上市公司嘉宾作开场致辞。</w:t>
            </w:r>
          </w:p>
          <w:p w14:paraId="74D2448F" w14:textId="77777777" w:rsidR="00603036" w:rsidRPr="00603036" w:rsidRDefault="00527579" w:rsidP="0060303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瑞丰银行</w:t>
            </w:r>
            <w:r w:rsidR="00D97563">
              <w:rPr>
                <w:rFonts w:asciiTheme="minorEastAsia" w:eastAsiaTheme="minorEastAsia" w:hAnsiTheme="minorEastAsia" w:hint="eastAsia"/>
                <w:sz w:val="24"/>
              </w:rPr>
              <w:t>党委书记、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董事长</w:t>
            </w:r>
            <w:r w:rsidR="00542F85">
              <w:rPr>
                <w:rFonts w:asciiTheme="minorEastAsia" w:eastAsiaTheme="minorEastAsia" w:hAnsiTheme="minorEastAsia" w:hint="eastAsia"/>
                <w:sz w:val="24"/>
              </w:rPr>
              <w:t>吴智晖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尊敬的各位投资者，大家下午好！欢迎参加瑞丰银行2025年半年度业绩说明会。我是瑞丰银行</w:t>
            </w:r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董事长吴智晖，出席</w:t>
            </w:r>
            <w:proofErr w:type="gramStart"/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今天业绩</w:t>
            </w:r>
            <w:proofErr w:type="gramEnd"/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说明会的还有：瑞丰银行董事、行长陈钢梁先生，董事、副行长严国利先生，独立董事鲁瑛均女士，董事会秘书章国江先生。我谨代表瑞丰银行向参会的投资者、分析师，以及长期以来关心支持公司发展的新老朋友们表示衷心的感谢！</w:t>
            </w:r>
          </w:p>
          <w:p w14:paraId="419D1F31" w14:textId="77777777" w:rsidR="00603036" w:rsidRPr="00603036" w:rsidRDefault="00603036" w:rsidP="0060303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03036">
              <w:rPr>
                <w:rFonts w:asciiTheme="minorEastAsia" w:eastAsiaTheme="minorEastAsia" w:hAnsiTheme="minorEastAsia" w:hint="eastAsia"/>
                <w:sz w:val="24"/>
              </w:rPr>
              <w:t>2025年上半年，宏观经济承压前行、行业格局深刻演变，面对新形势、新任务、新要求，本行在总行党委和董事会的领导下，坚定“1235”高质量发展战略目标，坚守“支农支小”核心定位，坚持服务“三农”、服务民营小微、服务实体经济，激发改革创新动能，把战略布局谋在高处，把精细管理落到实处，统筹推进高质量发展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走深走实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43C278FC" w14:textId="77777777" w:rsidR="00603036" w:rsidRPr="00603036" w:rsidRDefault="00603036" w:rsidP="0060303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03036">
              <w:rPr>
                <w:rFonts w:asciiTheme="minorEastAsia" w:eastAsiaTheme="minorEastAsia" w:hAnsiTheme="minorEastAsia" w:hint="eastAsia"/>
                <w:sz w:val="24"/>
              </w:rPr>
              <w:t>上半年，我们核心指标稳中有进，发展成色足。这半年来，本行坚持价值创造与主责主业相统一、合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规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经营与机制创新相统一、减负赋能与奋斗文化相统一，交出了一份“量质效”协同提升的答卷。业务规模稳步提升。报告期末，集团总资产2,300.71亿元，较年初增加95.68亿元，增幅4.34%；各项存款余额1,697.16亿元，较年初增加70.24亿元，增幅4.32%；各项贷款余额1,342.05亿元，较年初增加32.45亿元，增幅2.48%。资产质量保持平稳。报告期末，集团不良贷款率0.98%，较年初上升0.01个百分点；拨备覆盖率340.28%，较年初上升19.41个百分点；拨贷比3.34%，较年初上升0.24个百分点。经营效益平稳增长。报告期内，集团实现营业收入22.59亿元，较上年同期增长3.91%；实现归属于上市公司股东的净利润8.90亿元，较上年同期增长5.59%。今年,我们全球千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强银行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排名首次进入500强，较上年提升14位，上市以来提升94位，更是我们综合实力跃升的有力证明。</w:t>
            </w:r>
          </w:p>
          <w:p w14:paraId="16A841C0" w14:textId="77777777" w:rsidR="00603036" w:rsidRPr="00603036" w:rsidRDefault="00603036" w:rsidP="0060303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03036">
              <w:rPr>
                <w:rFonts w:asciiTheme="minorEastAsia" w:eastAsiaTheme="minorEastAsia" w:hAnsiTheme="minorEastAsia" w:hint="eastAsia"/>
                <w:sz w:val="24"/>
              </w:rPr>
              <w:t>上半年，我们重点领域深度聚焦，发展势能强。“战略引领”强基赋能。一是“必赢之战”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攻堵点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。本行锚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定关键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突破口，迭代升级新一轮全行级“必赢之战”，聚焦“极致客户体验”“数字化客群运营”“下沉客群风险经营”“价值驱动型资负管理”“组织管理与能力提升”“数智化高效赋能”六大“必赢之战”，同步推进小切口业务攻坚战，</w:t>
            </w:r>
            <w:r w:rsidRPr="00603036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以实打实的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转型成效提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振信心。二是“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基四箭”拓增量。本行找准发展着力点，坚持深化以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柯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桥本土为“一基”，以义乌板块拓展市场商户、越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城板块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深化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三方建联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、滨海板块服务蓝领客群、嵊州板块深耕社区小微，持续拓展“四箭”新空间。“五大金融”提质增效。提升科技金融专业化服务成效，上半年服务科技型企业达1,189家，贷款余额150.82亿元，增幅9.35%，服务国家级、省级“专精特新”企业116家，贷款余额30.78亿元，增幅76.09%。深化绿色金融产业化服务体系，积极助推支柱产业节能减排，融合生态农业创新发展，持续强化绿色信贷资金支持。报告期末，集团绿色贷款余额47.63亿元。巩固普惠金融常态化服务模式，累计服务249家小微园区，建档覆盖率达94.75%。报告期末，集团普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惠型小微企业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贷款余额达555.84亿元，增幅5.37%。打造养老金融多元化服务生态，支持养老产业相关企业27家，提供信贷资金2.10亿元，老年客户三代市民卡累计开卡25.53万张，108家网点完成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适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老化改造，全面做实养老金融业务。优化数字金融增值化服务体验，构建“客群运营+产品创新+场景应用+风险经营”的数字金融新生态。</w:t>
            </w:r>
          </w:p>
          <w:p w14:paraId="4FEF334C" w14:textId="77777777" w:rsidR="00603036" w:rsidRPr="00603036" w:rsidRDefault="00603036" w:rsidP="0060303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03036">
              <w:rPr>
                <w:rFonts w:asciiTheme="minorEastAsia" w:eastAsiaTheme="minorEastAsia" w:hAnsiTheme="minorEastAsia" w:hint="eastAsia"/>
                <w:sz w:val="24"/>
              </w:rPr>
              <w:t>上半年，我们精细管理聚力赋能，发展效能实。深化网点转型服务成效有提升。我们积极打造“体验式银行”，做深网点微场景建设，营造网点服务文化，筑牢农商特色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网点获客活客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主阵地；我们增设厅堂服务营销人员，实现网点运营模式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焕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新，完成柜员与厅堂人员的角色转换、加快总部集约和“机器换人”，截至6月末，网点人均产能同比增长28%，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智柜分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流率较上年提升10.24%，客户满意度提升6.6%。我们增强客户管户与服务，实现厅堂营销动能提升，上半年，三星级及以上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客户触达率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较一季度末提高26.5%，三星级及以上财富客户AUM达841.50亿元，较上年末增长16.87%。围绕专项行动有突破。我们做深“抓客户 拓市场 控风险”专项行动，持续推动业务向小、向下、向实。在抓存量上，我们深度盘点防流失，小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微企业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流失率降至0.34%，较最高点下降1.06个百分点。在抓增量上，我们多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措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并举强引流，实现新注册企业100%触达，6月末新拓首贷户604户，新版</w:t>
            </w:r>
            <w:r w:rsidRPr="00603036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共富贷引流累计用信超3亿元。在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控风险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上，我们坚持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控新与降旧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“双轨并行”、回访与校检“双轮驱动”、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数驱与机制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“双重赋能”，防治筑牢资产质量堤坝。</w:t>
            </w:r>
          </w:p>
          <w:p w14:paraId="6BDACA75" w14:textId="77777777" w:rsidR="00603036" w:rsidRDefault="00603036" w:rsidP="0060303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03036">
              <w:rPr>
                <w:rFonts w:asciiTheme="minorEastAsia" w:eastAsiaTheme="minorEastAsia" w:hAnsiTheme="minorEastAsia" w:hint="eastAsia"/>
                <w:sz w:val="24"/>
              </w:rPr>
              <w:t>下半年，本行将继续坚持稳中求进的总基调，加大金融对实体经济的支持力度，在“1235”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目标愿景的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引领下，持续强化发展向心力，加快培育差异化竞争力，有效增强风险抵御力，切实打造价值创造力，续写领跑竞跑、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再瑞再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丰新篇章！</w:t>
            </w:r>
          </w:p>
          <w:p w14:paraId="23223719" w14:textId="7A95F398" w:rsidR="00011AC7" w:rsidRDefault="00603036" w:rsidP="0060303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预征</w:t>
            </w: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集问题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及</w:t>
            </w:r>
            <w:r w:rsidR="00011AC7">
              <w:rPr>
                <w:rFonts w:asciiTheme="minorEastAsia" w:eastAsiaTheme="minorEastAsia" w:hAnsiTheme="minorEastAsia"/>
                <w:sz w:val="24"/>
              </w:rPr>
              <w:t>互动问答</w:t>
            </w:r>
            <w:r w:rsidR="00011AC7">
              <w:rPr>
                <w:rFonts w:asciiTheme="minorEastAsia" w:eastAsiaTheme="minorEastAsia" w:hAnsiTheme="minorEastAsia" w:hint="eastAsia"/>
                <w:sz w:val="24"/>
              </w:rPr>
              <w:t>:</w:t>
            </w:r>
          </w:p>
          <w:p w14:paraId="65C359B4" w14:textId="1443D6AA" w:rsidR="005E354C" w:rsidRDefault="005E354C" w:rsidP="00D9756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6C51A0">
              <w:rPr>
                <w:rFonts w:hint="eastAsia"/>
              </w:rPr>
              <w:t xml:space="preserve"> </w:t>
            </w:r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逾期贷款率有所提升，这部分贷款风险如何？是否会对今后不良贷款率的稳定产生不利影响？逾期贷款率还会继续升高吗？</w:t>
            </w:r>
          </w:p>
          <w:p w14:paraId="338CF09C" w14:textId="77777777" w:rsidR="00603036" w:rsidRDefault="005E354C" w:rsidP="009C52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DF7EFC" w:rsidRPr="00DF7EFC">
              <w:rPr>
                <w:rFonts w:asciiTheme="minorEastAsia" w:eastAsiaTheme="minorEastAsia" w:hAnsiTheme="minorEastAsia" w:hint="eastAsia"/>
                <w:sz w:val="24"/>
              </w:rPr>
              <w:t>您好！</w:t>
            </w:r>
            <w:r w:rsidR="00603036" w:rsidRPr="00603036">
              <w:rPr>
                <w:rFonts w:asciiTheme="minorEastAsia" w:eastAsiaTheme="minorEastAsia" w:hAnsiTheme="minorEastAsia" w:hint="eastAsia"/>
                <w:sz w:val="24"/>
              </w:rPr>
              <w:t>2025年上半年，我行逾期贷款有所增加，主要是逾期天数在3个月内的个人贷款金额增加。个人贷款逾期增加的原因主要有以下几方面:一是近年来国际政治经济局势复杂多变，国内经济运行承压，消费大循环尚未完全打通，个体工商户、小微企业主等借款主体还款能力弱化，出现少数个人客户无法正常还本付息的情况；二是近几年区域房产价格有所下跌，使得借款人还款主观意愿下降；三是个人贷款相较公司贷款具有笔数分散、金额较小的特点，在处理对应的逾期贷款时会优先考虑金额、笔数等因素，因此在处理周期上会相对较长，但个人贷款大部分都是房产抵押贷款，总体风险仍较为可控，不会对不良贷款率的稳定带来较大的扰动。</w:t>
            </w:r>
          </w:p>
          <w:p w14:paraId="4EFCB2D0" w14:textId="7C17AE76" w:rsidR="00DF7EFC" w:rsidRDefault="00603036" w:rsidP="009C52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03036">
              <w:rPr>
                <w:rFonts w:asciiTheme="minorEastAsia" w:eastAsiaTheme="minorEastAsia" w:hAnsiTheme="minorEastAsia" w:hint="eastAsia"/>
                <w:sz w:val="24"/>
              </w:rPr>
              <w:t>下半年，我行将继续围绕“风险管理精细化、不良清收系统化、信贷准入标准化、合</w:t>
            </w:r>
            <w:proofErr w:type="gramStart"/>
            <w:r w:rsidRPr="00603036">
              <w:rPr>
                <w:rFonts w:asciiTheme="minorEastAsia" w:eastAsiaTheme="minorEastAsia" w:hAnsiTheme="minorEastAsia" w:hint="eastAsia"/>
                <w:sz w:val="24"/>
              </w:rPr>
              <w:t>规</w:t>
            </w:r>
            <w:proofErr w:type="gramEnd"/>
            <w:r w:rsidRPr="00603036">
              <w:rPr>
                <w:rFonts w:asciiTheme="minorEastAsia" w:eastAsiaTheme="minorEastAsia" w:hAnsiTheme="minorEastAsia" w:hint="eastAsia"/>
                <w:sz w:val="24"/>
              </w:rPr>
              <w:t>管理规范化”四大方向，全面优化风险管理体系，丰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富不良贷款化解手段，加大不良处置力度，夯实高质量发展根基。</w:t>
            </w:r>
            <w:r w:rsidR="00DF7EFC" w:rsidRPr="00DF7EFC">
              <w:rPr>
                <w:rFonts w:asciiTheme="minorEastAsia" w:eastAsiaTheme="minorEastAsia" w:hAnsiTheme="minorEastAsia" w:hint="eastAsia"/>
                <w:sz w:val="24"/>
              </w:rPr>
              <w:t>谢谢！</w:t>
            </w:r>
          </w:p>
          <w:p w14:paraId="329A8963" w14:textId="573D9AE7" w:rsidR="00D2365E" w:rsidRDefault="00D2365E" w:rsidP="009C52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2.</w:t>
            </w:r>
            <w:r w:rsidR="00011AC7">
              <w:rPr>
                <w:rFonts w:hint="eastAsia"/>
              </w:rPr>
              <w:t xml:space="preserve"> 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请行长结合当前负债与资产两端价</w:t>
            </w:r>
            <w:r w:rsidR="00D9144B">
              <w:rPr>
                <w:rFonts w:asciiTheme="minorEastAsia" w:eastAsiaTheme="minorEastAsia" w:hAnsiTheme="minorEastAsia" w:hint="eastAsia"/>
                <w:sz w:val="24"/>
              </w:rPr>
              <w:t>格走势情况，对瑞丰银行下半年净息</w:t>
            </w:r>
            <w:proofErr w:type="gramStart"/>
            <w:r w:rsidR="00D9144B">
              <w:rPr>
                <w:rFonts w:asciiTheme="minorEastAsia" w:eastAsiaTheme="minorEastAsia" w:hAnsiTheme="minorEastAsia" w:hint="eastAsia"/>
                <w:sz w:val="24"/>
              </w:rPr>
              <w:t>差变化</w:t>
            </w:r>
            <w:proofErr w:type="gramEnd"/>
            <w:r w:rsidR="00D9144B">
              <w:rPr>
                <w:rFonts w:asciiTheme="minorEastAsia" w:eastAsiaTheme="minorEastAsia" w:hAnsiTheme="minorEastAsia" w:hint="eastAsia"/>
                <w:sz w:val="24"/>
              </w:rPr>
              <w:t>趋势做一个总体判断。</w:t>
            </w:r>
          </w:p>
          <w:p w14:paraId="0E98E1CD" w14:textId="3B24048A" w:rsidR="00D8711C" w:rsidRDefault="00D2365E" w:rsidP="00DF7EF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DF7EFC" w:rsidRPr="00DF7EFC">
              <w:rPr>
                <w:rFonts w:asciiTheme="minorEastAsia" w:eastAsiaTheme="minorEastAsia" w:hAnsiTheme="minorEastAsia" w:hint="eastAsia"/>
                <w:sz w:val="24"/>
              </w:rPr>
              <w:t>您好！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2025年以来，我行将稳定息差作为“硬指标”，一方面，强化负债</w:t>
            </w:r>
            <w:proofErr w:type="gramStart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端成本管</w:t>
            </w:r>
            <w:proofErr w:type="gramEnd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控，加大低成本存款拓展力度，优化存款结构，全力压降存款成本；另一方面，着力优化资产结构，通过压降贴现等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低收益资产占比、强化贷款利率定价管理、提高风险经营能力等举措，最大程度稳定或减少资产端收益率下行。2025年上半年，我行净息差为1.46</w:t>
            </w:r>
            <w:r w:rsidR="00DC23CA">
              <w:rPr>
                <w:rFonts w:asciiTheme="minorEastAsia" w:eastAsiaTheme="minorEastAsia" w:hAnsiTheme="minorEastAsia" w:hint="eastAsia"/>
                <w:sz w:val="24"/>
              </w:rPr>
              <w:t>%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，较上年度仅下降4BP，下</w:t>
            </w:r>
            <w:bookmarkStart w:id="0" w:name="_GoBack"/>
            <w:bookmarkEnd w:id="0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降幅度明显收窄。</w:t>
            </w:r>
          </w:p>
          <w:p w14:paraId="4CF41911" w14:textId="4B8A2ACD" w:rsidR="00D2365E" w:rsidRDefault="00D9144B" w:rsidP="00DF7EF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D9144B">
              <w:rPr>
                <w:rFonts w:asciiTheme="minorEastAsia" w:eastAsiaTheme="minorEastAsia" w:hAnsiTheme="minorEastAsia" w:hint="eastAsia"/>
                <w:sz w:val="24"/>
              </w:rPr>
              <w:t>结合当前负债与资产两端价格走势来看，我行下半年净息</w:t>
            </w:r>
            <w:proofErr w:type="gramStart"/>
            <w:r w:rsidRPr="00D9144B">
              <w:rPr>
                <w:rFonts w:asciiTheme="minorEastAsia" w:eastAsiaTheme="minorEastAsia" w:hAnsiTheme="minorEastAsia" w:hint="eastAsia"/>
                <w:sz w:val="24"/>
              </w:rPr>
              <w:t>差变化</w:t>
            </w:r>
            <w:proofErr w:type="gramEnd"/>
            <w:r w:rsidRPr="00D9144B">
              <w:rPr>
                <w:rFonts w:asciiTheme="minorEastAsia" w:eastAsiaTheme="minorEastAsia" w:hAnsiTheme="minorEastAsia" w:hint="eastAsia"/>
                <w:sz w:val="24"/>
              </w:rPr>
              <w:t>趋势整体有望边际企稳，但也面临一定的压力。具体分析如下： 一方面，负债</w:t>
            </w:r>
            <w:proofErr w:type="gramStart"/>
            <w:r w:rsidRPr="00D9144B">
              <w:rPr>
                <w:rFonts w:asciiTheme="minorEastAsia" w:eastAsiaTheme="minorEastAsia" w:hAnsiTheme="minorEastAsia" w:hint="eastAsia"/>
                <w:sz w:val="24"/>
              </w:rPr>
              <w:t>端成本</w:t>
            </w:r>
            <w:proofErr w:type="gramEnd"/>
            <w:r w:rsidRPr="00D9144B">
              <w:rPr>
                <w:rFonts w:asciiTheme="minorEastAsia" w:eastAsiaTheme="minorEastAsia" w:hAnsiTheme="minorEastAsia" w:hint="eastAsia"/>
                <w:sz w:val="24"/>
              </w:rPr>
              <w:t>下降提供有力支撑。2025年以来，定期存款到期重定价叠加存款结构调整，我行存款成本呈快速下降趋势，2025年上半年已下降26BP。下半年随着存款结构的进一步优化，存款成本将继续保持小幅下降趋势，为净息</w:t>
            </w:r>
            <w:proofErr w:type="gramStart"/>
            <w:r w:rsidRPr="00D9144B">
              <w:rPr>
                <w:rFonts w:asciiTheme="minorEastAsia" w:eastAsiaTheme="minorEastAsia" w:hAnsiTheme="minorEastAsia" w:hint="eastAsia"/>
                <w:sz w:val="24"/>
              </w:rPr>
              <w:t>差稳定</w:t>
            </w:r>
            <w:proofErr w:type="gramEnd"/>
            <w:r w:rsidRPr="00D9144B">
              <w:rPr>
                <w:rFonts w:asciiTheme="minorEastAsia" w:eastAsiaTheme="minorEastAsia" w:hAnsiTheme="minorEastAsia" w:hint="eastAsia"/>
                <w:sz w:val="24"/>
              </w:rPr>
              <w:t>提供有力支撑。 另一方面，资产端定价趋稳减少下行压力。从行业整体来看，新发贷款定价已处于历史低位，继续下行空间有限。但存量周转贷款与新发贷款定价之间仍有差距，会对未来整体资产收益率形成一定的压力。谢谢！</w:t>
            </w:r>
          </w:p>
          <w:p w14:paraId="5318A4AE" w14:textId="4139461A" w:rsidR="00D2365E" w:rsidRDefault="00D2365E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D9144B">
              <w:rPr>
                <w:rFonts w:hint="eastAsia"/>
              </w:rPr>
              <w:t xml:space="preserve"> 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我从半年度报告看到，贵行上半年整体贷款投放表现良好，请问贷款的主要投向是什么？展望下半年，请问贵行对贷款投放节奏、总量及同比增速有何预期？</w:t>
            </w:r>
          </w:p>
          <w:p w14:paraId="7E44FA89" w14:textId="5927926D" w:rsidR="00011AC7" w:rsidRDefault="00D2365E" w:rsidP="00DF7EF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DF7EFC" w:rsidRPr="00DF7EFC">
              <w:rPr>
                <w:rFonts w:asciiTheme="minorEastAsia" w:eastAsiaTheme="minorEastAsia" w:hAnsiTheme="minorEastAsia" w:hint="eastAsia"/>
                <w:sz w:val="24"/>
              </w:rPr>
              <w:t>您好！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我行始终坚守“支农支小”核心定位，坚持服务“三农”、服务民营小微、服务实体经济，全面做实金融“五篇大文章”。2025年上半年，我行的贷款投向主要有以下几方面：一是围绕“三农”金融服务和本地主导产业，服务纺织印染等传统制造业、批发零售业，加大小微企业、个人经营性等普惠领域贷款投放。丰富消费贷款产品，满足本地居民多样化消费需求，以“共富贷”等线</w:t>
            </w:r>
            <w:proofErr w:type="gramStart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上贷</w:t>
            </w:r>
            <w:proofErr w:type="gramEnd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款为抓手提升客户贷款体验。二是强化先进制造产业集群培育金融服务。加大对区域内先进制造业集群的金融支持，重点支持现代纺织、绿色化工、高端智能装备等传统产业改造升级和新材料、生物医药、半导体等新兴产业发展壮大。三是强化重点领域支持。加大对区域内基础设施和重大项目建设的支持和对科创、绿色、普惠、养老、供应链、新质生产力等重点领域的支持，着力推动区域经济回升向好。 展望下半年，我行参考去年信贷投放节奏，结合当前市场环境与业务规划，预期四季度信贷需求将有所增加。特别是本地传统产业如纺织业，随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lastRenderedPageBreak/>
              <w:t>着冬季服装铺货期临近，相关企业采购原材料、扩充产能的资金需求增加，以及企业年末资金周转、项目收尾等需求，四季度将迎来新的贷款投放增长。去年下半年我行贷款投放量基数较大，今年虽面临一定经济不确定性，但随着绍兴地区产业结构优化、政策红利释放，预计下半年仍将保持一个合理的增速。谢谢！</w:t>
            </w:r>
          </w:p>
          <w:p w14:paraId="49729BC8" w14:textId="710C9DF5" w:rsidR="00D2365E" w:rsidRDefault="00D2365E" w:rsidP="00011AC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 xml:space="preserve"> 我看到，你们行8月份有一个合计持股5%以上的股东发布了减持公告，请问减</w:t>
            </w:r>
            <w:proofErr w:type="gramStart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持原因</w:t>
            </w:r>
            <w:proofErr w:type="gramEnd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是什么？目前进展情况怎么样了？</w:t>
            </w:r>
          </w:p>
          <w:p w14:paraId="2A4EA5EC" w14:textId="2060CA38" w:rsidR="00D546B9" w:rsidRDefault="00D546B9" w:rsidP="00735BD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您好！本次减持的股东为本地优质民营企业，出于自身投资安排及资金需求，对持有的本行股份进行适度减持，减</w:t>
            </w:r>
            <w:proofErr w:type="gramStart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持数量</w:t>
            </w:r>
            <w:proofErr w:type="gramEnd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占其自身股份持有比例较小，对市场影响有限，本次减持后其仍持有本行较高比例股份。本行总体股东结构稳定，个别股东的减持总量占本行流通股的比例较低。本行将持续关注上述减</w:t>
            </w:r>
            <w:proofErr w:type="gramStart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持计划</w:t>
            </w:r>
            <w:proofErr w:type="gramEnd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的具体实施情况，并及时履行信息披露义务。请</w:t>
            </w:r>
            <w:proofErr w:type="gramStart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您持续</w:t>
            </w:r>
            <w:proofErr w:type="gramEnd"/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关注后续的进展公告。谢谢！</w:t>
            </w:r>
          </w:p>
          <w:p w14:paraId="5B14DF05" w14:textId="581CB785" w:rsidR="00D546B9" w:rsidRDefault="00D546B9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DF7EFC" w:rsidRPr="00DF7EF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尊敬的领导，下午好！作为中小投资者，有以下问题：</w:t>
            </w:r>
            <w:r w:rsidR="00D8711C">
              <w:rPr>
                <w:rFonts w:asciiTheme="minorEastAsia" w:eastAsiaTheme="minorEastAsia" w:hAnsiTheme="minorEastAsia" w:hint="eastAsia"/>
                <w:sz w:val="24"/>
              </w:rPr>
              <w:t>（1）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能否介绍一下可转债发行的最新进展。</w:t>
            </w:r>
            <w:r w:rsidR="00D8711C">
              <w:rPr>
                <w:rFonts w:asciiTheme="minorEastAsia" w:eastAsiaTheme="minorEastAsia" w:hAnsiTheme="minorEastAsia" w:hint="eastAsia"/>
                <w:sz w:val="24"/>
              </w:rPr>
              <w:t>（2）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本银行的资本充足率一直下滑中，可转债发行前后会有怎样的影响？如何遏制下滑状态？</w:t>
            </w:r>
            <w:r w:rsidR="00D8711C">
              <w:rPr>
                <w:rFonts w:asciiTheme="minorEastAsia" w:eastAsiaTheme="minorEastAsia" w:hAnsiTheme="minorEastAsia" w:hint="eastAsia"/>
                <w:sz w:val="24"/>
              </w:rPr>
              <w:t>（3）</w:t>
            </w:r>
            <w:r w:rsidR="00D9144B" w:rsidRPr="00D9144B">
              <w:rPr>
                <w:rFonts w:asciiTheme="minorEastAsia" w:eastAsiaTheme="minorEastAsia" w:hAnsiTheme="minorEastAsia" w:hint="eastAsia"/>
                <w:sz w:val="24"/>
              </w:rPr>
              <w:t>公司的中期分红和年度分红政策如何？</w:t>
            </w:r>
          </w:p>
          <w:p w14:paraId="0D96BB40" w14:textId="77777777" w:rsidR="00AE2699" w:rsidRDefault="00D546B9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AE2699" w:rsidRPr="00AE2699">
              <w:rPr>
                <w:rFonts w:asciiTheme="minorEastAsia" w:eastAsiaTheme="minorEastAsia" w:hAnsiTheme="minorEastAsia" w:hint="eastAsia"/>
                <w:sz w:val="24"/>
              </w:rPr>
              <w:t>您好！本行向不特定对象发行可转换公司债</w:t>
            </w:r>
            <w:proofErr w:type="gramStart"/>
            <w:r w:rsidR="00AE2699" w:rsidRPr="00AE2699">
              <w:rPr>
                <w:rFonts w:asciiTheme="minorEastAsia" w:eastAsiaTheme="minorEastAsia" w:hAnsiTheme="minorEastAsia" w:hint="eastAsia"/>
                <w:sz w:val="24"/>
              </w:rPr>
              <w:t>券</w:t>
            </w:r>
            <w:proofErr w:type="gramEnd"/>
            <w:r w:rsidR="00AE2699" w:rsidRPr="00AE2699">
              <w:rPr>
                <w:rFonts w:asciiTheme="minorEastAsia" w:eastAsiaTheme="minorEastAsia" w:hAnsiTheme="minorEastAsia" w:hint="eastAsia"/>
                <w:sz w:val="24"/>
              </w:rPr>
              <w:t>事项正在上海证券交易所审核推进中，尚需通过上海证券交易所审核，并获得中国证券监督管理委员会</w:t>
            </w:r>
            <w:proofErr w:type="gramStart"/>
            <w:r w:rsidR="00AE2699" w:rsidRPr="00AE2699">
              <w:rPr>
                <w:rFonts w:asciiTheme="minorEastAsia" w:eastAsiaTheme="minorEastAsia" w:hAnsiTheme="minorEastAsia" w:hint="eastAsia"/>
                <w:sz w:val="24"/>
              </w:rPr>
              <w:t>作出</w:t>
            </w:r>
            <w:proofErr w:type="gramEnd"/>
            <w:r w:rsidR="00AE2699" w:rsidRPr="00AE2699">
              <w:rPr>
                <w:rFonts w:asciiTheme="minorEastAsia" w:eastAsiaTheme="minorEastAsia" w:hAnsiTheme="minorEastAsia" w:hint="eastAsia"/>
                <w:sz w:val="24"/>
              </w:rPr>
              <w:t xml:space="preserve">同意注册的决定后方可实施。我们将持续努力推动项目进度，有进一步信息会及时予以公告，也请随时关注。 </w:t>
            </w:r>
          </w:p>
          <w:p w14:paraId="0469CA19" w14:textId="77777777" w:rsidR="00AE2699" w:rsidRDefault="00AE2699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AE2699">
              <w:rPr>
                <w:rFonts w:asciiTheme="minorEastAsia" w:eastAsiaTheme="minorEastAsia" w:hAnsiTheme="minorEastAsia" w:hint="eastAsia"/>
                <w:sz w:val="24"/>
              </w:rPr>
              <w:t>本行2025年半年度资本充足率为14.11%，虽较上年末有所下降但仍处于较高水平。本次可转债发行后，待可转</w:t>
            </w:r>
            <w:proofErr w:type="gramStart"/>
            <w:r w:rsidRPr="00AE2699">
              <w:rPr>
                <w:rFonts w:asciiTheme="minorEastAsia" w:eastAsiaTheme="minorEastAsia" w:hAnsiTheme="minorEastAsia" w:hint="eastAsia"/>
                <w:sz w:val="24"/>
              </w:rPr>
              <w:t>债进入转</w:t>
            </w:r>
            <w:proofErr w:type="gramEnd"/>
            <w:r w:rsidRPr="00AE2699">
              <w:rPr>
                <w:rFonts w:asciiTheme="minorEastAsia" w:eastAsiaTheme="minorEastAsia" w:hAnsiTheme="minorEastAsia" w:hint="eastAsia"/>
                <w:sz w:val="24"/>
              </w:rPr>
              <w:t>股期，随着投资者在转股期内持续转股，可有效补充我</w:t>
            </w:r>
            <w:proofErr w:type="gramStart"/>
            <w:r w:rsidRPr="00AE2699">
              <w:rPr>
                <w:rFonts w:asciiTheme="minorEastAsia" w:eastAsiaTheme="minorEastAsia" w:hAnsiTheme="minorEastAsia" w:hint="eastAsia"/>
                <w:sz w:val="24"/>
              </w:rPr>
              <w:t>行核心</w:t>
            </w:r>
            <w:proofErr w:type="gramEnd"/>
            <w:r w:rsidRPr="00AE2699">
              <w:rPr>
                <w:rFonts w:asciiTheme="minorEastAsia" w:eastAsiaTheme="minorEastAsia" w:hAnsiTheme="minorEastAsia" w:hint="eastAsia"/>
                <w:sz w:val="24"/>
              </w:rPr>
              <w:t xml:space="preserve">一级资本。一方面，本行通过提升自身盈利能力，强化内源性资本补充，另一方面，将通过发行二级资本债、可转债等方式，多渠道强化外源性资本补充。 </w:t>
            </w:r>
          </w:p>
          <w:p w14:paraId="40D775D4" w14:textId="2C9E2DF8" w:rsidR="00735BDC" w:rsidRDefault="00AE2699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AE2699">
              <w:rPr>
                <w:rFonts w:asciiTheme="minorEastAsia" w:eastAsiaTheme="minorEastAsia" w:hAnsiTheme="minorEastAsia" w:hint="eastAsia"/>
                <w:sz w:val="24"/>
              </w:rPr>
              <w:t>关于分红政策，一直是投资者较为关注的问题。近年来，本行一直在强化自身盈利能力的同时，持续提升投资者回报水平。未来，本行将基于自身发展和监管导向，合理平衡利润留存和投资者回报，制</w:t>
            </w:r>
            <w:r w:rsidRPr="00AE269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定积极稳健的现金分红政策，努力确保股东和投资者利益。谢谢！</w:t>
            </w:r>
          </w:p>
          <w:p w14:paraId="4B565C1C" w14:textId="216CE1A9" w:rsidR="00D8711C" w:rsidRDefault="00D8711C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6．</w:t>
            </w:r>
            <w:r w:rsidRPr="00D8711C">
              <w:rPr>
                <w:rFonts w:asciiTheme="minorEastAsia" w:eastAsiaTheme="minorEastAsia" w:hAnsiTheme="minorEastAsia" w:hint="eastAsia"/>
                <w:sz w:val="24"/>
              </w:rPr>
              <w:t>请问贵行当前债券投资的规模有多少，TPL账户、OCI账户占比分别是多少？二季度债券利率整体回落，后续会如何应对债市的波动？</w:t>
            </w:r>
          </w:p>
          <w:p w14:paraId="3725AF25" w14:textId="77777777" w:rsidR="00D8711C" w:rsidRDefault="00D8711C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D8711C">
              <w:rPr>
                <w:rFonts w:asciiTheme="minorEastAsia" w:eastAsiaTheme="minorEastAsia" w:hAnsiTheme="minorEastAsia" w:hint="eastAsia"/>
                <w:sz w:val="24"/>
              </w:rPr>
              <w:t xml:space="preserve">您好！2025年6月末，本行金融投资包括交易性金融资产、债权投资、其他债权投资、其他权益工具投资，其中：其他债权投资355.15亿元，占比46.55%；债权投资305.42亿元，占比40.03%；交易性金融资产101.40亿元，占比13.29%；其他权益工具投资1.00亿元，占比0.13%。 </w:t>
            </w:r>
          </w:p>
          <w:p w14:paraId="6919E42A" w14:textId="75A78852" w:rsidR="00D8711C" w:rsidRDefault="00D8711C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D8711C">
              <w:rPr>
                <w:rFonts w:asciiTheme="minorEastAsia" w:eastAsiaTheme="minorEastAsia" w:hAnsiTheme="minorEastAsia" w:hint="eastAsia"/>
                <w:sz w:val="24"/>
              </w:rPr>
              <w:t>在应对债市波动方面，我们主要采取以下策略：一是构建更加多元化、国际化的投资组合。构建外币信用+利率的投资组合，并增加持仓占比，以实现不同风险收益特征资产的搭配，把握各类资产轮动机会，为长期低利率时代提前准备。二是本币债券组合继续坚持灵活的杠杆</w:t>
            </w:r>
            <w:proofErr w:type="gramStart"/>
            <w:r w:rsidRPr="00D8711C">
              <w:rPr>
                <w:rFonts w:asciiTheme="minorEastAsia" w:eastAsiaTheme="minorEastAsia" w:hAnsiTheme="minorEastAsia" w:hint="eastAsia"/>
                <w:sz w:val="24"/>
              </w:rPr>
              <w:t>和久期策略</w:t>
            </w:r>
            <w:proofErr w:type="gramEnd"/>
            <w:r w:rsidRPr="00D8711C">
              <w:rPr>
                <w:rFonts w:asciiTheme="minorEastAsia" w:eastAsiaTheme="minorEastAsia" w:hAnsiTheme="minorEastAsia" w:hint="eastAsia"/>
                <w:sz w:val="24"/>
              </w:rPr>
              <w:t>。在市场利率大幅波动时积极调整投资组合杠杆和久期，在市场利率窄幅震荡时，通过挖掘期限价差、</w:t>
            </w:r>
            <w:proofErr w:type="gramStart"/>
            <w:r w:rsidRPr="00D8711C">
              <w:rPr>
                <w:rFonts w:asciiTheme="minorEastAsia" w:eastAsiaTheme="minorEastAsia" w:hAnsiTheme="minorEastAsia" w:hint="eastAsia"/>
                <w:sz w:val="24"/>
              </w:rPr>
              <w:t>品种价</w:t>
            </w:r>
            <w:proofErr w:type="gramEnd"/>
            <w:r w:rsidRPr="00D8711C">
              <w:rPr>
                <w:rFonts w:asciiTheme="minorEastAsia" w:eastAsiaTheme="minorEastAsia" w:hAnsiTheme="minorEastAsia" w:hint="eastAsia"/>
                <w:sz w:val="24"/>
              </w:rPr>
              <w:t>差等优化投资组合结构。谢谢！</w:t>
            </w:r>
          </w:p>
          <w:p w14:paraId="22E1DD1F" w14:textId="31B5446A" w:rsidR="00417C48" w:rsidRDefault="00417C48" w:rsidP="0084400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="00D8711C" w:rsidRPr="00D8711C">
              <w:rPr>
                <w:rFonts w:asciiTheme="minorEastAsia" w:eastAsiaTheme="minorEastAsia" w:hAnsiTheme="minorEastAsia" w:hint="eastAsia"/>
                <w:sz w:val="24"/>
              </w:rPr>
              <w:t>各位投资者、各位网友，本次瑞丰银行2025年半年度业绩说明会已经接近尾声，我们请上市公司嘉宾作总结发言。</w:t>
            </w:r>
            <w:r w:rsidR="00FE6212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14:paraId="4DDEBFEF" w14:textId="2D967654" w:rsidR="00011AC7" w:rsidRPr="00011AC7" w:rsidRDefault="00011AC7" w:rsidP="00011AC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</w:t>
            </w:r>
            <w:r w:rsidR="00430772" w:rsidRPr="00430772">
              <w:rPr>
                <w:rFonts w:asciiTheme="minorEastAsia" w:eastAsiaTheme="minorEastAsia" w:hAnsiTheme="minorEastAsia" w:hint="eastAsia"/>
                <w:sz w:val="24"/>
              </w:rPr>
              <w:t>书记、董事长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吴智晖</w:t>
            </w:r>
            <w:r w:rsidR="00417C48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D8711C" w:rsidRPr="00D8711C">
              <w:rPr>
                <w:rFonts w:asciiTheme="minorEastAsia" w:eastAsiaTheme="minorEastAsia" w:hAnsiTheme="minorEastAsia" w:hint="eastAsia"/>
                <w:sz w:val="24"/>
              </w:rPr>
              <w:t>尊敬的各位投资者，本次业绩说明会即将结束，衷心感谢各位的积极参与，希望大家今后继续关心和支持瑞丰银行的发展。我们将始终坚守市场定位，持续服务实体经济，抓住金融“五篇大文章”重要发展机遇，以“1235”高质量发展战略为重要牵引，为股东、客户、员工以及各利益相关方创造更多的价值。 最后，感谢上</w:t>
            </w:r>
            <w:proofErr w:type="gramStart"/>
            <w:r w:rsidR="00D8711C" w:rsidRPr="00D8711C">
              <w:rPr>
                <w:rFonts w:asciiTheme="minorEastAsia" w:eastAsiaTheme="minorEastAsia" w:hAnsiTheme="minorEastAsia" w:hint="eastAsia"/>
                <w:sz w:val="24"/>
              </w:rPr>
              <w:t>证路演中心</w:t>
            </w:r>
            <w:proofErr w:type="gramEnd"/>
            <w:r w:rsidR="00D8711C" w:rsidRPr="00D8711C">
              <w:rPr>
                <w:rFonts w:asciiTheme="minorEastAsia" w:eastAsiaTheme="minorEastAsia" w:hAnsiTheme="minorEastAsia" w:hint="eastAsia"/>
                <w:sz w:val="24"/>
              </w:rPr>
              <w:t>提供的网上交流平台和优质服务。再次感谢大家，谢谢！</w:t>
            </w:r>
          </w:p>
          <w:p w14:paraId="18DE292F" w14:textId="44FF235D" w:rsidR="00417C48" w:rsidRPr="00417C48" w:rsidRDefault="00417C48" w:rsidP="00E87C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="00D8711C" w:rsidRPr="00D8711C">
              <w:rPr>
                <w:rFonts w:asciiTheme="minorEastAsia" w:eastAsiaTheme="minorEastAsia" w:hAnsiTheme="minorEastAsia" w:hint="eastAsia"/>
                <w:sz w:val="24"/>
              </w:rPr>
              <w:t>本次瑞丰银行2025年半年度业绩说明会到此圆满结束。感谢各位投资者和网友的积极参与，如各位还有进一步的问题，可通过上证e互动平台与公司保持沟通，谢谢！</w:t>
            </w:r>
          </w:p>
        </w:tc>
      </w:tr>
    </w:tbl>
    <w:p w14:paraId="01F5C13C" w14:textId="77777777" w:rsidR="00C007CF" w:rsidRPr="00470F27" w:rsidRDefault="00C007CF" w:rsidP="00194101">
      <w:pPr>
        <w:spacing w:beforeLines="50" w:before="156" w:afterLines="50" w:after="156"/>
        <w:jc w:val="left"/>
        <w:rPr>
          <w:rFonts w:ascii="仿宋_GB2312" w:eastAsia="仿宋_GB2312"/>
          <w:sz w:val="28"/>
          <w:szCs w:val="28"/>
        </w:rPr>
      </w:pPr>
    </w:p>
    <w:sectPr w:rsidR="00C007CF" w:rsidRPr="00470F27" w:rsidSect="00B175E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1FD74" w14:textId="77777777" w:rsidR="0065021A" w:rsidRDefault="0065021A" w:rsidP="000F1356">
      <w:r>
        <w:separator/>
      </w:r>
    </w:p>
  </w:endnote>
  <w:endnote w:type="continuationSeparator" w:id="0">
    <w:p w14:paraId="3C410783" w14:textId="77777777" w:rsidR="0065021A" w:rsidRDefault="0065021A" w:rsidP="000F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6254"/>
      <w:docPartObj>
        <w:docPartGallery w:val="Page Numbers (Bottom of Page)"/>
        <w:docPartUnique/>
      </w:docPartObj>
    </w:sdtPr>
    <w:sdtEndPr/>
    <w:sdtContent>
      <w:p w14:paraId="109CF52D" w14:textId="4E2DE48A" w:rsidR="0031359F" w:rsidRDefault="003135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3CA" w:rsidRPr="00DC23CA">
          <w:rPr>
            <w:noProof/>
            <w:lang w:val="zh-CN"/>
          </w:rPr>
          <w:t>6</w:t>
        </w:r>
        <w:r>
          <w:fldChar w:fldCharType="end"/>
        </w:r>
      </w:p>
    </w:sdtContent>
  </w:sdt>
  <w:p w14:paraId="7C2C70A1" w14:textId="77777777" w:rsidR="0031359F" w:rsidRDefault="00313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87F05" w14:textId="77777777" w:rsidR="0065021A" w:rsidRDefault="0065021A" w:rsidP="000F1356">
      <w:r>
        <w:separator/>
      </w:r>
    </w:p>
  </w:footnote>
  <w:footnote w:type="continuationSeparator" w:id="0">
    <w:p w14:paraId="44F167EA" w14:textId="77777777" w:rsidR="0065021A" w:rsidRDefault="0065021A" w:rsidP="000F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1D9"/>
    <w:multiLevelType w:val="hybridMultilevel"/>
    <w:tmpl w:val="03A8BD70"/>
    <w:lvl w:ilvl="0" w:tplc="03F2D1D8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F77BF"/>
    <w:multiLevelType w:val="hybridMultilevel"/>
    <w:tmpl w:val="FE56D062"/>
    <w:lvl w:ilvl="0" w:tplc="B124303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 w15:restartNumberingAfterBreak="0">
    <w:nsid w:val="59E31A1E"/>
    <w:multiLevelType w:val="hybridMultilevel"/>
    <w:tmpl w:val="91561EB2"/>
    <w:lvl w:ilvl="0" w:tplc="3616660E">
      <w:start w:val="1"/>
      <w:numFmt w:val="japaneseCounting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E4"/>
    <w:rsid w:val="00000227"/>
    <w:rsid w:val="00010B43"/>
    <w:rsid w:val="00011AC7"/>
    <w:rsid w:val="00012BB6"/>
    <w:rsid w:val="0002073F"/>
    <w:rsid w:val="00022749"/>
    <w:rsid w:val="00024927"/>
    <w:rsid w:val="00027F52"/>
    <w:rsid w:val="000438D3"/>
    <w:rsid w:val="00062D00"/>
    <w:rsid w:val="000648F3"/>
    <w:rsid w:val="00071EA0"/>
    <w:rsid w:val="000A40A5"/>
    <w:rsid w:val="000A5E06"/>
    <w:rsid w:val="000D30DC"/>
    <w:rsid w:val="000E4289"/>
    <w:rsid w:val="000F1356"/>
    <w:rsid w:val="000F3B8F"/>
    <w:rsid w:val="000F7C93"/>
    <w:rsid w:val="00102055"/>
    <w:rsid w:val="001347E8"/>
    <w:rsid w:val="00142EDC"/>
    <w:rsid w:val="001646AC"/>
    <w:rsid w:val="001778EE"/>
    <w:rsid w:val="001933A3"/>
    <w:rsid w:val="00194101"/>
    <w:rsid w:val="00195073"/>
    <w:rsid w:val="001C3363"/>
    <w:rsid w:val="001C43A0"/>
    <w:rsid w:val="001D22A0"/>
    <w:rsid w:val="001D42AD"/>
    <w:rsid w:val="001D7981"/>
    <w:rsid w:val="002035F3"/>
    <w:rsid w:val="0022496C"/>
    <w:rsid w:val="00251065"/>
    <w:rsid w:val="00255BD7"/>
    <w:rsid w:val="00256754"/>
    <w:rsid w:val="00262A43"/>
    <w:rsid w:val="00266763"/>
    <w:rsid w:val="002914DF"/>
    <w:rsid w:val="0029245C"/>
    <w:rsid w:val="00296170"/>
    <w:rsid w:val="002B1ABC"/>
    <w:rsid w:val="002B772E"/>
    <w:rsid w:val="002C1809"/>
    <w:rsid w:val="002D5015"/>
    <w:rsid w:val="002D74DF"/>
    <w:rsid w:val="002E6006"/>
    <w:rsid w:val="002F1312"/>
    <w:rsid w:val="002F7435"/>
    <w:rsid w:val="0031359F"/>
    <w:rsid w:val="00314C14"/>
    <w:rsid w:val="003308CC"/>
    <w:rsid w:val="00336C4A"/>
    <w:rsid w:val="00343D78"/>
    <w:rsid w:val="00345EC5"/>
    <w:rsid w:val="00350FD1"/>
    <w:rsid w:val="0036242B"/>
    <w:rsid w:val="00375CC1"/>
    <w:rsid w:val="00393D65"/>
    <w:rsid w:val="00396642"/>
    <w:rsid w:val="003974C2"/>
    <w:rsid w:val="003A3D49"/>
    <w:rsid w:val="003B015D"/>
    <w:rsid w:val="003D326B"/>
    <w:rsid w:val="003D649F"/>
    <w:rsid w:val="003E27C4"/>
    <w:rsid w:val="003F4515"/>
    <w:rsid w:val="00404CD7"/>
    <w:rsid w:val="00417C48"/>
    <w:rsid w:val="00424AE2"/>
    <w:rsid w:val="00430772"/>
    <w:rsid w:val="00440A31"/>
    <w:rsid w:val="00470F27"/>
    <w:rsid w:val="00471E60"/>
    <w:rsid w:val="004878BD"/>
    <w:rsid w:val="004A725E"/>
    <w:rsid w:val="004C2F1B"/>
    <w:rsid w:val="004E572F"/>
    <w:rsid w:val="004F28D5"/>
    <w:rsid w:val="00511E49"/>
    <w:rsid w:val="00527579"/>
    <w:rsid w:val="00533724"/>
    <w:rsid w:val="005353E5"/>
    <w:rsid w:val="00540B09"/>
    <w:rsid w:val="00542F85"/>
    <w:rsid w:val="00553D08"/>
    <w:rsid w:val="00553E01"/>
    <w:rsid w:val="00554226"/>
    <w:rsid w:val="005801D9"/>
    <w:rsid w:val="00585028"/>
    <w:rsid w:val="00585201"/>
    <w:rsid w:val="00590647"/>
    <w:rsid w:val="00592D78"/>
    <w:rsid w:val="005B06C8"/>
    <w:rsid w:val="005C57AE"/>
    <w:rsid w:val="005D71F8"/>
    <w:rsid w:val="005E0869"/>
    <w:rsid w:val="005E354C"/>
    <w:rsid w:val="005E3971"/>
    <w:rsid w:val="005E6CAB"/>
    <w:rsid w:val="005F37D2"/>
    <w:rsid w:val="005F3B2D"/>
    <w:rsid w:val="00603036"/>
    <w:rsid w:val="00604CB0"/>
    <w:rsid w:val="00604DAE"/>
    <w:rsid w:val="00635856"/>
    <w:rsid w:val="00637377"/>
    <w:rsid w:val="0065021A"/>
    <w:rsid w:val="006519B5"/>
    <w:rsid w:val="00667B33"/>
    <w:rsid w:val="006829E8"/>
    <w:rsid w:val="006C51A0"/>
    <w:rsid w:val="006C51DD"/>
    <w:rsid w:val="006F1346"/>
    <w:rsid w:val="006F5028"/>
    <w:rsid w:val="00712075"/>
    <w:rsid w:val="007201ED"/>
    <w:rsid w:val="00730BDB"/>
    <w:rsid w:val="00732377"/>
    <w:rsid w:val="00735BDC"/>
    <w:rsid w:val="007422FA"/>
    <w:rsid w:val="00750F7C"/>
    <w:rsid w:val="007572EF"/>
    <w:rsid w:val="00760C87"/>
    <w:rsid w:val="00773CC7"/>
    <w:rsid w:val="007746DB"/>
    <w:rsid w:val="00775806"/>
    <w:rsid w:val="00785CE4"/>
    <w:rsid w:val="007C132E"/>
    <w:rsid w:val="007E2F60"/>
    <w:rsid w:val="007E7C4F"/>
    <w:rsid w:val="00805F1C"/>
    <w:rsid w:val="0083688B"/>
    <w:rsid w:val="00836897"/>
    <w:rsid w:val="00844002"/>
    <w:rsid w:val="00862D63"/>
    <w:rsid w:val="008B69F3"/>
    <w:rsid w:val="008C1027"/>
    <w:rsid w:val="008C1328"/>
    <w:rsid w:val="008F5F52"/>
    <w:rsid w:val="009219BA"/>
    <w:rsid w:val="00936FF9"/>
    <w:rsid w:val="00937B91"/>
    <w:rsid w:val="00966E13"/>
    <w:rsid w:val="009726F5"/>
    <w:rsid w:val="009A7EA1"/>
    <w:rsid w:val="009B1415"/>
    <w:rsid w:val="009B5509"/>
    <w:rsid w:val="009C52BB"/>
    <w:rsid w:val="009F6628"/>
    <w:rsid w:val="00A0353B"/>
    <w:rsid w:val="00A05146"/>
    <w:rsid w:val="00A07DAD"/>
    <w:rsid w:val="00A11A69"/>
    <w:rsid w:val="00A2138F"/>
    <w:rsid w:val="00A64186"/>
    <w:rsid w:val="00A72193"/>
    <w:rsid w:val="00AB477F"/>
    <w:rsid w:val="00AB6652"/>
    <w:rsid w:val="00AE2699"/>
    <w:rsid w:val="00AE49DF"/>
    <w:rsid w:val="00AF18D4"/>
    <w:rsid w:val="00B175E4"/>
    <w:rsid w:val="00B76A9D"/>
    <w:rsid w:val="00B94010"/>
    <w:rsid w:val="00B94A87"/>
    <w:rsid w:val="00BC52A8"/>
    <w:rsid w:val="00BC73A4"/>
    <w:rsid w:val="00BD2A41"/>
    <w:rsid w:val="00BD3613"/>
    <w:rsid w:val="00C007CF"/>
    <w:rsid w:val="00C147C1"/>
    <w:rsid w:val="00C20C58"/>
    <w:rsid w:val="00C30570"/>
    <w:rsid w:val="00C35833"/>
    <w:rsid w:val="00C434C2"/>
    <w:rsid w:val="00C45DAF"/>
    <w:rsid w:val="00C50ECE"/>
    <w:rsid w:val="00C7710E"/>
    <w:rsid w:val="00C837E6"/>
    <w:rsid w:val="00CA12F4"/>
    <w:rsid w:val="00CB4563"/>
    <w:rsid w:val="00CC1BF9"/>
    <w:rsid w:val="00CC1C40"/>
    <w:rsid w:val="00CD72DC"/>
    <w:rsid w:val="00CE1D0D"/>
    <w:rsid w:val="00D2365E"/>
    <w:rsid w:val="00D23A61"/>
    <w:rsid w:val="00D24375"/>
    <w:rsid w:val="00D307D6"/>
    <w:rsid w:val="00D4645B"/>
    <w:rsid w:val="00D546B9"/>
    <w:rsid w:val="00D666F4"/>
    <w:rsid w:val="00D670E0"/>
    <w:rsid w:val="00D8711C"/>
    <w:rsid w:val="00D9144B"/>
    <w:rsid w:val="00D97563"/>
    <w:rsid w:val="00DB5D6C"/>
    <w:rsid w:val="00DC23CA"/>
    <w:rsid w:val="00DC3D64"/>
    <w:rsid w:val="00DD68EB"/>
    <w:rsid w:val="00DE03DE"/>
    <w:rsid w:val="00DE5A95"/>
    <w:rsid w:val="00DE736D"/>
    <w:rsid w:val="00DF05BD"/>
    <w:rsid w:val="00DF6F78"/>
    <w:rsid w:val="00DF7EFC"/>
    <w:rsid w:val="00E074A9"/>
    <w:rsid w:val="00E2112D"/>
    <w:rsid w:val="00E22C2D"/>
    <w:rsid w:val="00E318BF"/>
    <w:rsid w:val="00E40ABE"/>
    <w:rsid w:val="00E60E6C"/>
    <w:rsid w:val="00E83B90"/>
    <w:rsid w:val="00E8648E"/>
    <w:rsid w:val="00E87C22"/>
    <w:rsid w:val="00E95A89"/>
    <w:rsid w:val="00EA3361"/>
    <w:rsid w:val="00EA3FB2"/>
    <w:rsid w:val="00EA6C31"/>
    <w:rsid w:val="00EC33CD"/>
    <w:rsid w:val="00EC6BF3"/>
    <w:rsid w:val="00ED5559"/>
    <w:rsid w:val="00EE0786"/>
    <w:rsid w:val="00EE2262"/>
    <w:rsid w:val="00EF2240"/>
    <w:rsid w:val="00EF2F35"/>
    <w:rsid w:val="00F000A0"/>
    <w:rsid w:val="00F13049"/>
    <w:rsid w:val="00F24FFA"/>
    <w:rsid w:val="00F270C7"/>
    <w:rsid w:val="00F42ED8"/>
    <w:rsid w:val="00F50E61"/>
    <w:rsid w:val="00F703C1"/>
    <w:rsid w:val="00F76A8F"/>
    <w:rsid w:val="00F84038"/>
    <w:rsid w:val="00F96CFB"/>
    <w:rsid w:val="00F97CEB"/>
    <w:rsid w:val="00FA4693"/>
    <w:rsid w:val="00FA4BF5"/>
    <w:rsid w:val="00FB2BFF"/>
    <w:rsid w:val="00FB6599"/>
    <w:rsid w:val="00FE1D67"/>
    <w:rsid w:val="00FE6212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169B22"/>
  <w15:docId w15:val="{E68FAAE7-C3D3-47D4-B07B-3CAF0E5D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E4"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51DD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75E4"/>
    <w:pPr>
      <w:keepNext/>
      <w:keepLines/>
      <w:spacing w:before="260" w:after="260" w:line="416" w:lineRule="auto"/>
      <w:outlineLvl w:val="1"/>
    </w:pPr>
    <w:rPr>
      <w:rFonts w:ascii="Cambria" w:eastAsia="宋体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B175E4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B175E4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B175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7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175E4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B175E4"/>
    <w:pPr>
      <w:ind w:firstLineChars="200" w:firstLine="420"/>
    </w:pPr>
    <w:rPr>
      <w:rFonts w:eastAsia="宋体"/>
      <w:szCs w:val="22"/>
    </w:rPr>
  </w:style>
  <w:style w:type="paragraph" w:customStyle="1" w:styleId="HTSSCONTENT">
    <w:name w:val="HT_SS_CONTENT"/>
    <w:rsid w:val="00B175E4"/>
    <w:pPr>
      <w:spacing w:line="280" w:lineRule="exact"/>
    </w:pPr>
    <w:rPr>
      <w:rFonts w:ascii="Arial" w:eastAsia="楷体" w:hAnsi="Arial"/>
      <w:color w:val="000000"/>
    </w:rPr>
  </w:style>
  <w:style w:type="character" w:customStyle="1" w:styleId="ac">
    <w:name w:val="页眉 字符"/>
    <w:basedOn w:val="a0"/>
    <w:link w:val="ab"/>
    <w:uiPriority w:val="99"/>
    <w:rsid w:val="00B175E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75E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B175E4"/>
    <w:rPr>
      <w:rFonts w:ascii="Calibri" w:eastAsia="微软雅黑" w:hAnsi="Calibri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B175E4"/>
    <w:rPr>
      <w:rFonts w:ascii="Calibri" w:eastAsia="微软雅黑" w:hAnsi="Calibri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rsid w:val="00B175E4"/>
    <w:rPr>
      <w:rFonts w:ascii="Calibri" w:eastAsia="微软雅黑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175E4"/>
    <w:rPr>
      <w:rFonts w:ascii="Cambria" w:eastAsia="宋体" w:hAnsi="Cambria" w:cs="黑体"/>
      <w:b/>
      <w:bCs/>
      <w:sz w:val="32"/>
      <w:szCs w:val="32"/>
    </w:rPr>
  </w:style>
  <w:style w:type="paragraph" w:customStyle="1" w:styleId="21">
    <w:name w:val="列出段落2"/>
    <w:basedOn w:val="a"/>
    <w:uiPriority w:val="34"/>
    <w:qFormat/>
    <w:rsid w:val="00B175E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C51D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rsid w:val="009726F5"/>
    <w:pPr>
      <w:ind w:firstLineChars="200" w:firstLine="420"/>
    </w:pPr>
  </w:style>
  <w:style w:type="paragraph" w:styleId="af">
    <w:name w:val="Revision"/>
    <w:hidden/>
    <w:uiPriority w:val="99"/>
    <w:semiHidden/>
    <w:rsid w:val="00E22C2D"/>
    <w:rPr>
      <w:rFonts w:ascii="Calibri" w:eastAsia="微软雅黑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C07551-0EFC-4F15-B9DD-0C969047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878</Words>
  <Characters>5010</Characters>
  <Application>Microsoft Office Word</Application>
  <DocSecurity>0</DocSecurity>
  <Lines>41</Lines>
  <Paragraphs>11</Paragraphs>
  <ScaleCrop>false</ScaleCrop>
  <Company>P R C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无锡农村商业银行股份有限公司</dc:title>
  <dc:creator>Windows 用户</dc:creator>
  <cp:lastModifiedBy>汤银</cp:lastModifiedBy>
  <cp:revision>6</cp:revision>
  <cp:lastPrinted>2022-02-16T02:39:00Z</cp:lastPrinted>
  <dcterms:created xsi:type="dcterms:W3CDTF">2025-09-16T06:43:00Z</dcterms:created>
  <dcterms:modified xsi:type="dcterms:W3CDTF">2025-09-16T07:38:00Z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