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宋体" w:hAnsi="宋体"/>
          <w:sz w:val="24"/>
          <w:szCs w:val="24"/>
        </w:rPr>
        <w:t>证券代码：600726  900937        证券简称：华电能源  华电B股</w:t>
      </w:r>
    </w:p>
    <w:p>
      <w:pPr>
        <w:jc w:val="center"/>
        <w:rPr>
          <w:rFonts w:hint="eastAsia"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华电能源股份有限公司</w:t>
      </w:r>
    </w:p>
    <w:p>
      <w:pPr>
        <w:jc w:val="center"/>
        <w:rPr>
          <w:rFonts w:ascii="黑体" w:hAnsi="黑体" w:eastAsia="黑体"/>
          <w:sz w:val="24"/>
          <w:szCs w:val="24"/>
        </w:rPr>
      </w:pPr>
      <w:r>
        <w:rPr>
          <w:rFonts w:hint="eastAsia" w:ascii="黑体" w:hAnsi="黑体" w:eastAsia="黑体"/>
          <w:sz w:val="36"/>
          <w:szCs w:val="36"/>
        </w:rPr>
        <w:t>投资者关系活动记录表</w:t>
      </w:r>
    </w:p>
    <w:p>
      <w:pPr>
        <w:ind w:right="720"/>
        <w:jc w:val="right"/>
        <w:rPr>
          <w:rFonts w:hint="default" w:ascii="黑体" w:hAnsi="黑体" w:eastAsia="黑体"/>
          <w:sz w:val="24"/>
          <w:szCs w:val="24"/>
          <w:lang w:val="en-US" w:eastAsia="zh-CN"/>
        </w:rPr>
      </w:pPr>
      <w:bookmarkStart w:id="0" w:name="OLE_LINK2"/>
      <w:r>
        <w:rPr>
          <w:rFonts w:hint="eastAsia" w:ascii="黑体" w:hAnsi="黑体" w:eastAsia="黑体"/>
          <w:sz w:val="24"/>
          <w:szCs w:val="24"/>
          <w:lang w:val="en-US" w:eastAsia="zh-CN"/>
        </w:rPr>
        <w:t xml:space="preserve">    </w:t>
      </w:r>
      <w:r>
        <w:rPr>
          <w:rFonts w:hint="eastAsia" w:ascii="黑体" w:hAnsi="黑体" w:eastAsia="黑体"/>
          <w:sz w:val="24"/>
          <w:szCs w:val="24"/>
        </w:rPr>
        <w:t>编号：</w:t>
      </w:r>
      <w:r>
        <w:rPr>
          <w:rFonts w:hint="eastAsia" w:ascii="黑体" w:hAnsi="黑体" w:eastAsia="黑体"/>
          <w:sz w:val="24"/>
          <w:szCs w:val="24"/>
          <w:highlight w:val="none"/>
          <w:lang w:val="en-US" w:eastAsia="zh-CN"/>
        </w:rPr>
        <w:t>2025-004</w:t>
      </w:r>
    </w:p>
    <w:bookmarkEnd w:id="0"/>
    <w:tbl>
      <w:tblPr>
        <w:tblStyle w:val="5"/>
        <w:tblW w:w="8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投资者关系活动类别</w:t>
            </w:r>
          </w:p>
        </w:tc>
        <w:tc>
          <w:tcPr>
            <w:tcW w:w="7431" w:type="dxa"/>
            <w:noWrap w:val="0"/>
            <w:vAlign w:val="center"/>
          </w:tcPr>
          <w:p>
            <w:pPr>
              <w:keepNext w:val="0"/>
              <w:keepLines w:val="0"/>
              <w:suppressLineNumbers w:val="0"/>
              <w:spacing w:before="0" w:beforeAutospacing="0" w:after="0" w:afterAutospacing="0" w:line="360" w:lineRule="auto"/>
              <w:ind w:left="0" w:right="0"/>
              <w:rPr>
                <w:rFonts w:hint="eastAsia"/>
              </w:rPr>
            </w:pPr>
            <w:r>
              <w:rPr>
                <w:rFonts w:hint="eastAsia"/>
              </w:rPr>
              <w:t>□特定对象调研        □分析师会议</w:t>
            </w:r>
          </w:p>
          <w:p>
            <w:pPr>
              <w:keepNext w:val="0"/>
              <w:keepLines w:val="0"/>
              <w:suppressLineNumbers w:val="0"/>
              <w:spacing w:before="0" w:beforeAutospacing="0" w:after="0" w:afterAutospacing="0" w:line="360" w:lineRule="auto"/>
              <w:ind w:left="0" w:right="0"/>
              <w:rPr>
                <w:rFonts w:hint="eastAsia"/>
              </w:rPr>
            </w:pPr>
            <w:r>
              <w:rPr>
                <w:rFonts w:hint="eastAsia"/>
              </w:rPr>
              <w:t xml:space="preserve">□媒体采访            </w:t>
            </w:r>
            <w:r>
              <w:rPr>
                <w:rFonts w:hint="eastAsia"/>
                <w:lang w:eastAsia="zh-CN"/>
              </w:rPr>
              <w:sym w:font="Wingdings 2" w:char="0052"/>
            </w:r>
            <w:r>
              <w:rPr>
                <w:rFonts w:hint="eastAsia"/>
              </w:rPr>
              <w:t>业绩说明会</w:t>
            </w:r>
          </w:p>
          <w:p>
            <w:pPr>
              <w:keepNext w:val="0"/>
              <w:keepLines w:val="0"/>
              <w:suppressLineNumbers w:val="0"/>
              <w:spacing w:before="0" w:beforeAutospacing="0" w:after="0" w:afterAutospacing="0" w:line="360" w:lineRule="auto"/>
              <w:ind w:left="0" w:right="0"/>
              <w:rPr>
                <w:rFonts w:hint="eastAsia"/>
              </w:rPr>
            </w:pPr>
            <w:r>
              <w:rPr>
                <w:rFonts w:hint="eastAsia"/>
              </w:rPr>
              <w:t>□新闻发布会          □路演活动</w:t>
            </w:r>
          </w:p>
          <w:p>
            <w:pPr>
              <w:keepNext w:val="0"/>
              <w:keepLines w:val="0"/>
              <w:suppressLineNumbers w:val="0"/>
              <w:spacing w:before="0" w:beforeAutospacing="0" w:after="0" w:afterAutospacing="0" w:line="360" w:lineRule="auto"/>
              <w:ind w:left="0" w:right="0"/>
              <w:rPr>
                <w:rFonts w:hint="eastAsia"/>
                <w:sz w:val="24"/>
                <w:szCs w:val="24"/>
              </w:rPr>
            </w:pPr>
            <w:r>
              <w:rPr>
                <w:rFonts w:hint="eastAsia"/>
              </w:rPr>
              <w:t>□现场参观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活动主题</w:t>
            </w:r>
          </w:p>
        </w:tc>
        <w:tc>
          <w:tcPr>
            <w:tcW w:w="7431"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ascii="宋体" w:hAnsi="宋体" w:eastAsia="宋体" w:cs="宋体"/>
                <w:bCs/>
                <w:iCs/>
                <w:color w:val="000000"/>
                <w:sz w:val="24"/>
                <w:highlight w:val="none"/>
                <w:lang w:val="en-GB"/>
              </w:rPr>
              <w:t>华电能源2025年半年度业绩说明会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时间</w:t>
            </w:r>
          </w:p>
        </w:tc>
        <w:tc>
          <w:tcPr>
            <w:tcW w:w="7431" w:type="dxa"/>
            <w:noWrap w:val="0"/>
            <w:vAlign w:val="center"/>
          </w:tcPr>
          <w:p>
            <w:pPr>
              <w:keepNext w:val="0"/>
              <w:keepLines w:val="0"/>
              <w:suppressLineNumbers w:val="0"/>
              <w:spacing w:before="0" w:beforeAutospacing="0" w:after="0" w:afterAutospacing="0"/>
              <w:ind w:left="0" w:right="0"/>
              <w:rPr>
                <w:rFonts w:hint="eastAsia"/>
                <w:sz w:val="24"/>
                <w:szCs w:val="24"/>
              </w:rPr>
            </w:pPr>
            <w:r>
              <w:rPr>
                <w:rFonts w:hint="eastAsia" w:ascii="宋体" w:hAnsi="宋体" w:eastAsia="宋体" w:cs="宋体"/>
                <w:bCs/>
                <w:iCs/>
                <w:color w:val="000000"/>
                <w:sz w:val="24"/>
                <w:highlight w:val="none"/>
              </w:rPr>
              <w:t>2025年</w:t>
            </w:r>
            <w:r>
              <w:rPr>
                <w:rFonts w:hint="eastAsia" w:ascii="宋体" w:hAnsi="宋体" w:cs="宋体"/>
                <w:bCs/>
                <w:iCs/>
                <w:color w:val="000000"/>
                <w:sz w:val="24"/>
                <w:highlight w:val="none"/>
                <w:lang w:val="en-US" w:eastAsia="zh-CN"/>
              </w:rPr>
              <w:t>9</w:t>
            </w:r>
            <w:r>
              <w:rPr>
                <w:rFonts w:hint="eastAsia" w:ascii="宋体" w:hAnsi="宋体" w:eastAsia="宋体" w:cs="宋体"/>
                <w:bCs/>
                <w:iCs/>
                <w:color w:val="000000"/>
                <w:sz w:val="24"/>
                <w:highlight w:val="none"/>
              </w:rPr>
              <w:t>月1</w:t>
            </w:r>
            <w:r>
              <w:rPr>
                <w:rFonts w:hint="eastAsia" w:ascii="宋体" w:hAnsi="宋体" w:cs="宋体"/>
                <w:bCs/>
                <w:iCs/>
                <w:color w:val="000000"/>
                <w:sz w:val="24"/>
                <w:highlight w:val="none"/>
                <w:lang w:val="en-US" w:eastAsia="zh-CN"/>
              </w:rPr>
              <w:t>7</w:t>
            </w:r>
            <w:r>
              <w:rPr>
                <w:rFonts w:hint="eastAsia" w:ascii="宋体" w:hAnsi="宋体" w:eastAsia="宋体" w:cs="宋体"/>
                <w:bCs/>
                <w:iCs/>
                <w:color w:val="000000"/>
                <w:sz w:val="24"/>
                <w:highlight w:val="none"/>
              </w:rPr>
              <w:t>日</w:t>
            </w:r>
            <w:r>
              <w:rPr>
                <w:rFonts w:hint="eastAsia" w:ascii="宋体" w:hAnsi="宋体" w:cs="宋体"/>
                <w:bCs/>
                <w:iCs/>
                <w:color w:val="000000"/>
                <w:sz w:val="24"/>
                <w:highlight w:val="none"/>
                <w:lang w:val="en-US" w:eastAsia="zh-CN"/>
              </w:rPr>
              <w:t>10</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0</w:t>
            </w:r>
            <w:r>
              <w:rPr>
                <w:rFonts w:hint="eastAsia" w:ascii="宋体" w:hAnsi="宋体" w:eastAsia="宋体" w:cs="宋体"/>
                <w:bCs/>
                <w:iCs/>
                <w:color w:val="000000"/>
                <w:sz w:val="24"/>
                <w:highlight w:val="none"/>
              </w:rPr>
              <w:t>0-1</w:t>
            </w:r>
            <w:r>
              <w:rPr>
                <w:rFonts w:hint="eastAsia" w:ascii="宋体" w:hAnsi="宋体" w:cs="宋体"/>
                <w:bCs/>
                <w:iCs/>
                <w:color w:val="000000"/>
                <w:sz w:val="24"/>
                <w:highlight w:val="none"/>
                <w:lang w:val="en-US" w:eastAsia="zh-CN"/>
              </w:rPr>
              <w:t>1</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0</w:t>
            </w:r>
            <w:r>
              <w:rPr>
                <w:rFonts w:hint="eastAsia" w:ascii="宋体" w:hAnsi="宋体" w:eastAsia="宋体" w:cs="宋体"/>
                <w:bCs/>
                <w:iCs/>
                <w:color w:val="000000"/>
                <w:sz w:val="24"/>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431" w:type="dxa"/>
            <w:noWrap w:val="0"/>
            <w:vAlign w:val="top"/>
          </w:tcPr>
          <w:p>
            <w:pPr>
              <w:keepNext w:val="0"/>
              <w:keepLines w:val="0"/>
              <w:suppressLineNumbers w:val="0"/>
              <w:spacing w:before="0" w:beforeAutospacing="0" w:after="0" w:afterAutospacing="0"/>
              <w:ind w:left="0" w:right="0"/>
              <w:rPr>
                <w:rFonts w:hint="default" w:ascii="宋体" w:hAnsi="宋体"/>
                <w:bCs/>
                <w:sz w:val="24"/>
              </w:rPr>
            </w:pPr>
            <w:r>
              <w:rPr>
                <w:rFonts w:hint="eastAsia" w:ascii="宋体" w:hAnsi="宋体"/>
                <w:bCs/>
                <w:sz w:val="24"/>
              </w:rPr>
              <w:t xml:space="preserve">上证路演中心 </w:t>
            </w:r>
            <w:r>
              <w:rPr>
                <w:rFonts w:hint="default"/>
              </w:rPr>
              <w:fldChar w:fldCharType="begin"/>
            </w:r>
            <w:r>
              <w:rPr>
                <w:rFonts w:hint="default"/>
              </w:rPr>
              <w:instrText xml:space="preserve"> HYPERLINK "https://roadshow.sseinfo.com" </w:instrText>
            </w:r>
            <w:r>
              <w:rPr>
                <w:rFonts w:hint="default"/>
              </w:rPr>
              <w:fldChar w:fldCharType="separate"/>
            </w:r>
            <w:r>
              <w:rPr>
                <w:rStyle w:val="7"/>
                <w:rFonts w:hint="eastAsia" w:ascii="宋体" w:hAnsi="宋体"/>
                <w:bCs/>
                <w:sz w:val="24"/>
              </w:rPr>
              <w:t>https://roadshow.sseinfo.com</w:t>
            </w:r>
            <w:r>
              <w:rPr>
                <w:rStyle w:val="7"/>
                <w:rFonts w:hint="eastAsia" w:ascii="宋体" w:hAnsi="宋体"/>
                <w:bCs/>
                <w:sz w:val="24"/>
              </w:rPr>
              <w:fldChar w:fldCharType="end"/>
            </w:r>
          </w:p>
          <w:p>
            <w:pPr>
              <w:keepNext w:val="0"/>
              <w:keepLines w:val="0"/>
              <w:suppressLineNumbers w:val="0"/>
              <w:spacing w:before="0" w:beforeAutospacing="0" w:after="0" w:afterAutospacing="0"/>
              <w:ind w:left="0" w:right="0"/>
              <w:rPr>
                <w:rFonts w:hint="eastAsia"/>
                <w:sz w:val="24"/>
                <w:szCs w:val="24"/>
              </w:rPr>
            </w:pPr>
            <w:r>
              <w:rPr>
                <w:rFonts w:hint="eastAsia" w:ascii="宋体" w:hAnsi="宋体"/>
                <w:bCs/>
                <w:sz w:val="24"/>
              </w:rPr>
              <w:t>网络文字互动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参会人员</w:t>
            </w:r>
          </w:p>
        </w:tc>
        <w:tc>
          <w:tcPr>
            <w:tcW w:w="743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董事长：郎国民</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总经理：魏</w:t>
            </w:r>
            <w:r>
              <w:rPr>
                <w:rFonts w:hint="eastAsia" w:ascii="宋体" w:hAnsi="宋体" w:cs="宋体"/>
                <w:sz w:val="24"/>
                <w:szCs w:val="24"/>
                <w:lang w:val="en-US" w:eastAsia="zh-CN"/>
              </w:rPr>
              <w:t xml:space="preserve">  </w:t>
            </w:r>
            <w:r>
              <w:rPr>
                <w:rFonts w:hint="eastAsia" w:ascii="宋体" w:hAnsi="宋体" w:eastAsia="宋体" w:cs="宋体"/>
                <w:sz w:val="24"/>
                <w:szCs w:val="24"/>
              </w:rPr>
              <w:t>宁</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董事会秘书、总会计师：付璐璐</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独立董事：</w:t>
            </w:r>
            <w:r>
              <w:rPr>
                <w:rFonts w:hint="eastAsia" w:ascii="宋体" w:hAnsi="宋体" w:cs="宋体"/>
                <w:sz w:val="24"/>
                <w:szCs w:val="24"/>
                <w:lang w:val="en-US" w:eastAsia="zh-CN"/>
              </w:rPr>
              <w:t>曹玉昆</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rPr>
              <w:t>公司业务部</w:t>
            </w:r>
            <w:r>
              <w:rPr>
                <w:rFonts w:hint="eastAsia" w:ascii="宋体" w:hAnsi="宋体" w:cs="宋体"/>
                <w:sz w:val="24"/>
                <w:szCs w:val="24"/>
                <w:lang w:val="en-US" w:eastAsia="zh-CN"/>
              </w:rPr>
              <w:t>门</w:t>
            </w:r>
            <w:r>
              <w:rPr>
                <w:rFonts w:hint="eastAsia" w:ascii="宋体" w:hAnsi="宋体" w:eastAsia="宋体" w:cs="宋体"/>
                <w:sz w:val="24"/>
                <w:szCs w:val="24"/>
              </w:rPr>
              <w:t>负责人及相关人员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noWrap w:val="0"/>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投资者关系活动主要内容介绍</w:t>
            </w:r>
          </w:p>
        </w:tc>
        <w:tc>
          <w:tcPr>
            <w:tcW w:w="743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b/>
                <w:sz w:val="24"/>
                <w:lang w:eastAsia="zh-CN"/>
              </w:rPr>
            </w:pPr>
            <w:r>
              <w:rPr>
                <w:rFonts w:hint="eastAsia" w:ascii="宋体" w:hAnsi="宋体"/>
                <w:b/>
                <w:sz w:val="24"/>
              </w:rPr>
              <w:t>1</w:t>
            </w:r>
            <w:r>
              <w:rPr>
                <w:rFonts w:hint="eastAsia" w:ascii="宋体" w:hAnsi="宋体"/>
                <w:b/>
                <w:sz w:val="24"/>
                <w:lang w:val="en-US" w:eastAsia="zh-CN"/>
              </w:rPr>
              <w:t>.</w:t>
            </w:r>
            <w:r>
              <w:rPr>
                <w:rFonts w:hint="eastAsia" w:ascii="宋体" w:hAnsi="宋体"/>
                <w:b/>
                <w:sz w:val="24"/>
              </w:rPr>
              <w:t>比较关心煤炭资产注入事宜，请介绍下锦兴能源经营情况，以及煤炭资产注入进展程度</w:t>
            </w:r>
            <w:r>
              <w:rPr>
                <w:rFonts w:hint="eastAsia" w:ascii="宋体" w:hAnsi="宋体"/>
                <w:b/>
                <w:sz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答:您好，感谢您的关注。目前暂未获悉控股股东煤矿注入上市公司计划。后续如有相关计划，公司将严格按照相关法律法规及规范性文件履行信息披露义务。山西锦兴能源有限公司是华电能源重要的子公司，主要从事煤炭开采、洗选加工和销售业务。公司位于山西省吕梁市，主要开发肖家洼煤矿及相关煤炭资源。锦兴能源2025年上半年继续保持稳健经营，截至2025年上半年，锦兴能源实现营业收入27.19亿元，净利润7.11亿元。谢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b/>
                <w:sz w:val="24"/>
                <w:lang w:eastAsia="zh-CN"/>
              </w:rPr>
            </w:pPr>
            <w:r>
              <w:rPr>
                <w:rFonts w:hint="eastAsia" w:ascii="宋体" w:hAnsi="宋体"/>
                <w:b/>
                <w:sz w:val="24"/>
              </w:rPr>
              <w:t>2</w:t>
            </w:r>
            <w:r>
              <w:rPr>
                <w:rFonts w:hint="eastAsia" w:ascii="宋体" w:hAnsi="宋体"/>
                <w:b/>
                <w:sz w:val="24"/>
                <w:lang w:val="en-US" w:eastAsia="zh-CN"/>
              </w:rPr>
              <w:t>.</w:t>
            </w:r>
            <w:r>
              <w:rPr>
                <w:rFonts w:hint="eastAsia" w:ascii="宋体" w:hAnsi="宋体"/>
                <w:b/>
                <w:sz w:val="24"/>
              </w:rPr>
              <w:t>公司简要说一说市值管理的工作以及规划</w:t>
            </w:r>
            <w:r>
              <w:rPr>
                <w:rFonts w:hint="eastAsia" w:ascii="宋体" w:hAnsi="宋体"/>
                <w:b/>
                <w:sz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答:您好，感谢您的关注。公司积极响应国资委、证监会关于市值管理的政策指引，高度重视市值管理工作，加快构建市值管理长效机制，通过提升经营质量、增强信息披露质量和透明度、强化投资者沟通等举措，推动公司投资价值合理反映公司质量及内在价值。公司制定了《华电能源市值管理制度》，制度明确了管理机构和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同时，公司高度重视与投资者的沟通，通过举办业绩说明会、机构调研等活动加强投资者交流、回应投资者关切。公司管理层将继续做好各项经营管理工作，以良好的业绩回报广大投资者，我们也将加强与投资者沟通和交流，实时传达公司价值，提振投资者信心。谢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b/>
                <w:sz w:val="24"/>
              </w:rPr>
            </w:pPr>
            <w:r>
              <w:rPr>
                <w:rFonts w:hint="eastAsia" w:ascii="宋体" w:hAnsi="宋体"/>
                <w:b/>
                <w:sz w:val="24"/>
              </w:rPr>
              <w:t>3</w:t>
            </w:r>
            <w:r>
              <w:rPr>
                <w:rFonts w:hint="eastAsia" w:ascii="宋体" w:hAnsi="宋体"/>
                <w:b/>
                <w:sz w:val="24"/>
                <w:lang w:val="en-US" w:eastAsia="zh-CN"/>
              </w:rPr>
              <w:t>.</w:t>
            </w:r>
            <w:r>
              <w:rPr>
                <w:rFonts w:hint="eastAsia" w:ascii="宋体" w:hAnsi="宋体"/>
                <w:b/>
                <w:sz w:val="24"/>
              </w:rPr>
              <w:t>公司为什么自2015年以来都没有分红派送？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答:您好，感谢您的关注。公司高度重视股东回报，致力于以良好的经营业绩为股东创造持续稳定的投资回报。公司将严格按照法律法规、分红规划及公司章程等相关制度的规定，在符合分红条件及利润分配政策的情况下实施分红，积极回报投资者。谢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b/>
                <w:sz w:val="24"/>
              </w:rPr>
            </w:pPr>
            <w:r>
              <w:rPr>
                <w:rFonts w:hint="eastAsia" w:ascii="宋体" w:hAnsi="宋体"/>
                <w:b/>
                <w:sz w:val="24"/>
              </w:rPr>
              <w:t>4</w:t>
            </w:r>
            <w:r>
              <w:rPr>
                <w:rFonts w:hint="eastAsia" w:ascii="宋体" w:hAnsi="宋体"/>
                <w:b/>
                <w:sz w:val="24"/>
                <w:lang w:val="en-US" w:eastAsia="zh-CN"/>
              </w:rPr>
              <w:t>.</w:t>
            </w:r>
            <w:r>
              <w:rPr>
                <w:rFonts w:hint="eastAsia" w:ascii="宋体" w:hAnsi="宋体"/>
                <w:b/>
                <w:sz w:val="24"/>
              </w:rPr>
              <w:t>煤炭是火电主要成本，公司上半年是否受益于煤炭价格低位运行？谢谢！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答:尊敬的投资者，您好！公司业务主要包括电力销售、煤炭销售和供热三大块，上半年煤炭采购价格同比有所降低，助力公司降低成本。公司将密切关注煤炭市场价格走势情况，积极研判灵活的经营策略，围绕公司发展战略，努力做好经营管理工作，保障公司可持续发展，并争取以良好的业绩驱动公司价值成长。感谢您的关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b/>
                <w:sz w:val="24"/>
                <w:lang w:eastAsia="zh-CN"/>
              </w:rPr>
            </w:pPr>
            <w:r>
              <w:rPr>
                <w:rFonts w:hint="eastAsia" w:ascii="宋体" w:hAnsi="宋体"/>
                <w:b/>
                <w:sz w:val="24"/>
              </w:rPr>
              <w:t>5</w:t>
            </w:r>
            <w:r>
              <w:rPr>
                <w:rFonts w:hint="eastAsia" w:ascii="宋体" w:hAnsi="宋体"/>
                <w:b/>
                <w:sz w:val="24"/>
                <w:lang w:val="en-US" w:eastAsia="zh-CN"/>
              </w:rPr>
              <w:t>.</w:t>
            </w:r>
            <w:bookmarkStart w:id="1" w:name="_GoBack"/>
            <w:bookmarkEnd w:id="1"/>
            <w:r>
              <w:rPr>
                <w:rFonts w:hint="eastAsia" w:ascii="宋体" w:hAnsi="宋体"/>
                <w:b/>
                <w:sz w:val="24"/>
              </w:rPr>
              <w:t>比较关注数据的动态表现，请问下，公司上半年发电量及供热量情况、上网电价变动情况如何呢？请简要阐述下取得的成效</w:t>
            </w:r>
            <w:r>
              <w:rPr>
                <w:rFonts w:hint="eastAsia" w:ascii="宋体" w:hAnsi="宋体"/>
                <w:b/>
                <w:sz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答:尊敬的投资者，您好！截至2025年6月30日，公司全资及控股电厂完成发电量101.01亿千瓦时，同比增长3.35%；上网电量完成86.31亿千瓦时，同比增长0.59%；机组含税平均电价480.40元/兆瓦时，同比升高0.25元/兆瓦时；机组平均利用小时1,575小时，同比增加51小时；上半年供热量完成3,752万吉焦，同比下降3.10%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rPr>
            </w:pPr>
            <w:r>
              <w:rPr>
                <w:rFonts w:hint="eastAsia" w:ascii="宋体" w:hAnsi="宋体"/>
                <w:b w:val="0"/>
                <w:bCs/>
                <w:sz w:val="24"/>
              </w:rPr>
              <w:t>2025年上半年，华电能源在复杂多变的能源市场环境中展现出较强的适应能力和经营韧性，多项关键经营指标均取得同比提升。虽然供热量同比有所下降，但通过有效的成本控制和多元化的收入策略，公司仍然保持了相对稳定的经营表现。未来，公司将继续积极应对市场变化，优化业务结构，提高价值创造能力。谢谢您的关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b/>
                <w:bCs w:val="0"/>
                <w:sz w:val="24"/>
                <w:lang w:val="en-US" w:eastAsia="zh-CN"/>
              </w:rPr>
            </w:pPr>
            <w:r>
              <w:rPr>
                <w:rFonts w:hint="eastAsia" w:ascii="宋体" w:hAnsi="宋体"/>
                <w:b/>
                <w:bCs w:val="0"/>
                <w:sz w:val="24"/>
                <w:lang w:val="en-US" w:eastAsia="zh-CN"/>
              </w:rPr>
              <w:t>6.股价表现这块公司怎么看？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b w:val="0"/>
                <w:bCs/>
                <w:sz w:val="24"/>
                <w:lang w:val="en-US" w:eastAsia="zh-CN"/>
              </w:rPr>
            </w:pPr>
            <w:r>
              <w:rPr>
                <w:rFonts w:hint="eastAsia" w:ascii="宋体" w:hAnsi="宋体"/>
                <w:b w:val="0"/>
                <w:bCs/>
                <w:sz w:val="24"/>
                <w:lang w:val="en-US" w:eastAsia="zh-CN"/>
              </w:rPr>
              <w:t>尊敬的投资者，您好！二级市场股价波动受到多种因素的综合影响，如宏观经济环境、行业热点轮动、市场情绪等。公司始终致力于提升经营成效，努力通过合规手段推动企业价值的合理反映，提高经营效率和盈利能力。未来，公司将继续坚守合规信息披露，持续提升公司经营效能，并做好投资者关系管理和市值管理工作。谢谢您的关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b/>
                <w:bCs w:val="0"/>
                <w:sz w:val="24"/>
                <w:lang w:val="en-US" w:eastAsia="zh-CN"/>
              </w:rPr>
            </w:pPr>
            <w:r>
              <w:rPr>
                <w:rFonts w:hint="eastAsia" w:ascii="宋体" w:hAnsi="宋体"/>
                <w:b/>
                <w:bCs w:val="0"/>
                <w:sz w:val="24"/>
                <w:lang w:val="en-US" w:eastAsia="zh-CN"/>
              </w:rPr>
              <w:t>7.公司是能源型企业，想了解下，非化石风光水等能源发电这块有何布局呢？未来有何种规划？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宋体" w:hAnsi="宋体"/>
                <w:b/>
                <w:bCs w:val="0"/>
                <w:sz w:val="24"/>
                <w:lang w:val="en-US" w:eastAsia="zh-CN"/>
              </w:rPr>
            </w:pPr>
            <w:r>
              <w:rPr>
                <w:rFonts w:hint="default" w:ascii="宋体" w:hAnsi="宋体"/>
                <w:b w:val="0"/>
                <w:bCs/>
                <w:sz w:val="24"/>
                <w:lang w:val="en-US" w:eastAsia="zh-CN"/>
              </w:rPr>
              <w:t>尊敬的投资者，您好！公司致力于全力提升经营质量，狠抓政策机遇，通过“两个联营”，快速推进哈尔滨第三发电厂66万千瓦“上大压小”热电联产项目，哈尔滨新能源、孙吴新能源、汤原新能源、北安新能源等70万千瓦一体化联营新能源项目建设，为企业优化资产结构、实现绿色转型、高质量发展注入新动能。未来，公司将依托自身经营优势提升竞争力，并积极把握行业发展机会，推动公司价值持续增长。谢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sz w:val="24"/>
                <w:szCs w:val="24"/>
              </w:rPr>
            </w:pPr>
            <w:r>
              <w:rPr>
                <w:rFonts w:hint="eastAsia" w:ascii="Calibri" w:hAnsi="宋体" w:eastAsia="宋体" w:cs="Times New Roman"/>
                <w:color w:val="000000"/>
                <w:kern w:val="0"/>
                <w:sz w:val="24"/>
                <w:szCs w:val="24"/>
                <w:lang w:val="en-US" w:eastAsia="zh-CN" w:bidi="ar"/>
              </w:rPr>
              <w:t>关于本次活动是否涉及应披露重大信息的说明</w:t>
            </w:r>
          </w:p>
        </w:tc>
        <w:tc>
          <w:tcPr>
            <w:tcW w:w="7431" w:type="dxa"/>
            <w:noWrap w:val="0"/>
            <w:vAlign w:val="top"/>
          </w:tcPr>
          <w:p>
            <w:pPr>
              <w:keepNext w:val="0"/>
              <w:keepLines w:val="0"/>
              <w:widowControl w:val="0"/>
              <w:suppressLineNumbers w:val="0"/>
              <w:spacing w:before="0" w:beforeAutospacing="0" w:after="0" w:afterAutospacing="0" w:line="560" w:lineRule="exact"/>
              <w:ind w:left="0" w:leftChars="0" w:right="0" w:rightChars="0" w:firstLine="480" w:firstLineChars="200"/>
              <w:jc w:val="both"/>
              <w:rPr>
                <w:rFonts w:hint="default" w:ascii="宋体"/>
                <w:sz w:val="24"/>
                <w:lang w:val="en-US"/>
              </w:rPr>
            </w:pPr>
            <w:r>
              <w:rPr>
                <w:rFonts w:hint="eastAsia" w:ascii="Calibri" w:hAnsi="Calibri" w:eastAsia="宋体" w:cs="Times New Roman"/>
                <w:color w:val="000000"/>
                <w:kern w:val="2"/>
                <w:sz w:val="24"/>
                <w:szCs w:val="24"/>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宋体"/>
                <w:sz w:val="24"/>
                <w:lang w:val="en-US"/>
              </w:rPr>
            </w:pPr>
            <w:r>
              <w:rPr>
                <w:rFonts w:hint="eastAsia" w:ascii="Calibri" w:hAnsi="Calibri" w:eastAsia="宋体" w:cs="Times New Roman"/>
                <w:kern w:val="2"/>
                <w:sz w:val="24"/>
                <w:szCs w:val="24"/>
                <w:lang w:val="en-US" w:eastAsia="zh-CN" w:bidi="ar"/>
              </w:rPr>
              <w:t>附件清单（如有）</w:t>
            </w:r>
            <w:r>
              <w:rPr>
                <w:rFonts w:hint="eastAsia" w:ascii="Calibri" w:hAnsi="Calibri" w:eastAsia="宋体" w:cs="Times New Roman"/>
                <w:kern w:val="2"/>
                <w:sz w:val="24"/>
                <w:szCs w:val="24"/>
                <w:lang w:val="en-US" w:eastAsia="zh-CN" w:bidi="ar"/>
              </w:rPr>
              <w:tab/>
            </w:r>
          </w:p>
        </w:tc>
        <w:tc>
          <w:tcPr>
            <w:tcW w:w="7431" w:type="dxa"/>
            <w:noWrap w:val="0"/>
            <w:vAlign w:val="top"/>
          </w:tcPr>
          <w:p>
            <w:pPr>
              <w:keepNext w:val="0"/>
              <w:keepLines w:val="0"/>
              <w:widowControl w:val="0"/>
              <w:suppressLineNumbers w:val="0"/>
              <w:spacing w:before="0" w:beforeAutospacing="0" w:after="0" w:afterAutospacing="0" w:line="560" w:lineRule="exact"/>
              <w:ind w:left="0" w:leftChars="0" w:right="0" w:rightChars="0" w:firstLine="480" w:firstLineChars="200"/>
              <w:jc w:val="both"/>
              <w:rPr>
                <w:rFonts w:hint="default" w:ascii="宋体"/>
                <w:sz w:val="24"/>
                <w:lang w:val="en-US"/>
              </w:rPr>
            </w:pPr>
            <w:r>
              <w:rPr>
                <w:rFonts w:hint="eastAsia" w:ascii="宋体" w:hAnsi="Calibri" w:eastAsia="宋体" w:cs="Times New Roman"/>
                <w:kern w:val="2"/>
                <w:sz w:val="24"/>
                <w:szCs w:val="24"/>
                <w:lang w:val="en-US" w:eastAsia="zh-CN" w:bidi="ar"/>
              </w:rPr>
              <w:t>无</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0205237"/>
    <w:rsid w:val="095B2AC1"/>
    <w:rsid w:val="0C515710"/>
    <w:rsid w:val="0DEB765D"/>
    <w:rsid w:val="192F4B4C"/>
    <w:rsid w:val="1CB2496B"/>
    <w:rsid w:val="1CDF6851"/>
    <w:rsid w:val="24051223"/>
    <w:rsid w:val="3A8C44C1"/>
    <w:rsid w:val="41902B08"/>
    <w:rsid w:val="45574A35"/>
    <w:rsid w:val="4B2434AE"/>
    <w:rsid w:val="4DF313AC"/>
    <w:rsid w:val="4E2A226A"/>
    <w:rsid w:val="52500997"/>
    <w:rsid w:val="5B21609D"/>
    <w:rsid w:val="5DC35AF6"/>
    <w:rsid w:val="5FB040D5"/>
    <w:rsid w:val="61B42C51"/>
    <w:rsid w:val="670E1BEF"/>
    <w:rsid w:val="70907CFD"/>
    <w:rsid w:val="79E4056F"/>
    <w:rsid w:val="7F192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248</Characters>
  <Lines>1</Lines>
  <Paragraphs>1</Paragraphs>
  <TotalTime>40</TotalTime>
  <ScaleCrop>false</ScaleCrop>
  <LinksUpToDate>false</LinksUpToDate>
  <CharactersWithSpaces>276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于淼</cp:lastModifiedBy>
  <cp:lastPrinted>2025-05-19T08:51:00Z</cp:lastPrinted>
  <dcterms:modified xsi:type="dcterms:W3CDTF">2025-09-17T09:02:11Z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209E8F5F19474D9B86DA58D8A53133EF</vt:lpwstr>
  </property>
</Properties>
</file>