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29F8" w14:textId="61E24F7D" w:rsidR="005D1722" w:rsidRDefault="006D3F94">
      <w:pPr>
        <w:spacing w:line="360" w:lineRule="auto"/>
        <w:jc w:val="center"/>
        <w:rPr>
          <w:rFonts w:ascii="宋体" w:eastAsia="宋体" w:hAnsi="宋体" w:cs="宋体"/>
          <w:b/>
          <w:sz w:val="24"/>
          <w:szCs w:val="24"/>
          <w:lang w:val="en-US"/>
        </w:rPr>
      </w:pPr>
      <w:r w:rsidRPr="0056345E">
        <w:rPr>
          <w:rFonts w:ascii="宋体" w:eastAsia="宋体" w:hAnsi="宋体" w:cs="宋体" w:hint="eastAsia"/>
          <w:b/>
          <w:sz w:val="24"/>
          <w:szCs w:val="24"/>
          <w:lang w:val="en-US"/>
        </w:rPr>
        <w:t>证券代码：</w:t>
      </w:r>
      <w:r w:rsidRPr="0056345E">
        <w:rPr>
          <w:rFonts w:ascii="宋体" w:eastAsia="宋体" w:hAnsi="宋体" w:cs="宋体"/>
          <w:b/>
          <w:sz w:val="24"/>
          <w:szCs w:val="24"/>
          <w:lang w:val="en-US"/>
        </w:rPr>
        <w:t xml:space="preserve">600927                                </w:t>
      </w:r>
      <w:r w:rsidRPr="0056345E">
        <w:rPr>
          <w:rFonts w:ascii="宋体" w:eastAsia="宋体" w:hAnsi="宋体" w:cs="宋体" w:hint="eastAsia"/>
          <w:b/>
          <w:sz w:val="24"/>
          <w:szCs w:val="24"/>
          <w:lang w:val="en-US"/>
        </w:rPr>
        <w:t xml:space="preserve">  证券简称：永安期货</w:t>
      </w:r>
    </w:p>
    <w:p w14:paraId="42105882" w14:textId="77777777" w:rsidR="006D3F94" w:rsidRDefault="006D3F94">
      <w:pPr>
        <w:spacing w:line="360" w:lineRule="auto"/>
        <w:jc w:val="center"/>
        <w:rPr>
          <w:rFonts w:ascii="宋体" w:eastAsia="宋体" w:hAnsi="宋体" w:cs="宋体"/>
          <w:b/>
          <w:bCs/>
          <w:sz w:val="44"/>
          <w:szCs w:val="44"/>
        </w:rPr>
      </w:pPr>
    </w:p>
    <w:p w14:paraId="5A35DFA7" w14:textId="77777777" w:rsidR="005D1722" w:rsidRPr="006D3F94" w:rsidRDefault="00481437">
      <w:pPr>
        <w:spacing w:line="360" w:lineRule="auto"/>
        <w:jc w:val="center"/>
        <w:rPr>
          <w:rFonts w:ascii="宋体" w:eastAsia="宋体" w:hAnsi="宋体" w:cs="宋体"/>
          <w:b/>
          <w:bCs/>
          <w:sz w:val="32"/>
          <w:szCs w:val="32"/>
        </w:rPr>
      </w:pPr>
      <w:r w:rsidRPr="006D3F94">
        <w:rPr>
          <w:rFonts w:ascii="宋体" w:eastAsia="宋体" w:hAnsi="宋体" w:cs="宋体" w:hint="eastAsia"/>
          <w:b/>
          <w:bCs/>
          <w:sz w:val="32"/>
          <w:szCs w:val="32"/>
        </w:rPr>
        <w:t>永安期货股份有限公司</w:t>
      </w:r>
    </w:p>
    <w:p w14:paraId="601AF6BA" w14:textId="77777777" w:rsidR="005D1722" w:rsidRPr="006D3F94" w:rsidRDefault="00481437">
      <w:pPr>
        <w:spacing w:line="360" w:lineRule="auto"/>
        <w:jc w:val="center"/>
        <w:rPr>
          <w:rFonts w:ascii="宋体" w:eastAsia="宋体" w:hAnsi="宋体" w:cs="宋体"/>
          <w:b/>
          <w:sz w:val="32"/>
          <w:szCs w:val="32"/>
        </w:rPr>
      </w:pPr>
      <w:r w:rsidRPr="006D3F94">
        <w:rPr>
          <w:rFonts w:ascii="宋体" w:eastAsia="宋体" w:hAnsi="宋体" w:cs="宋体" w:hint="eastAsia"/>
          <w:b/>
          <w:bCs/>
          <w:sz w:val="32"/>
          <w:szCs w:val="32"/>
        </w:rPr>
        <w:t>投资者关系活动记录表</w:t>
      </w:r>
    </w:p>
    <w:p w14:paraId="1AAB8D63" w14:textId="23CC6906" w:rsidR="006D3F94" w:rsidRDefault="006D3F94" w:rsidP="006D3F94">
      <w:pPr>
        <w:spacing w:before="51" w:after="32"/>
        <w:ind w:right="619"/>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编号：2025-00</w:t>
      </w:r>
      <w:r w:rsidR="00A86306">
        <w:rPr>
          <w:rFonts w:asciiTheme="minorEastAsia" w:eastAsiaTheme="minorEastAsia" w:hAnsiTheme="minorEastAsia" w:cs="宋体"/>
          <w:b/>
          <w:bCs/>
          <w:sz w:val="24"/>
          <w:szCs w:val="24"/>
        </w:rPr>
        <w:t>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D1722" w14:paraId="5F72998C" w14:textId="77777777">
        <w:trPr>
          <w:trHeight w:val="2801"/>
          <w:jc w:val="center"/>
        </w:trPr>
        <w:tc>
          <w:tcPr>
            <w:tcW w:w="2580" w:type="dxa"/>
          </w:tcPr>
          <w:p w14:paraId="2029104B" w14:textId="77777777" w:rsidR="005D1722" w:rsidRPr="006D3F94" w:rsidRDefault="005D1722">
            <w:pPr>
              <w:pStyle w:val="TableParagraph"/>
              <w:spacing w:before="7"/>
              <w:rPr>
                <w:rFonts w:ascii="宋体" w:eastAsia="宋体" w:hAnsi="宋体" w:cs="宋体"/>
                <w:b/>
                <w:bCs/>
                <w:sz w:val="24"/>
                <w:szCs w:val="24"/>
              </w:rPr>
            </w:pPr>
          </w:p>
          <w:p w14:paraId="0402DDCB" w14:textId="77777777" w:rsidR="005D1722" w:rsidRPr="006D3F94" w:rsidRDefault="00481437">
            <w:pPr>
              <w:pStyle w:val="TableParagraph"/>
              <w:spacing w:before="1"/>
              <w:ind w:left="107"/>
              <w:rPr>
                <w:rFonts w:ascii="宋体" w:eastAsia="宋体" w:hAnsi="宋体" w:cs="宋体"/>
                <w:b/>
                <w:bCs/>
                <w:sz w:val="24"/>
                <w:szCs w:val="24"/>
              </w:rPr>
            </w:pPr>
            <w:r w:rsidRPr="006D3F94">
              <w:rPr>
                <w:rFonts w:ascii="宋体" w:eastAsia="宋体" w:hAnsi="宋体" w:cs="宋体" w:hint="eastAsia"/>
                <w:b/>
                <w:bCs/>
                <w:sz w:val="24"/>
                <w:szCs w:val="24"/>
              </w:rPr>
              <w:t>投资者关系活动类别</w:t>
            </w:r>
          </w:p>
        </w:tc>
        <w:tc>
          <w:tcPr>
            <w:tcW w:w="5945" w:type="dxa"/>
          </w:tcPr>
          <w:p w14:paraId="62AC7AF0" w14:textId="77777777" w:rsidR="005D1722" w:rsidRPr="006D3F94" w:rsidRDefault="005D1722">
            <w:pPr>
              <w:pStyle w:val="TableParagraph"/>
              <w:spacing w:before="7"/>
              <w:rPr>
                <w:rFonts w:ascii="宋体" w:eastAsia="宋体" w:hAnsi="宋体" w:cs="宋体"/>
                <w:sz w:val="24"/>
                <w:szCs w:val="24"/>
              </w:rPr>
            </w:pPr>
          </w:p>
          <w:p w14:paraId="6B207227" w14:textId="77777777" w:rsidR="005D1722" w:rsidRPr="006D3F94" w:rsidRDefault="001F1954">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特</w:t>
            </w:r>
            <w:r w:rsidR="00481437" w:rsidRPr="006D3F94">
              <w:rPr>
                <w:rFonts w:ascii="宋体" w:eastAsia="宋体" w:hAnsi="宋体" w:cs="宋体" w:hint="eastAsia"/>
                <w:spacing w:val="-3"/>
                <w:sz w:val="24"/>
                <w:szCs w:val="24"/>
              </w:rPr>
              <w:t>定</w:t>
            </w:r>
            <w:r w:rsidR="00481437" w:rsidRPr="006D3F94">
              <w:rPr>
                <w:rFonts w:ascii="宋体" w:eastAsia="宋体" w:hAnsi="宋体" w:cs="宋体" w:hint="eastAsia"/>
                <w:sz w:val="24"/>
                <w:szCs w:val="24"/>
              </w:rPr>
              <w:t>对</w:t>
            </w:r>
            <w:r w:rsidR="00481437" w:rsidRPr="006D3F94">
              <w:rPr>
                <w:rFonts w:ascii="宋体" w:eastAsia="宋体" w:hAnsi="宋体" w:cs="宋体" w:hint="eastAsia"/>
                <w:spacing w:val="-3"/>
                <w:sz w:val="24"/>
                <w:szCs w:val="24"/>
              </w:rPr>
              <w:t>象</w:t>
            </w:r>
            <w:r w:rsidR="00481437" w:rsidRPr="006D3F94">
              <w:rPr>
                <w:rFonts w:ascii="宋体" w:eastAsia="宋体" w:hAnsi="宋体" w:cs="宋体" w:hint="eastAsia"/>
                <w:sz w:val="24"/>
                <w:szCs w:val="24"/>
              </w:rPr>
              <w:t>调研</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分</w:t>
            </w:r>
            <w:r w:rsidR="00481437" w:rsidRPr="006D3F94">
              <w:rPr>
                <w:rFonts w:ascii="宋体" w:eastAsia="宋体" w:hAnsi="宋体" w:cs="宋体" w:hint="eastAsia"/>
                <w:spacing w:val="-3"/>
                <w:sz w:val="24"/>
                <w:szCs w:val="24"/>
              </w:rPr>
              <w:t>析</w:t>
            </w:r>
            <w:r w:rsidR="00481437" w:rsidRPr="006D3F94">
              <w:rPr>
                <w:rFonts w:ascii="宋体" w:eastAsia="宋体" w:hAnsi="宋体" w:cs="宋体" w:hint="eastAsia"/>
                <w:sz w:val="24"/>
                <w:szCs w:val="24"/>
              </w:rPr>
              <w:t>师</w:t>
            </w:r>
            <w:r w:rsidR="00481437" w:rsidRPr="006D3F94">
              <w:rPr>
                <w:rFonts w:ascii="宋体" w:eastAsia="宋体" w:hAnsi="宋体" w:cs="宋体" w:hint="eastAsia"/>
                <w:spacing w:val="-3"/>
                <w:sz w:val="24"/>
                <w:szCs w:val="24"/>
              </w:rPr>
              <w:t>会</w:t>
            </w:r>
            <w:r w:rsidR="00481437" w:rsidRPr="006D3F94">
              <w:rPr>
                <w:rFonts w:ascii="宋体" w:eastAsia="宋体" w:hAnsi="宋体" w:cs="宋体" w:hint="eastAsia"/>
                <w:sz w:val="24"/>
                <w:szCs w:val="24"/>
              </w:rPr>
              <w:t>议</w:t>
            </w:r>
          </w:p>
          <w:p w14:paraId="4D100466" w14:textId="77777777" w:rsidR="005D1722" w:rsidRPr="006D3F94" w:rsidRDefault="005D1722">
            <w:pPr>
              <w:pStyle w:val="TableParagraph"/>
              <w:spacing w:before="11"/>
              <w:rPr>
                <w:rFonts w:ascii="宋体" w:eastAsia="宋体" w:hAnsi="宋体" w:cs="宋体"/>
                <w:sz w:val="24"/>
                <w:szCs w:val="24"/>
              </w:rPr>
            </w:pPr>
          </w:p>
          <w:p w14:paraId="373996CD" w14:textId="540F954C" w:rsidR="005D1722" w:rsidRPr="006D3F94" w:rsidRDefault="001F195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媒</w:t>
            </w:r>
            <w:r w:rsidR="00481437" w:rsidRPr="006D3F94">
              <w:rPr>
                <w:rFonts w:ascii="宋体" w:eastAsia="宋体" w:hAnsi="宋体" w:cs="宋体" w:hint="eastAsia"/>
                <w:spacing w:val="-3"/>
                <w:sz w:val="24"/>
                <w:szCs w:val="24"/>
              </w:rPr>
              <w:t>体</w:t>
            </w:r>
            <w:r w:rsidR="00481437" w:rsidRPr="006D3F94">
              <w:rPr>
                <w:rFonts w:ascii="宋体" w:eastAsia="宋体" w:hAnsi="宋体" w:cs="宋体" w:hint="eastAsia"/>
                <w:sz w:val="24"/>
                <w:szCs w:val="24"/>
              </w:rPr>
              <w:t>采访</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6D3F94">
                  <w:rPr>
                    <w:rFonts w:ascii="宋体" w:eastAsia="宋体" w:hAnsi="宋体" w:cs="宋体" w:hint="eastAsia"/>
                    <w:sz w:val="24"/>
                    <w:szCs w:val="24"/>
                  </w:rPr>
                  <w:sym w:font="Wingdings 2" w:char="F052"/>
                </w:r>
              </w:sdtContent>
            </w:sdt>
            <w:r w:rsidR="00481437" w:rsidRPr="006D3F94">
              <w:rPr>
                <w:rFonts w:ascii="宋体" w:eastAsia="宋体" w:hAnsi="宋体" w:cs="宋体" w:hint="eastAsia"/>
                <w:sz w:val="24"/>
                <w:szCs w:val="24"/>
              </w:rPr>
              <w:t>业</w:t>
            </w:r>
            <w:r w:rsidR="00481437" w:rsidRPr="006D3F94">
              <w:rPr>
                <w:rFonts w:ascii="宋体" w:eastAsia="宋体" w:hAnsi="宋体" w:cs="宋体" w:hint="eastAsia"/>
                <w:spacing w:val="-3"/>
                <w:sz w:val="24"/>
                <w:szCs w:val="24"/>
              </w:rPr>
              <w:t>绩</w:t>
            </w:r>
            <w:r w:rsidR="00481437" w:rsidRPr="006D3F94">
              <w:rPr>
                <w:rFonts w:ascii="宋体" w:eastAsia="宋体" w:hAnsi="宋体" w:cs="宋体" w:hint="eastAsia"/>
                <w:sz w:val="24"/>
                <w:szCs w:val="24"/>
              </w:rPr>
              <w:t>说</w:t>
            </w:r>
            <w:r w:rsidR="00481437" w:rsidRPr="006D3F94">
              <w:rPr>
                <w:rFonts w:ascii="宋体" w:eastAsia="宋体" w:hAnsi="宋体" w:cs="宋体" w:hint="eastAsia"/>
                <w:spacing w:val="-3"/>
                <w:sz w:val="24"/>
                <w:szCs w:val="24"/>
              </w:rPr>
              <w:t>明</w:t>
            </w:r>
            <w:r w:rsidR="00481437" w:rsidRPr="006D3F94">
              <w:rPr>
                <w:rFonts w:ascii="宋体" w:eastAsia="宋体" w:hAnsi="宋体" w:cs="宋体" w:hint="eastAsia"/>
                <w:sz w:val="24"/>
                <w:szCs w:val="24"/>
              </w:rPr>
              <w:t>会</w:t>
            </w:r>
          </w:p>
          <w:p w14:paraId="4CE4EC93" w14:textId="77777777" w:rsidR="005D1722" w:rsidRPr="006D3F94" w:rsidRDefault="005D1722">
            <w:pPr>
              <w:pStyle w:val="TableParagraph"/>
              <w:spacing w:before="8"/>
              <w:rPr>
                <w:rFonts w:ascii="宋体" w:eastAsia="宋体" w:hAnsi="宋体" w:cs="宋体"/>
                <w:sz w:val="24"/>
                <w:szCs w:val="24"/>
              </w:rPr>
            </w:pPr>
          </w:p>
          <w:p w14:paraId="0AE4DAC1" w14:textId="77777777" w:rsidR="005D1722" w:rsidRPr="006D3F94" w:rsidRDefault="001F195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新</w:t>
            </w:r>
            <w:r w:rsidR="00481437" w:rsidRPr="006D3F94">
              <w:rPr>
                <w:rFonts w:ascii="宋体" w:eastAsia="宋体" w:hAnsi="宋体" w:cs="宋体" w:hint="eastAsia"/>
                <w:spacing w:val="-3"/>
                <w:sz w:val="24"/>
                <w:szCs w:val="24"/>
              </w:rPr>
              <w:t>闻</w:t>
            </w:r>
            <w:r w:rsidR="00481437" w:rsidRPr="006D3F94">
              <w:rPr>
                <w:rFonts w:ascii="宋体" w:eastAsia="宋体" w:hAnsi="宋体" w:cs="宋体" w:hint="eastAsia"/>
                <w:sz w:val="24"/>
                <w:szCs w:val="24"/>
              </w:rPr>
              <w:t>发</w:t>
            </w:r>
            <w:r w:rsidR="00481437" w:rsidRPr="006D3F94">
              <w:rPr>
                <w:rFonts w:ascii="宋体" w:eastAsia="宋体" w:hAnsi="宋体" w:cs="宋体" w:hint="eastAsia"/>
                <w:spacing w:val="-3"/>
                <w:sz w:val="24"/>
                <w:szCs w:val="24"/>
              </w:rPr>
              <w:t>布</w:t>
            </w:r>
            <w:r w:rsidR="00481437" w:rsidRPr="006D3F94">
              <w:rPr>
                <w:rFonts w:ascii="宋体" w:eastAsia="宋体" w:hAnsi="宋体" w:cs="宋体" w:hint="eastAsia"/>
                <w:sz w:val="24"/>
                <w:szCs w:val="24"/>
              </w:rPr>
              <w:t>会</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路</w:t>
            </w:r>
            <w:r w:rsidR="00481437" w:rsidRPr="006D3F94">
              <w:rPr>
                <w:rFonts w:ascii="宋体" w:eastAsia="宋体" w:hAnsi="宋体" w:cs="宋体" w:hint="eastAsia"/>
                <w:spacing w:val="-3"/>
                <w:sz w:val="24"/>
                <w:szCs w:val="24"/>
              </w:rPr>
              <w:t>演</w:t>
            </w:r>
            <w:r w:rsidR="00481437" w:rsidRPr="006D3F94">
              <w:rPr>
                <w:rFonts w:ascii="宋体" w:eastAsia="宋体" w:hAnsi="宋体" w:cs="宋体" w:hint="eastAsia"/>
                <w:sz w:val="24"/>
                <w:szCs w:val="24"/>
              </w:rPr>
              <w:t>活动</w:t>
            </w:r>
          </w:p>
          <w:p w14:paraId="3385ACA5" w14:textId="77777777" w:rsidR="005D1722" w:rsidRPr="006D3F94" w:rsidRDefault="005D1722">
            <w:pPr>
              <w:pStyle w:val="TableParagraph"/>
              <w:spacing w:before="8"/>
              <w:rPr>
                <w:rFonts w:ascii="宋体" w:eastAsia="宋体" w:hAnsi="宋体" w:cs="宋体"/>
                <w:sz w:val="24"/>
                <w:szCs w:val="24"/>
              </w:rPr>
            </w:pPr>
          </w:p>
          <w:p w14:paraId="112A4F3C" w14:textId="77777777" w:rsidR="005D1722" w:rsidRPr="006D3F94" w:rsidRDefault="001F1954">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现场参观</w:t>
            </w:r>
          </w:p>
          <w:p w14:paraId="6259143A" w14:textId="77777777" w:rsidR="005D1722" w:rsidRPr="006D3F94" w:rsidRDefault="005D1722">
            <w:pPr>
              <w:pStyle w:val="TableParagraph"/>
              <w:spacing w:before="11"/>
              <w:rPr>
                <w:rFonts w:ascii="宋体" w:eastAsia="宋体" w:hAnsi="宋体" w:cs="宋体"/>
                <w:sz w:val="24"/>
                <w:szCs w:val="24"/>
              </w:rPr>
            </w:pPr>
          </w:p>
          <w:p w14:paraId="1DAB0927" w14:textId="77777777" w:rsidR="005D1722" w:rsidRPr="006D3F94" w:rsidRDefault="001F1954">
            <w:pPr>
              <w:pStyle w:val="TableParagraph"/>
              <w:ind w:left="107"/>
              <w:rPr>
                <w:rFonts w:ascii="宋体" w:eastAsia="宋体" w:hAnsi="宋体"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其他（</w:t>
            </w:r>
            <w:r w:rsidR="00481437" w:rsidRPr="006D3F94">
              <w:rPr>
                <w:rFonts w:ascii="宋体" w:eastAsia="宋体" w:hAnsi="宋体" w:cs="宋体" w:hint="eastAsia"/>
                <w:sz w:val="24"/>
                <w:szCs w:val="24"/>
                <w:u w:val="single"/>
              </w:rPr>
              <w:t>请文字说明其他活动内容）</w:t>
            </w:r>
          </w:p>
        </w:tc>
      </w:tr>
      <w:tr w:rsidR="005D1722" w14:paraId="70677D03" w14:textId="77777777">
        <w:trPr>
          <w:trHeight w:val="1120"/>
          <w:jc w:val="center"/>
        </w:trPr>
        <w:tc>
          <w:tcPr>
            <w:tcW w:w="2580" w:type="dxa"/>
            <w:vAlign w:val="center"/>
          </w:tcPr>
          <w:p w14:paraId="523303F0" w14:textId="77777777" w:rsidR="005D1722" w:rsidRPr="006D3F94" w:rsidRDefault="00481437">
            <w:pPr>
              <w:pStyle w:val="TableParagraph"/>
              <w:spacing w:line="560" w:lineRule="exact"/>
              <w:ind w:left="107" w:right="96"/>
              <w:rPr>
                <w:rFonts w:ascii="宋体" w:eastAsia="宋体" w:hAnsi="宋体" w:cs="宋体"/>
                <w:b/>
                <w:bCs/>
                <w:sz w:val="24"/>
                <w:szCs w:val="24"/>
              </w:rPr>
            </w:pPr>
            <w:r w:rsidRPr="006D3F94">
              <w:rPr>
                <w:rFonts w:ascii="宋体" w:eastAsia="宋体" w:hAnsi="宋体" w:cs="宋体" w:hint="eastAsia"/>
                <w:b/>
                <w:bCs/>
                <w:sz w:val="24"/>
                <w:szCs w:val="24"/>
              </w:rPr>
              <w:t>参与单位名称及人员姓名</w:t>
            </w:r>
          </w:p>
        </w:tc>
        <w:tc>
          <w:tcPr>
            <w:tcW w:w="5945" w:type="dxa"/>
            <w:vAlign w:val="center"/>
          </w:tcPr>
          <w:p w14:paraId="23D52C60" w14:textId="7743327D" w:rsidR="005D1722" w:rsidRPr="006D3F94" w:rsidRDefault="00953F0D">
            <w:pPr>
              <w:pStyle w:val="TableParagraph"/>
              <w:spacing w:before="100" w:beforeAutospacing="1" w:line="360" w:lineRule="auto"/>
              <w:rPr>
                <w:rFonts w:ascii="宋体" w:eastAsia="宋体" w:hAnsi="宋体" w:cs="宋体"/>
                <w:sz w:val="24"/>
                <w:szCs w:val="24"/>
                <w:lang w:val="en-US"/>
              </w:rPr>
            </w:pPr>
            <w:r w:rsidRPr="00953F0D">
              <w:rPr>
                <w:rFonts w:ascii="宋体" w:eastAsia="宋体" w:hAnsi="宋体" w:cs="宋体" w:hint="eastAsia"/>
                <w:sz w:val="24"/>
                <w:szCs w:val="24"/>
                <w:lang w:val="en-US"/>
              </w:rPr>
              <w:t>线上参与</w:t>
            </w:r>
            <w:r>
              <w:rPr>
                <w:rFonts w:ascii="宋体" w:eastAsia="宋体" w:hAnsi="宋体" w:cs="宋体" w:hint="eastAsia"/>
                <w:sz w:val="24"/>
                <w:szCs w:val="24"/>
                <w:lang w:val="en-US"/>
              </w:rPr>
              <w:t>公司</w:t>
            </w:r>
            <w:r w:rsidRPr="00953F0D">
              <w:rPr>
                <w:rFonts w:ascii="宋体" w:eastAsia="宋体" w:hAnsi="宋体" w:cs="宋体"/>
                <w:sz w:val="24"/>
                <w:szCs w:val="24"/>
                <w:lang w:val="en-US"/>
              </w:rPr>
              <w:t>2025年半年度业绩说明会的全体投资者</w:t>
            </w:r>
          </w:p>
        </w:tc>
      </w:tr>
      <w:tr w:rsidR="005D1722" w14:paraId="3F54DA7F" w14:textId="77777777">
        <w:trPr>
          <w:trHeight w:val="558"/>
          <w:jc w:val="center"/>
        </w:trPr>
        <w:tc>
          <w:tcPr>
            <w:tcW w:w="2580" w:type="dxa"/>
            <w:vAlign w:val="center"/>
          </w:tcPr>
          <w:p w14:paraId="48212328" w14:textId="77777777" w:rsidR="005D1722" w:rsidRPr="006D3F94" w:rsidRDefault="00481437">
            <w:pPr>
              <w:pStyle w:val="TableParagraph"/>
              <w:ind w:left="107"/>
              <w:rPr>
                <w:rFonts w:ascii="宋体" w:eastAsia="宋体" w:hAnsi="宋体" w:cs="宋体"/>
                <w:b/>
                <w:bCs/>
                <w:sz w:val="24"/>
                <w:szCs w:val="24"/>
              </w:rPr>
            </w:pPr>
            <w:r w:rsidRPr="006D3F94">
              <w:rPr>
                <w:rFonts w:ascii="宋体" w:eastAsia="宋体" w:hAnsi="宋体" w:cs="宋体" w:hint="eastAsia"/>
                <w:b/>
                <w:bCs/>
                <w:sz w:val="24"/>
                <w:szCs w:val="24"/>
              </w:rPr>
              <w:t>时间</w:t>
            </w:r>
          </w:p>
        </w:tc>
        <w:tc>
          <w:tcPr>
            <w:tcW w:w="5945" w:type="dxa"/>
            <w:vAlign w:val="center"/>
          </w:tcPr>
          <w:p w14:paraId="72DC319A" w14:textId="4DDDE48F" w:rsidR="005D1722" w:rsidRPr="006D3F94" w:rsidRDefault="00481437">
            <w:pPr>
              <w:spacing w:before="100" w:beforeAutospacing="1" w:line="360" w:lineRule="auto"/>
              <w:rPr>
                <w:rFonts w:ascii="宋体" w:eastAsia="宋体" w:hAnsi="宋体"/>
                <w:sz w:val="24"/>
                <w:szCs w:val="24"/>
              </w:rPr>
            </w:pPr>
            <w:r w:rsidRPr="006D3F94">
              <w:rPr>
                <w:rFonts w:ascii="宋体" w:eastAsia="宋体" w:hAnsi="宋体" w:cstheme="minorEastAsia" w:hint="eastAsia"/>
                <w:sz w:val="24"/>
                <w:szCs w:val="24"/>
              </w:rPr>
              <w:t>2025年</w:t>
            </w:r>
            <w:r w:rsidR="00BC4EB6">
              <w:rPr>
                <w:rFonts w:ascii="宋体" w:eastAsia="宋体" w:hAnsi="宋体" w:cstheme="minorEastAsia" w:hint="eastAsia"/>
                <w:sz w:val="24"/>
                <w:szCs w:val="24"/>
              </w:rPr>
              <w:t>09</w:t>
            </w:r>
            <w:r w:rsidRPr="006D3F94">
              <w:rPr>
                <w:rFonts w:ascii="宋体" w:eastAsia="宋体" w:hAnsi="宋体" w:cstheme="minorEastAsia" w:hint="eastAsia"/>
                <w:sz w:val="24"/>
                <w:szCs w:val="24"/>
              </w:rPr>
              <w:t>月</w:t>
            </w:r>
            <w:r w:rsidR="00BC4EB6">
              <w:rPr>
                <w:rFonts w:ascii="宋体" w:eastAsia="宋体" w:hAnsi="宋体" w:cstheme="minorEastAsia" w:hint="eastAsia"/>
                <w:sz w:val="24"/>
                <w:szCs w:val="24"/>
              </w:rPr>
              <w:t>16</w:t>
            </w:r>
            <w:r w:rsidRPr="006D3F94">
              <w:rPr>
                <w:rFonts w:ascii="宋体" w:eastAsia="宋体" w:hAnsi="宋体" w:cstheme="minorEastAsia" w:hint="eastAsia"/>
                <w:sz w:val="24"/>
                <w:szCs w:val="24"/>
              </w:rPr>
              <w:t>日 10:00-11:00</w:t>
            </w:r>
          </w:p>
        </w:tc>
      </w:tr>
      <w:tr w:rsidR="005D1722" w14:paraId="17290777" w14:textId="77777777">
        <w:trPr>
          <w:trHeight w:val="561"/>
          <w:jc w:val="center"/>
        </w:trPr>
        <w:tc>
          <w:tcPr>
            <w:tcW w:w="2580" w:type="dxa"/>
            <w:vAlign w:val="center"/>
          </w:tcPr>
          <w:p w14:paraId="6E9007F6" w14:textId="77777777" w:rsidR="005D1722" w:rsidRPr="006D3F94" w:rsidRDefault="00481437">
            <w:pPr>
              <w:pStyle w:val="TableParagraph"/>
              <w:ind w:left="107"/>
              <w:rPr>
                <w:rFonts w:ascii="宋体" w:eastAsia="宋体" w:hAnsi="宋体" w:cs="宋体"/>
                <w:b/>
                <w:bCs/>
                <w:sz w:val="24"/>
                <w:szCs w:val="24"/>
              </w:rPr>
            </w:pPr>
            <w:r w:rsidRPr="006D3F94">
              <w:rPr>
                <w:rFonts w:ascii="宋体" w:eastAsia="宋体" w:hAnsi="宋体" w:cs="宋体" w:hint="eastAsia"/>
                <w:b/>
                <w:bCs/>
                <w:sz w:val="24"/>
                <w:szCs w:val="24"/>
              </w:rPr>
              <w:t>地点</w:t>
            </w:r>
          </w:p>
        </w:tc>
        <w:tc>
          <w:tcPr>
            <w:tcW w:w="5945" w:type="dxa"/>
            <w:vAlign w:val="center"/>
          </w:tcPr>
          <w:p w14:paraId="21B5B9E7" w14:textId="77777777" w:rsidR="005D1722" w:rsidRPr="006D3F94" w:rsidRDefault="00481437">
            <w:pPr>
              <w:pStyle w:val="TableParagraph"/>
              <w:spacing w:before="100" w:beforeAutospacing="1" w:line="360" w:lineRule="auto"/>
              <w:rPr>
                <w:rFonts w:ascii="宋体" w:eastAsia="宋体" w:hAnsi="宋体" w:cs="宋体"/>
                <w:sz w:val="24"/>
                <w:szCs w:val="24"/>
              </w:rPr>
            </w:pPr>
            <w:r w:rsidRPr="006D3F94">
              <w:rPr>
                <w:rFonts w:ascii="宋体" w:eastAsia="宋体" w:hAnsi="宋体" w:cs="宋体" w:hint="eastAsia"/>
                <w:sz w:val="24"/>
                <w:szCs w:val="24"/>
              </w:rPr>
              <w:t>价值在线（https://www.ir-online.cn/）网络互动</w:t>
            </w:r>
          </w:p>
        </w:tc>
      </w:tr>
      <w:tr w:rsidR="005D1722" w14:paraId="1353646B" w14:textId="77777777">
        <w:trPr>
          <w:trHeight w:val="558"/>
          <w:jc w:val="center"/>
        </w:trPr>
        <w:tc>
          <w:tcPr>
            <w:tcW w:w="2580" w:type="dxa"/>
            <w:vAlign w:val="center"/>
          </w:tcPr>
          <w:p w14:paraId="01D35FB5" w14:textId="77777777" w:rsidR="005D1722" w:rsidRPr="006D3F94" w:rsidRDefault="00481437">
            <w:pPr>
              <w:pStyle w:val="TableParagraph"/>
              <w:spacing w:before="1"/>
              <w:ind w:left="107"/>
              <w:rPr>
                <w:rFonts w:ascii="宋体" w:eastAsia="宋体" w:hAnsi="宋体" w:cs="宋体"/>
                <w:b/>
                <w:bCs/>
                <w:sz w:val="24"/>
                <w:szCs w:val="24"/>
              </w:rPr>
            </w:pPr>
            <w:r w:rsidRPr="006D3F94">
              <w:rPr>
                <w:rFonts w:ascii="宋体" w:eastAsia="宋体" w:hAnsi="宋体" w:cs="宋体" w:hint="eastAsia"/>
                <w:b/>
                <w:bCs/>
                <w:sz w:val="24"/>
                <w:szCs w:val="24"/>
              </w:rPr>
              <w:t>上市公司接待人员姓名</w:t>
            </w:r>
          </w:p>
        </w:tc>
        <w:tc>
          <w:tcPr>
            <w:tcW w:w="5945" w:type="dxa"/>
            <w:vAlign w:val="center"/>
          </w:tcPr>
          <w:p w14:paraId="0651718E" w14:textId="366769B4" w:rsidR="005D1722" w:rsidRPr="00EA703D" w:rsidRDefault="00EA703D">
            <w:pPr>
              <w:pStyle w:val="TableParagraph"/>
              <w:spacing w:before="100" w:beforeAutospacing="1" w:line="360" w:lineRule="auto"/>
              <w:rPr>
                <w:rFonts w:ascii="宋体" w:eastAsia="宋体" w:hAnsi="宋体" w:cs="宋体"/>
                <w:sz w:val="24"/>
                <w:szCs w:val="24"/>
              </w:rPr>
            </w:pPr>
            <w:r w:rsidRPr="00EA703D">
              <w:rPr>
                <w:rFonts w:ascii="宋体" w:eastAsia="宋体" w:hAnsi="宋体" w:cs="宋体"/>
                <w:sz w:val="24"/>
                <w:szCs w:val="24"/>
              </w:rPr>
              <w:t>董事长 黄志明</w:t>
            </w:r>
            <w:r w:rsidRPr="00EA703D">
              <w:rPr>
                <w:rFonts w:ascii="宋体" w:eastAsia="宋体" w:hAnsi="宋体" w:cs="宋体"/>
                <w:sz w:val="24"/>
                <w:szCs w:val="24"/>
              </w:rPr>
              <w:br/>
              <w:t>总经理 马志伟</w:t>
            </w:r>
            <w:r w:rsidRPr="00EA703D">
              <w:rPr>
                <w:rFonts w:ascii="宋体" w:eastAsia="宋体" w:hAnsi="宋体" w:cs="宋体"/>
                <w:sz w:val="24"/>
                <w:szCs w:val="24"/>
              </w:rPr>
              <w:br/>
              <w:t>副总经理、董事会秘书兼财务总监 黄峥嵘</w:t>
            </w:r>
            <w:r w:rsidRPr="00EA703D">
              <w:rPr>
                <w:rFonts w:ascii="宋体" w:eastAsia="宋体" w:hAnsi="宋体" w:cs="宋体"/>
                <w:sz w:val="24"/>
                <w:szCs w:val="24"/>
              </w:rPr>
              <w:br/>
              <w:t>独立董事 汪滔</w:t>
            </w:r>
          </w:p>
        </w:tc>
      </w:tr>
      <w:tr w:rsidR="00BC4EB6" w14:paraId="63BC51C0" w14:textId="77777777" w:rsidTr="00247C20">
        <w:trPr>
          <w:trHeight w:val="1124"/>
          <w:jc w:val="center"/>
        </w:trPr>
        <w:tc>
          <w:tcPr>
            <w:tcW w:w="2580" w:type="dxa"/>
          </w:tcPr>
          <w:p w14:paraId="24F8B857" w14:textId="77777777" w:rsidR="00BC4EB6" w:rsidRPr="006D3F94" w:rsidRDefault="00BC4EB6" w:rsidP="00BC4EB6">
            <w:pPr>
              <w:pStyle w:val="TableParagraph"/>
              <w:rPr>
                <w:rFonts w:ascii="宋体" w:eastAsia="宋体" w:hAnsi="宋体" w:cs="宋体"/>
                <w:b/>
                <w:bCs/>
                <w:sz w:val="24"/>
                <w:szCs w:val="24"/>
              </w:rPr>
            </w:pPr>
          </w:p>
          <w:p w14:paraId="1DE7AFF8" w14:textId="77777777" w:rsidR="00BC4EB6" w:rsidRPr="006D3F94" w:rsidRDefault="00BC4EB6" w:rsidP="00BC4EB6">
            <w:pPr>
              <w:pStyle w:val="TableParagraph"/>
              <w:rPr>
                <w:rFonts w:ascii="宋体" w:eastAsia="宋体" w:hAnsi="宋体" w:cs="宋体"/>
                <w:b/>
                <w:bCs/>
                <w:sz w:val="24"/>
                <w:szCs w:val="24"/>
              </w:rPr>
            </w:pPr>
          </w:p>
          <w:p w14:paraId="3EE3B455" w14:textId="77777777" w:rsidR="00BC4EB6" w:rsidRPr="006D3F94" w:rsidRDefault="00BC4EB6" w:rsidP="00BC4EB6">
            <w:pPr>
              <w:pStyle w:val="TableParagraph"/>
              <w:spacing w:before="5"/>
              <w:rPr>
                <w:rFonts w:ascii="宋体" w:eastAsia="宋体" w:hAnsi="宋体" w:cs="宋体"/>
                <w:b/>
                <w:bCs/>
                <w:sz w:val="24"/>
                <w:szCs w:val="24"/>
              </w:rPr>
            </w:pPr>
          </w:p>
          <w:p w14:paraId="0E683F93" w14:textId="77777777" w:rsidR="00BC4EB6" w:rsidRPr="006D3F94" w:rsidRDefault="00BC4EB6" w:rsidP="00BC4EB6">
            <w:pPr>
              <w:pStyle w:val="TableParagraph"/>
              <w:spacing w:before="1" w:line="499" w:lineRule="auto"/>
              <w:ind w:left="107" w:right="96"/>
              <w:rPr>
                <w:rFonts w:ascii="宋体" w:eastAsia="宋体" w:hAnsi="宋体" w:cs="宋体"/>
                <w:b/>
                <w:bCs/>
                <w:sz w:val="24"/>
                <w:szCs w:val="24"/>
              </w:rPr>
            </w:pPr>
            <w:r w:rsidRPr="006D3F94">
              <w:rPr>
                <w:rFonts w:ascii="宋体" w:eastAsia="宋体" w:hAnsi="宋体" w:cs="宋体" w:hint="eastAsia"/>
                <w:b/>
                <w:bCs/>
                <w:sz w:val="24"/>
                <w:szCs w:val="24"/>
              </w:rPr>
              <w:t>投资者关系活动主要内容介绍</w:t>
            </w:r>
          </w:p>
        </w:tc>
        <w:tc>
          <w:tcPr>
            <w:tcW w:w="5945" w:type="dxa"/>
          </w:tcPr>
          <w:p w14:paraId="03EE5164" w14:textId="77777777" w:rsidR="00414D1F" w:rsidRPr="000D237E" w:rsidRDefault="00BC4EB6" w:rsidP="00BC4EB6">
            <w:pPr>
              <w:pStyle w:val="TableParagraph"/>
              <w:spacing w:line="360" w:lineRule="auto"/>
              <w:ind w:firstLine="420"/>
              <w:jc w:val="both"/>
              <w:rPr>
                <w:rFonts w:ascii="宋体" w:eastAsia="宋体" w:hAnsi="宋体" w:cs="宋体"/>
                <w:sz w:val="24"/>
                <w:szCs w:val="24"/>
              </w:rPr>
            </w:pPr>
            <w:r w:rsidRPr="000D237E">
              <w:rPr>
                <w:rFonts w:ascii="宋体" w:eastAsia="宋体" w:hAnsi="宋体" w:cs="宋体"/>
                <w:b/>
                <w:sz w:val="24"/>
                <w:szCs w:val="24"/>
              </w:rPr>
              <w:t>1.目前，公司的股东户数是多少？</w:t>
            </w:r>
            <w:r w:rsidRPr="000D237E">
              <w:rPr>
                <w:rFonts w:ascii="宋体" w:eastAsia="宋体" w:hAnsi="宋体" w:cs="宋体"/>
                <w:b/>
                <w:sz w:val="24"/>
                <w:szCs w:val="24"/>
              </w:rPr>
              <w:br/>
            </w:r>
            <w:r w:rsidRPr="000D237E">
              <w:rPr>
                <w:rFonts w:ascii="宋体" w:eastAsia="宋体" w:hAnsi="宋体" w:cs="宋体"/>
                <w:sz w:val="24"/>
                <w:szCs w:val="24"/>
              </w:rPr>
              <w:t xml:space="preserve">    答:截至2025年6月30日，公司的股东户数为3.69万户。谢谢！</w:t>
            </w:r>
            <w:r w:rsidRPr="000D237E">
              <w:rPr>
                <w:rFonts w:ascii="宋体" w:eastAsia="宋体" w:hAnsi="宋体" w:cs="宋体"/>
                <w:sz w:val="24"/>
                <w:szCs w:val="24"/>
              </w:rPr>
              <w:br/>
            </w:r>
            <w:r w:rsidRPr="000D237E">
              <w:rPr>
                <w:rFonts w:ascii="宋体" w:eastAsia="宋体" w:hAnsi="宋体" w:cs="宋体"/>
                <w:b/>
                <w:sz w:val="24"/>
                <w:szCs w:val="24"/>
              </w:rPr>
              <w:t xml:space="preserve">    2.公司上半年净利润同比下降的主要原因是什么？</w:t>
            </w:r>
            <w:r w:rsidRPr="000D237E">
              <w:rPr>
                <w:rFonts w:ascii="宋体" w:eastAsia="宋体" w:hAnsi="宋体" w:cs="宋体"/>
                <w:b/>
                <w:sz w:val="24"/>
                <w:szCs w:val="24"/>
              </w:rPr>
              <w:br/>
            </w:r>
            <w:r w:rsidRPr="000D237E">
              <w:rPr>
                <w:rFonts w:ascii="宋体" w:eastAsia="宋体" w:hAnsi="宋体" w:cs="宋体"/>
                <w:sz w:val="24"/>
                <w:szCs w:val="24"/>
              </w:rPr>
              <w:t xml:space="preserve">    答:公司子公司永安资本于2023年开展的部分存续场外衍生品业务受一季度市场重大行情波动不利影响，产生了部分亏损，导致公司2025年一季度利润出现波动。目前，</w:t>
            </w:r>
            <w:r w:rsidRPr="000D237E">
              <w:rPr>
                <w:rFonts w:ascii="宋体" w:eastAsia="宋体" w:hAnsi="宋体" w:cs="宋体"/>
                <w:sz w:val="24"/>
                <w:szCs w:val="24"/>
              </w:rPr>
              <w:lastRenderedPageBreak/>
              <w:t>该类业务风险敞口已有效释放。从第二季度来看，公司主要业务板块均表现稳健，单季度实现净利润1.61亿元，环比增长超16倍，呈现出“U型强劲反弹”走势，凸显了公司较强的修复能力和增长弹性。谢谢!</w:t>
            </w:r>
            <w:r w:rsidRPr="000D237E">
              <w:rPr>
                <w:rFonts w:ascii="宋体" w:eastAsia="宋体" w:hAnsi="宋体" w:cs="宋体"/>
                <w:sz w:val="24"/>
                <w:szCs w:val="24"/>
              </w:rPr>
              <w:br/>
            </w:r>
            <w:r w:rsidRPr="000D237E">
              <w:rPr>
                <w:rFonts w:ascii="宋体" w:eastAsia="宋体" w:hAnsi="宋体" w:cs="宋体"/>
                <w:b/>
                <w:sz w:val="24"/>
                <w:szCs w:val="24"/>
              </w:rPr>
              <w:t xml:space="preserve">    3.请问公司境外业务上半年经营情况如何?公司在境外业务上的最新布局是什么？</w:t>
            </w:r>
            <w:r w:rsidRPr="000D237E">
              <w:rPr>
                <w:rFonts w:ascii="宋体" w:eastAsia="宋体" w:hAnsi="宋体" w:cs="宋体"/>
                <w:b/>
                <w:sz w:val="24"/>
                <w:szCs w:val="24"/>
              </w:rPr>
              <w:br/>
            </w:r>
            <w:r w:rsidRPr="000D237E">
              <w:rPr>
                <w:rFonts w:ascii="宋体" w:eastAsia="宋体" w:hAnsi="宋体" w:cs="宋体"/>
                <w:sz w:val="24"/>
                <w:szCs w:val="24"/>
              </w:rPr>
              <w:t xml:space="preserve">    答:公司通过新永安金控及其子公司开展境外金融服务业务。近年来，新永安金控公司净利润从2021年的0.5亿元稳步上升至2024年的1.4亿元，年均复合增长率超40%。2025年上半年，新永安金控实现净利润0.73亿元，约占公司总体净利润的43%，是公司战略发展的第二增长曲线。</w:t>
            </w:r>
          </w:p>
          <w:p w14:paraId="70B69598" w14:textId="77777777" w:rsidR="00414D1F"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 xml:space="preserve">2025年1月，永安期货新加坡获得新加坡交易所衍生品市场交易与清算会员资格，成为国内期货公司在新交所获得清算资质的代表企业之一。这是继取得新加坡资本市场服务牌照（CMS）之后，公司在国际业务上迈出的关键一步。 </w:t>
            </w:r>
          </w:p>
          <w:p w14:paraId="09EDA5FC" w14:textId="77777777" w:rsidR="00631B78"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下半年，公司将大力推动构建跨境金融生态体系，将重点打造香港股票市场与新加坡大宗商品市场两大核心生态圈，通过深化两地业务协同与资源共享，持续扩大优质客户储备。此外，为进一步深化公司国际化发展战略，巩固公司国际化发展先发优势，公司计划向境外增资不超过5.36亿港元并设立英国子公司，目前该增资已基本完成，标志着公司正式开启欧洲市场布局，开启新一轮全球化布局。未来，公司将通过“人财撬动、跨境联动、产融带动、数智驱动”的四驱发展模式，打响“私募出海找永安，全球资配找永安，产业跨境找永安”的跨境服务品牌。谢谢！</w:t>
            </w:r>
            <w:r w:rsidRPr="000D237E">
              <w:rPr>
                <w:rFonts w:ascii="宋体" w:eastAsia="宋体" w:hAnsi="宋体" w:cs="宋体"/>
                <w:sz w:val="24"/>
                <w:szCs w:val="24"/>
              </w:rPr>
              <w:br/>
            </w:r>
            <w:r w:rsidRPr="000D237E">
              <w:rPr>
                <w:rFonts w:ascii="宋体" w:eastAsia="宋体" w:hAnsi="宋体" w:cs="宋体"/>
                <w:b/>
                <w:sz w:val="24"/>
                <w:szCs w:val="24"/>
              </w:rPr>
              <w:t xml:space="preserve">    4.请问公司2025年半年度的利润分配及回购情况如</w:t>
            </w:r>
            <w:r w:rsidRPr="000D237E">
              <w:rPr>
                <w:rFonts w:ascii="宋体" w:eastAsia="宋体" w:hAnsi="宋体" w:cs="宋体"/>
                <w:b/>
                <w:sz w:val="24"/>
                <w:szCs w:val="24"/>
              </w:rPr>
              <w:lastRenderedPageBreak/>
              <w:t>何？</w:t>
            </w:r>
            <w:r w:rsidRPr="000D237E">
              <w:rPr>
                <w:rFonts w:ascii="宋体" w:eastAsia="宋体" w:hAnsi="宋体" w:cs="宋体"/>
                <w:b/>
                <w:sz w:val="24"/>
                <w:szCs w:val="24"/>
              </w:rPr>
              <w:br/>
            </w:r>
            <w:r w:rsidRPr="000D237E">
              <w:rPr>
                <w:rFonts w:ascii="宋体" w:eastAsia="宋体" w:hAnsi="宋体" w:cs="宋体"/>
                <w:sz w:val="24"/>
                <w:szCs w:val="24"/>
              </w:rPr>
              <w:t xml:space="preserve">    答:截至目前，公司累计通过集中竞价交易方式回购公司股份96.74万股，金额约1,500万元，用于注销并减少注册资本，体现了公司在稳定股价、提升股东回报方面的决心。 </w:t>
            </w:r>
          </w:p>
          <w:p w14:paraId="1214A112" w14:textId="77777777" w:rsidR="0097225F"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在利润分配方面，公司拟以总股本14.56亿股为基数，向全体股东每10股派发现金红利0.20元（含税），合计约2,911万元，占上半年归母净利润的17.11%。自登陆上交所主板以来，公司累计现金分红已超过10亿元，分红比例长期保持在归母净利润的30%以上，逐步形成稳定、常态化的分红机制。公司将继续坚持“高比例、可持续”的分红政策，积极回馈股东，展现国有金融企业的责任担当。谢谢！</w:t>
            </w:r>
            <w:r w:rsidRPr="000D237E">
              <w:rPr>
                <w:rFonts w:ascii="宋体" w:eastAsia="宋体" w:hAnsi="宋体" w:cs="宋体"/>
                <w:sz w:val="24"/>
                <w:szCs w:val="24"/>
              </w:rPr>
              <w:br/>
            </w:r>
            <w:r w:rsidRPr="000D237E">
              <w:rPr>
                <w:rFonts w:ascii="宋体" w:eastAsia="宋体" w:hAnsi="宋体" w:cs="宋体"/>
                <w:b/>
                <w:sz w:val="24"/>
                <w:szCs w:val="24"/>
              </w:rPr>
              <w:t xml:space="preserve">    5.公司的二季度业“U型强劲反弹”走势是否在三四季度能继续保持呢？一季度衍生品的风险控制有制度上的保证吗？</w:t>
            </w:r>
            <w:r w:rsidRPr="000D237E">
              <w:rPr>
                <w:rFonts w:ascii="宋体" w:eastAsia="宋体" w:hAnsi="宋体" w:cs="宋体"/>
                <w:b/>
                <w:sz w:val="24"/>
                <w:szCs w:val="24"/>
              </w:rPr>
              <w:br/>
            </w:r>
            <w:r w:rsidRPr="000D237E">
              <w:rPr>
                <w:rFonts w:ascii="宋体" w:eastAsia="宋体" w:hAnsi="宋体" w:cs="宋体"/>
                <w:sz w:val="24"/>
                <w:szCs w:val="24"/>
              </w:rPr>
              <w:t xml:space="preserve">    答:公司目前经营情况整体向好，公司业绩详细情况请您关注公司在上海证券交易所网站（http://www.sse.com.cn）披露的定期报告。此外，子公司永安资本开展的场外衍生品业务相关风险敞口已有效释放。同时，公司采取了一系列配套风控优化措施，包括优化定价交易模型、细化各业务板块风险指标及内控制度等。谢谢！</w:t>
            </w:r>
            <w:r w:rsidRPr="000D237E">
              <w:rPr>
                <w:rFonts w:ascii="宋体" w:eastAsia="宋体" w:hAnsi="宋体" w:cs="宋体"/>
                <w:sz w:val="24"/>
                <w:szCs w:val="24"/>
              </w:rPr>
              <w:br/>
            </w:r>
            <w:r w:rsidRPr="000D237E">
              <w:rPr>
                <w:rFonts w:ascii="宋体" w:eastAsia="宋体" w:hAnsi="宋体" w:cs="宋体"/>
                <w:b/>
                <w:sz w:val="24"/>
                <w:szCs w:val="24"/>
              </w:rPr>
              <w:t xml:space="preserve">    6.公司在金融科技方面有何成果？</w:t>
            </w:r>
            <w:r w:rsidRPr="000D237E">
              <w:rPr>
                <w:rFonts w:ascii="宋体" w:eastAsia="宋体" w:hAnsi="宋体" w:cs="宋体"/>
                <w:b/>
                <w:sz w:val="24"/>
                <w:szCs w:val="24"/>
              </w:rPr>
              <w:br/>
            </w:r>
            <w:r w:rsidRPr="000D237E">
              <w:rPr>
                <w:rFonts w:ascii="宋体" w:eastAsia="宋体" w:hAnsi="宋体" w:cs="宋体"/>
                <w:sz w:val="24"/>
                <w:szCs w:val="24"/>
              </w:rPr>
              <w:t xml:space="preserve">    答:近年来，公司聚焦数智变革和金融科技创新，从“模型能力+私有数据+应用场景”三位一体协同发力，积极探路AI赋能期货。一是把“模型能力”作为“强劲引擎”，聚焦数量相对较少、管理规范的产业机构客户，推出服务系统“永易企”，实现对郑商所、大商所仓单、交</w:t>
            </w:r>
            <w:r w:rsidRPr="000D237E">
              <w:rPr>
                <w:rFonts w:ascii="宋体" w:eastAsia="宋体" w:hAnsi="宋体" w:cs="宋体"/>
                <w:sz w:val="24"/>
                <w:szCs w:val="24"/>
              </w:rPr>
              <w:lastRenderedPageBreak/>
              <w:t>割业务的全面覆盖，标准仓单交割配对业务耗时从过去的1天大幅缩短至30分钟；二是把“私有数据”作为“优质燃料”，围绕“以客户为中心”开展数字化改革，按照“对内一个客户、对外一个永安”的逻辑，完善市场行情、客户行为、交易风控等多个领域的结构化数据资产，构建数据中台，为AI大模型训练储备充足且高质量的“燃料”；三是把“应用场景”作为“核心框架”，进一步完善智能风控项目“烽燧”，实现24小时不间断的风险防控预警；打造智能客服“安仔智答”，为客户提供全天候、专业化的咨询服务；构建“源点智研”智能研究体系，推动投研数据与策略的有效转化。谢谢！</w:t>
            </w:r>
            <w:r w:rsidRPr="000D237E">
              <w:rPr>
                <w:rFonts w:ascii="宋体" w:eastAsia="宋体" w:hAnsi="宋体" w:cs="宋体"/>
                <w:sz w:val="24"/>
                <w:szCs w:val="24"/>
              </w:rPr>
              <w:br/>
            </w:r>
            <w:r w:rsidRPr="000D237E">
              <w:rPr>
                <w:rFonts w:ascii="宋体" w:eastAsia="宋体" w:hAnsi="宋体" w:cs="宋体"/>
                <w:b/>
                <w:sz w:val="24"/>
                <w:szCs w:val="24"/>
              </w:rPr>
              <w:t xml:space="preserve">    7.你好，贵公司股价长期破发，股份回购进展能高效进行嘛，对股价回升有没有持续开展什么积极措施</w:t>
            </w:r>
            <w:r w:rsidRPr="000D237E">
              <w:rPr>
                <w:rFonts w:ascii="宋体" w:eastAsia="宋体" w:hAnsi="宋体" w:cs="宋体"/>
                <w:b/>
                <w:sz w:val="24"/>
                <w:szCs w:val="24"/>
              </w:rPr>
              <w:br/>
            </w:r>
            <w:r w:rsidRPr="000D237E">
              <w:rPr>
                <w:rFonts w:ascii="宋体" w:eastAsia="宋体" w:hAnsi="宋体" w:cs="宋体"/>
                <w:sz w:val="24"/>
                <w:szCs w:val="24"/>
              </w:rPr>
              <w:t xml:space="preserve">    答:截至目前，公司已完成两次股份回购，累计通过集中竞价交易方式回购公司股份96.74万股，金额约1,500万元，用于注销并减少注册资本，体现了公司在稳定股价、提升股东回报方面的决心。此外，公司始终高度重视市值管理工作，严格遵守《上市公司监管指引第10号——市值管理》相关要求，全力以赴做好各项经营工作，努力推动公司投资价值合理反映公司质量。谢谢！</w:t>
            </w:r>
            <w:r w:rsidRPr="000D237E">
              <w:rPr>
                <w:rFonts w:ascii="宋体" w:eastAsia="宋体" w:hAnsi="宋体" w:cs="宋体"/>
                <w:sz w:val="24"/>
                <w:szCs w:val="24"/>
              </w:rPr>
              <w:br/>
            </w:r>
            <w:r w:rsidRPr="000D237E">
              <w:rPr>
                <w:rFonts w:ascii="宋体" w:eastAsia="宋体" w:hAnsi="宋体" w:cs="宋体"/>
                <w:b/>
                <w:sz w:val="24"/>
                <w:szCs w:val="24"/>
              </w:rPr>
              <w:t xml:space="preserve">    8.请问公司投资通威股份是出于什么考量？</w:t>
            </w:r>
            <w:r w:rsidRPr="000D237E">
              <w:rPr>
                <w:rFonts w:ascii="宋体" w:eastAsia="宋体" w:hAnsi="宋体" w:cs="宋体"/>
                <w:b/>
                <w:sz w:val="24"/>
                <w:szCs w:val="24"/>
              </w:rPr>
              <w:br/>
            </w:r>
            <w:r w:rsidRPr="000D237E">
              <w:rPr>
                <w:rFonts w:ascii="宋体" w:eastAsia="宋体" w:hAnsi="宋体" w:cs="宋体"/>
                <w:sz w:val="24"/>
                <w:szCs w:val="24"/>
              </w:rPr>
              <w:t xml:space="preserve">    答:通威股份作为全球光伏龙头，在光伏多晶硅、太阳能电池片等领域占据领先地位，旗下四川永祥股份有限公司拥有全球瞩目的高纯晶硅先进产能与技术优势。</w:t>
            </w:r>
          </w:p>
          <w:p w14:paraId="4876787B" w14:textId="77777777" w:rsidR="0097225F"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 xml:space="preserve">今年4月，公司完成对通威股份子公司永祥股份的战略投资，成为其重要股东。8月，公司与通威股份在北京签署全面战略合作协议，共同探索金融工具服务新能源产业发展的创新路径。 </w:t>
            </w:r>
          </w:p>
          <w:p w14:paraId="0014ABF9" w14:textId="77777777" w:rsidR="0097225F"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公司投资通威股份的主要考量因素包括：（1）今年</w:t>
            </w:r>
            <w:r w:rsidRPr="000D237E">
              <w:rPr>
                <w:rFonts w:ascii="宋体" w:eastAsia="宋体" w:hAnsi="宋体" w:cs="宋体"/>
                <w:sz w:val="24"/>
                <w:szCs w:val="24"/>
              </w:rPr>
              <w:lastRenderedPageBreak/>
              <w:t>上半年是光伏及多晶硅行业处于低谷走向复苏的关键时期，全球光伏需求稳定向上，多晶硅作为生产光伏组件的刚需产品，有望率先走出底部周期，并且带动整条产业链景气度回升。（2）永祥股份在产能规模、技术工艺、成本控制、产品质量等方面均处于行业领先，叠加行业复苏回暖预期，企业盈利及估值或将得到较大幅度提升，项目盈利可能性高。（3）此次战略签订，开创了期货行业通过战略性股权投资的方式，深度参与新能源战略新兴产业投资布局和产业结构调整优化的绿色金融服务新模式，是公司以产业链深度研究为依托，持续深化产融资源整合，推进衍生品投行建设的重大突破。谢谢！</w:t>
            </w:r>
            <w:r w:rsidRPr="000D237E">
              <w:rPr>
                <w:rFonts w:ascii="宋体" w:eastAsia="宋体" w:hAnsi="宋体" w:cs="宋体"/>
                <w:sz w:val="24"/>
                <w:szCs w:val="24"/>
              </w:rPr>
              <w:br/>
            </w:r>
            <w:r w:rsidRPr="000D237E">
              <w:rPr>
                <w:rFonts w:ascii="宋体" w:eastAsia="宋体" w:hAnsi="宋体" w:cs="宋体"/>
                <w:b/>
                <w:sz w:val="24"/>
                <w:szCs w:val="24"/>
              </w:rPr>
              <w:t xml:space="preserve">    9.请介绍下公司下半年的经营计划？</w:t>
            </w:r>
            <w:r w:rsidRPr="000D237E">
              <w:rPr>
                <w:rFonts w:ascii="宋体" w:eastAsia="宋体" w:hAnsi="宋体" w:cs="宋体"/>
                <w:b/>
                <w:sz w:val="24"/>
                <w:szCs w:val="24"/>
              </w:rPr>
              <w:br/>
            </w:r>
            <w:r w:rsidRPr="000D237E">
              <w:rPr>
                <w:rFonts w:ascii="宋体" w:eastAsia="宋体" w:hAnsi="宋体" w:cs="宋体"/>
                <w:sz w:val="24"/>
                <w:szCs w:val="24"/>
              </w:rPr>
              <w:t xml:space="preserve">    答:公司上半年实现营业收入55.56亿元，净利润1.70亿元。其中，第二季度净利润环比大幅增长超16倍，走出U型曲线。面对复杂多变的外部环境和红海竞争的行业态势，公司积极应变、主动求变，2025年全面启动“以客户为中心”重塑运营体系的重大改革，全力推进衍生品投行建设。从价值理念、战略体系、组织架构、激励机制和服务能力等方面持续优化，进一步增强股东回报水平和公司的长期竞争力。 </w:t>
            </w:r>
          </w:p>
          <w:p w14:paraId="5358A724" w14:textId="77777777" w:rsidR="003A759C"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2025年下半年，公司将以战略为导向、以改革为抓手、以业绩为目标，书写好发展、改革、安全三篇大文章。前台聚力市场攻坚，驱动业务增长；中台夯实能力基石，赋能高效运营；后台筑牢风控根基，保障稳健发展，全力打好“十四五”收官战、谋好“十五五”开局篇。谢谢！</w:t>
            </w:r>
            <w:r w:rsidRPr="000D237E">
              <w:rPr>
                <w:rFonts w:ascii="宋体" w:eastAsia="宋体" w:hAnsi="宋体" w:cs="宋体"/>
                <w:sz w:val="24"/>
                <w:szCs w:val="24"/>
              </w:rPr>
              <w:br/>
            </w:r>
            <w:r w:rsidRPr="000D237E">
              <w:rPr>
                <w:rFonts w:ascii="宋体" w:eastAsia="宋体" w:hAnsi="宋体" w:cs="宋体"/>
                <w:b/>
                <w:sz w:val="24"/>
                <w:szCs w:val="24"/>
              </w:rPr>
              <w:t xml:space="preserve">    10.能否介绍下公司“以客户为中心”重大改革的成果？</w:t>
            </w:r>
            <w:r w:rsidRPr="000D237E">
              <w:rPr>
                <w:rFonts w:ascii="宋体" w:eastAsia="宋体" w:hAnsi="宋体" w:cs="宋体"/>
                <w:b/>
                <w:sz w:val="24"/>
                <w:szCs w:val="24"/>
              </w:rPr>
              <w:br/>
            </w:r>
            <w:r w:rsidRPr="000D237E">
              <w:rPr>
                <w:rFonts w:ascii="宋体" w:eastAsia="宋体" w:hAnsi="宋体" w:cs="宋体"/>
                <w:sz w:val="24"/>
                <w:szCs w:val="24"/>
              </w:rPr>
              <w:t xml:space="preserve">    答:“以客户为中心”的重大改革既是对公司过去30多年发展的经验总结，也是未来发展的锚。坚持“以客户</w:t>
            </w:r>
            <w:r w:rsidRPr="000D237E">
              <w:rPr>
                <w:rFonts w:ascii="宋体" w:eastAsia="宋体" w:hAnsi="宋体" w:cs="宋体"/>
                <w:sz w:val="24"/>
                <w:szCs w:val="24"/>
              </w:rPr>
              <w:lastRenderedPageBreak/>
              <w:t>为中心”的改革，是对公司整个运营体系的全面重塑。</w:t>
            </w:r>
          </w:p>
          <w:p w14:paraId="7122ADF4" w14:textId="77777777" w:rsidR="0088109D"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 xml:space="preserve"> 一是组建了客户服务中心，更好落实“对外一个永安、对内一个客户”，实现客户服务的标准化、精细化、统一化管理，提升运营效率与客户体验。二是组建了投资管理部，统筹分散在各条线的资金和人才资源，加强投前投中投后管理，取得稳健投资收益的同时，扩大自有资金投资对各项业务发展的赋能作用。三是改造了面向产业客户的产融事业部，构建了“4（四大产业事业部）+1（产业协同发展部）”产业服务中台，进一步完善“触达-融合-合作”三阶递进的全生命周期服务。这种体系化的服务升级，印证了公司以客户需求驱动业务创新的发展逻辑，为推进公司高质量发展、高水平改革奠定了基础。谢谢！</w:t>
            </w:r>
            <w:r w:rsidRPr="000D237E">
              <w:rPr>
                <w:rFonts w:ascii="宋体" w:eastAsia="宋体" w:hAnsi="宋体" w:cs="宋体"/>
                <w:sz w:val="24"/>
                <w:szCs w:val="24"/>
              </w:rPr>
              <w:br/>
            </w:r>
            <w:r w:rsidRPr="000D237E">
              <w:rPr>
                <w:rFonts w:ascii="宋体" w:eastAsia="宋体" w:hAnsi="宋体" w:cs="宋体"/>
                <w:b/>
                <w:sz w:val="24"/>
                <w:szCs w:val="24"/>
              </w:rPr>
              <w:t xml:space="preserve">    11.公司2025年上半年营收下降的主要原因？</w:t>
            </w:r>
            <w:r w:rsidRPr="000D237E">
              <w:rPr>
                <w:rFonts w:ascii="宋体" w:eastAsia="宋体" w:hAnsi="宋体" w:cs="宋体"/>
                <w:b/>
                <w:sz w:val="24"/>
                <w:szCs w:val="24"/>
              </w:rPr>
              <w:br/>
            </w:r>
            <w:r w:rsidRPr="000D237E">
              <w:rPr>
                <w:rFonts w:ascii="宋体" w:eastAsia="宋体" w:hAnsi="宋体" w:cs="宋体"/>
                <w:sz w:val="24"/>
                <w:szCs w:val="24"/>
              </w:rPr>
              <w:t xml:space="preserve">    答:2025年上半年，公司营业收入55.56亿元，同比下降54.12%，变动原因主要是根据中国期货业协会2024年11月15日发布的《期货风险管理公司大宗商品风险管理业务管理规则》,公司自2025年1月1日起对同一交易日内签署采购和销售合同等六大类贸易类业务采用净额法确认收入。该调整仅影响财务报表中营业收入及营业支出的列示口径，对业务的盈亏没有影响。谢谢！</w:t>
            </w:r>
            <w:r w:rsidRPr="000D237E">
              <w:rPr>
                <w:rFonts w:ascii="宋体" w:eastAsia="宋体" w:hAnsi="宋体" w:cs="宋体"/>
                <w:sz w:val="24"/>
                <w:szCs w:val="24"/>
              </w:rPr>
              <w:br/>
            </w:r>
            <w:r w:rsidRPr="000D237E">
              <w:rPr>
                <w:rFonts w:ascii="宋体" w:eastAsia="宋体" w:hAnsi="宋体" w:cs="宋体"/>
                <w:b/>
                <w:sz w:val="24"/>
                <w:szCs w:val="24"/>
              </w:rPr>
              <w:t xml:space="preserve">    12.请问公司如何践行可持续发展理念，在ESG治理发展上有哪些举措？</w:t>
            </w:r>
            <w:r w:rsidRPr="000D237E">
              <w:rPr>
                <w:rFonts w:ascii="宋体" w:eastAsia="宋体" w:hAnsi="宋体" w:cs="宋体"/>
                <w:b/>
                <w:sz w:val="24"/>
                <w:szCs w:val="24"/>
              </w:rPr>
              <w:br/>
            </w:r>
            <w:r w:rsidRPr="000D237E">
              <w:rPr>
                <w:rFonts w:ascii="宋体" w:eastAsia="宋体" w:hAnsi="宋体" w:cs="宋体"/>
                <w:sz w:val="24"/>
                <w:szCs w:val="24"/>
              </w:rPr>
              <w:t xml:space="preserve">    答:ESG是一项关乎公司高质量、可持续发展的长效工作，公司以“永立潮头，安行致远”为可持续发展理念，始终秉持“国之大者”的责任担当，注重ESG工作背后的长期主义的价值取向。 </w:t>
            </w:r>
          </w:p>
          <w:p w14:paraId="020B8D08" w14:textId="05463317" w:rsidR="00BC4EB6" w:rsidRPr="000D237E" w:rsidRDefault="00BC4EB6" w:rsidP="00414D1F">
            <w:pPr>
              <w:pStyle w:val="TableParagraph"/>
              <w:spacing w:line="360" w:lineRule="auto"/>
              <w:ind w:firstLineChars="200" w:firstLine="480"/>
              <w:jc w:val="both"/>
              <w:rPr>
                <w:rFonts w:ascii="宋体" w:eastAsia="宋体" w:hAnsi="宋体" w:cs="宋体"/>
                <w:sz w:val="24"/>
                <w:szCs w:val="24"/>
              </w:rPr>
            </w:pPr>
            <w:r w:rsidRPr="000D237E">
              <w:rPr>
                <w:rFonts w:ascii="宋体" w:eastAsia="宋体" w:hAnsi="宋体" w:cs="宋体"/>
                <w:sz w:val="24"/>
                <w:szCs w:val="24"/>
              </w:rPr>
              <w:t>2025年，公司在可持续发展领域持续发力，着力完善ESG理念、体系与能力建设。首先，公司将董事会“战略</w:t>
            </w:r>
            <w:r w:rsidRPr="000D237E">
              <w:rPr>
                <w:rFonts w:ascii="宋体" w:eastAsia="宋体" w:hAnsi="宋体" w:cs="宋体"/>
                <w:sz w:val="24"/>
                <w:szCs w:val="24"/>
              </w:rPr>
              <w:lastRenderedPageBreak/>
              <w:t>发展委员会”调整为“战略与可持续发展委员会”，在此基础上持续优化ESG工作机制，完善ESG配套制度，规范ESG治理体系；其次，逐步健全“决策—管理—执行”三级治理架构，从“治理”、“战略”、“影响、风险和机遇管理”和“指标与目标”四个维度强化可持续发展管理，积极响应监管号召，于2025年4月发布首份可持续发展报告，形成了具有永安特色的披露框架和实践经验，推动公司市值管理迈上新台阶。谢谢！</w:t>
            </w:r>
          </w:p>
        </w:tc>
      </w:tr>
    </w:tbl>
    <w:p w14:paraId="2282EF74" w14:textId="77777777" w:rsidR="005D1722" w:rsidRDefault="005D1722">
      <w:pPr>
        <w:rPr>
          <w:rFonts w:ascii="宋体" w:eastAsia="宋体" w:hAnsi="宋体" w:cs="宋体"/>
          <w:sz w:val="28"/>
          <w:szCs w:val="36"/>
        </w:rPr>
      </w:pPr>
      <w:bookmarkStart w:id="0" w:name="_GoBack"/>
      <w:bookmarkEnd w:id="0"/>
    </w:p>
    <w:sectPr w:rsidR="005D172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B8C6" w14:textId="77777777" w:rsidR="001F1954" w:rsidRDefault="001F1954" w:rsidP="00FE3E51">
      <w:r>
        <w:separator/>
      </w:r>
    </w:p>
  </w:endnote>
  <w:endnote w:type="continuationSeparator" w:id="0">
    <w:p w14:paraId="04E81F0A" w14:textId="77777777" w:rsidR="001F1954" w:rsidRDefault="001F1954" w:rsidP="00FE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C3BC" w14:textId="77777777" w:rsidR="001F1954" w:rsidRDefault="001F1954" w:rsidP="00FE3E51">
      <w:r>
        <w:separator/>
      </w:r>
    </w:p>
  </w:footnote>
  <w:footnote w:type="continuationSeparator" w:id="0">
    <w:p w14:paraId="4B4F62C1" w14:textId="77777777" w:rsidR="001F1954" w:rsidRDefault="001F1954" w:rsidP="00FE3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6F4"/>
    <w:rsid w:val="00053CFA"/>
    <w:rsid w:val="000633EC"/>
    <w:rsid w:val="00063804"/>
    <w:rsid w:val="000665A2"/>
    <w:rsid w:val="000877AB"/>
    <w:rsid w:val="000B7C08"/>
    <w:rsid w:val="000D12CF"/>
    <w:rsid w:val="000D237E"/>
    <w:rsid w:val="000D2D88"/>
    <w:rsid w:val="000E062A"/>
    <w:rsid w:val="000E4B20"/>
    <w:rsid w:val="0011418F"/>
    <w:rsid w:val="00172C24"/>
    <w:rsid w:val="00173124"/>
    <w:rsid w:val="001E59D1"/>
    <w:rsid w:val="001E5EA4"/>
    <w:rsid w:val="001F1954"/>
    <w:rsid w:val="002042A7"/>
    <w:rsid w:val="00205911"/>
    <w:rsid w:val="002146AD"/>
    <w:rsid w:val="002274DE"/>
    <w:rsid w:val="00247C20"/>
    <w:rsid w:val="00275CB6"/>
    <w:rsid w:val="002800B5"/>
    <w:rsid w:val="00295B29"/>
    <w:rsid w:val="002D4073"/>
    <w:rsid w:val="002E7098"/>
    <w:rsid w:val="00301D32"/>
    <w:rsid w:val="0033548F"/>
    <w:rsid w:val="00366FAD"/>
    <w:rsid w:val="0037105B"/>
    <w:rsid w:val="003975BA"/>
    <w:rsid w:val="003A74E6"/>
    <w:rsid w:val="003A759C"/>
    <w:rsid w:val="003B73DD"/>
    <w:rsid w:val="003D011C"/>
    <w:rsid w:val="004108C7"/>
    <w:rsid w:val="00412DC2"/>
    <w:rsid w:val="00414D1F"/>
    <w:rsid w:val="00440041"/>
    <w:rsid w:val="00451268"/>
    <w:rsid w:val="004515AD"/>
    <w:rsid w:val="00451857"/>
    <w:rsid w:val="00453516"/>
    <w:rsid w:val="00457548"/>
    <w:rsid w:val="00470DB2"/>
    <w:rsid w:val="00481437"/>
    <w:rsid w:val="004925E7"/>
    <w:rsid w:val="00495B11"/>
    <w:rsid w:val="004F6FF3"/>
    <w:rsid w:val="00562602"/>
    <w:rsid w:val="00571B49"/>
    <w:rsid w:val="005743AE"/>
    <w:rsid w:val="005D1722"/>
    <w:rsid w:val="005D64CA"/>
    <w:rsid w:val="005E5717"/>
    <w:rsid w:val="005E6DB2"/>
    <w:rsid w:val="0061433E"/>
    <w:rsid w:val="0062751D"/>
    <w:rsid w:val="00631B78"/>
    <w:rsid w:val="006354AA"/>
    <w:rsid w:val="00641FFF"/>
    <w:rsid w:val="00661AFA"/>
    <w:rsid w:val="006726BF"/>
    <w:rsid w:val="00677B77"/>
    <w:rsid w:val="0068718A"/>
    <w:rsid w:val="006A2739"/>
    <w:rsid w:val="006B5C95"/>
    <w:rsid w:val="006C57AE"/>
    <w:rsid w:val="006D3F94"/>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109D"/>
    <w:rsid w:val="00893F25"/>
    <w:rsid w:val="00895035"/>
    <w:rsid w:val="008B2B14"/>
    <w:rsid w:val="008C6AED"/>
    <w:rsid w:val="008C7604"/>
    <w:rsid w:val="008E1B27"/>
    <w:rsid w:val="00903379"/>
    <w:rsid w:val="00906975"/>
    <w:rsid w:val="00917F0B"/>
    <w:rsid w:val="00917F8B"/>
    <w:rsid w:val="00953F0D"/>
    <w:rsid w:val="00960964"/>
    <w:rsid w:val="00965E4D"/>
    <w:rsid w:val="0097225F"/>
    <w:rsid w:val="009B1D5C"/>
    <w:rsid w:val="009C2E31"/>
    <w:rsid w:val="009E1955"/>
    <w:rsid w:val="00A3452E"/>
    <w:rsid w:val="00A527AA"/>
    <w:rsid w:val="00A5684D"/>
    <w:rsid w:val="00A75C61"/>
    <w:rsid w:val="00A86306"/>
    <w:rsid w:val="00A9601B"/>
    <w:rsid w:val="00AD100E"/>
    <w:rsid w:val="00AE1E36"/>
    <w:rsid w:val="00AF74AA"/>
    <w:rsid w:val="00B03C2F"/>
    <w:rsid w:val="00B13CD0"/>
    <w:rsid w:val="00B15064"/>
    <w:rsid w:val="00B340A3"/>
    <w:rsid w:val="00B410F5"/>
    <w:rsid w:val="00B6280C"/>
    <w:rsid w:val="00B671A4"/>
    <w:rsid w:val="00B72CD4"/>
    <w:rsid w:val="00B85B00"/>
    <w:rsid w:val="00BC4EB6"/>
    <w:rsid w:val="00BF132F"/>
    <w:rsid w:val="00C13878"/>
    <w:rsid w:val="00CA1705"/>
    <w:rsid w:val="00CC71C9"/>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A703D"/>
    <w:rsid w:val="00EC0F83"/>
    <w:rsid w:val="00EE3187"/>
    <w:rsid w:val="00EF499B"/>
    <w:rsid w:val="00F14977"/>
    <w:rsid w:val="00FB4A08"/>
    <w:rsid w:val="00FC0C2A"/>
    <w:rsid w:val="00FD7F8E"/>
    <w:rsid w:val="00FE3E51"/>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FA54772"/>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AC32B"/>
  <w15:docId w15:val="{E1270E0F-3E2F-4792-AACA-25D95D7F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CAAD-C5F9-401C-8D5F-D185AE6B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syw</cp:lastModifiedBy>
  <cp:revision>2</cp:revision>
  <dcterms:created xsi:type="dcterms:W3CDTF">2025-09-17T10:26:00Z</dcterms:created>
  <dcterms:modified xsi:type="dcterms:W3CDTF">2025-09-17T10:26:00Z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eyJoZGlkIjoiODRlYzcyYjBhYjdiNDQ2NjdiODY5YmM2NjQ0YWRiYTUiLCJ1c2VySWQiOiIzNzg0MjgzNjQifQ==</vt:lpwstr>
  </property>
</Properties>
</file>