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16610">
      <w:pPr>
        <w:pStyle w:val="2"/>
        <w:rPr>
          <w:rFonts w:ascii="宋体" w:hAnsi="宋体" w:eastAsia="宋体" w:cs="宋体"/>
          <w:sz w:val="20"/>
          <w:szCs w:val="20"/>
          <w:lang w:val="en-US"/>
        </w:rPr>
      </w:pPr>
      <w:r>
        <w:rPr>
          <w:rFonts w:hint="eastAsia" w:ascii="宋体" w:hAnsi="宋体" w:eastAsia="宋体" w:cs="宋体"/>
          <w:sz w:val="20"/>
          <w:szCs w:val="20"/>
          <w:lang w:val="en-US"/>
        </w:rPr>
        <w:t xml:space="preserve">证券代码：600231   </w:t>
      </w:r>
      <w:r>
        <w:rPr>
          <w:rFonts w:hint="eastAsia" w:ascii="宋体" w:hAnsi="宋体" w:eastAsia="宋体" w:cs="宋体"/>
          <w:sz w:val="21"/>
          <w:szCs w:val="21"/>
          <w:lang w:val="en-US"/>
        </w:rPr>
        <w:t xml:space="preserve">                                      </w:t>
      </w:r>
      <w:r>
        <w:rPr>
          <w:rFonts w:hint="eastAsia" w:ascii="宋体" w:hAnsi="宋体" w:eastAsia="宋体" w:cs="宋体"/>
          <w:sz w:val="20"/>
          <w:szCs w:val="20"/>
          <w:lang w:val="en-US"/>
        </w:rPr>
        <w:t>证券简称：凌钢股份</w:t>
      </w:r>
    </w:p>
    <w:p w14:paraId="627805C0">
      <w:pPr>
        <w:rPr>
          <w:rFonts w:ascii="宋体" w:hAnsi="宋体" w:eastAsia="宋体" w:cs="宋体"/>
          <w:sz w:val="20"/>
          <w:szCs w:val="20"/>
          <w:lang w:val="en-US"/>
        </w:rPr>
      </w:pPr>
      <w:r>
        <w:rPr>
          <w:rFonts w:hint="eastAsia" w:ascii="宋体" w:hAnsi="宋体" w:eastAsia="宋体" w:cs="宋体"/>
          <w:sz w:val="20"/>
          <w:szCs w:val="20"/>
          <w:lang w:val="en-US"/>
        </w:rPr>
        <w:t>转债代码：110070                                           转债简称：凌钢转债</w:t>
      </w:r>
    </w:p>
    <w:p w14:paraId="32320E8B">
      <w:pPr>
        <w:spacing w:line="360" w:lineRule="auto"/>
        <w:rPr>
          <w:rFonts w:ascii="宋体" w:hAnsi="宋体" w:eastAsia="宋体" w:cs="宋体"/>
          <w:b/>
          <w:bCs/>
          <w:sz w:val="44"/>
          <w:szCs w:val="44"/>
          <w:lang w:val="en-US"/>
        </w:rPr>
      </w:pPr>
    </w:p>
    <w:p w14:paraId="73E14E3C">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凌源钢铁股份有限公司</w:t>
      </w:r>
    </w:p>
    <w:p w14:paraId="55D178B0">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15C5A1E8">
      <w:pPr>
        <w:spacing w:before="51" w:after="32"/>
        <w:ind w:right="619"/>
        <w:jc w:val="right"/>
        <w:rPr>
          <w:rFonts w:ascii="宋体" w:hAnsi="宋体" w:eastAsia="宋体" w:cs="宋体"/>
          <w:sz w:val="20"/>
          <w:szCs w:val="20"/>
          <w:lang w:val="en-US"/>
        </w:rPr>
      </w:pPr>
      <w:r>
        <w:rPr>
          <w:rFonts w:hint="eastAsia" w:ascii="宋体" w:hAnsi="宋体" w:eastAsia="宋体" w:cs="宋体"/>
          <w:sz w:val="20"/>
          <w:szCs w:val="20"/>
        </w:rPr>
        <w:t>编号：</w:t>
      </w:r>
      <w:r>
        <w:rPr>
          <w:rFonts w:hint="eastAsia" w:ascii="宋体" w:hAnsi="宋体" w:eastAsia="宋体" w:cs="宋体"/>
          <w:sz w:val="20"/>
          <w:szCs w:val="20"/>
          <w:lang w:val="en-US"/>
        </w:rPr>
        <w:t>2025</w:t>
      </w:r>
      <w:r>
        <w:rPr>
          <w:rFonts w:hint="eastAsia" w:ascii="宋体" w:hAnsi="宋体" w:eastAsia="宋体" w:cs="宋体"/>
          <w:sz w:val="20"/>
          <w:szCs w:val="20"/>
        </w:rPr>
        <w:t xml:space="preserve"> -00</w:t>
      </w:r>
      <w:r>
        <w:rPr>
          <w:rFonts w:hint="eastAsia" w:ascii="宋体" w:hAnsi="宋体" w:eastAsia="宋体" w:cs="宋体"/>
          <w:sz w:val="20"/>
          <w:szCs w:val="20"/>
          <w:lang w:val="en-US"/>
        </w:rPr>
        <w:t>8</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30330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069B05F3">
            <w:pPr>
              <w:pStyle w:val="12"/>
              <w:spacing w:before="7"/>
              <w:rPr>
                <w:rFonts w:ascii="宋体" w:hAnsi="宋体" w:eastAsia="宋体" w:cs="宋体"/>
                <w:b/>
                <w:bCs/>
                <w:sz w:val="20"/>
                <w:szCs w:val="20"/>
              </w:rPr>
            </w:pPr>
          </w:p>
          <w:p w14:paraId="4391DEBA">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14216BED">
            <w:pPr>
              <w:pStyle w:val="12"/>
              <w:spacing w:before="7"/>
              <w:rPr>
                <w:rFonts w:ascii="宋体" w:hAnsi="宋体" w:eastAsia="宋体" w:cs="宋体"/>
                <w:sz w:val="20"/>
                <w:szCs w:val="20"/>
              </w:rPr>
            </w:pPr>
          </w:p>
          <w:p w14:paraId="04FD3B32">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宋体" w:hAnsi="宋体" w:eastAsia="宋体" w:cs="宋体"/>
                    <w:sz w:val="20"/>
                    <w:szCs w:val="20"/>
                  </w:rPr>
                  <w:sym w:font="Wingdings 2" w:char="F052"/>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bookmarkStart w:id="0" w:name="OLE_LINK29"/>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bookmarkEnd w:id="0"/>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741010EE">
            <w:pPr>
              <w:pStyle w:val="12"/>
              <w:spacing w:before="11"/>
              <w:rPr>
                <w:rFonts w:ascii="宋体" w:hAnsi="宋体" w:eastAsia="宋体" w:cs="宋体"/>
                <w:sz w:val="20"/>
                <w:szCs w:val="20"/>
              </w:rPr>
            </w:pPr>
          </w:p>
          <w:p w14:paraId="16E4324C">
            <w:pPr>
              <w:pStyle w:val="12"/>
              <w:tabs>
                <w:tab w:val="left" w:pos="2418"/>
              </w:tabs>
              <w:ind w:left="107"/>
              <w:rPr>
                <w:rFonts w:ascii="宋体" w:hAnsi="宋体" w:eastAsia="宋体" w:cs="宋体"/>
                <w:sz w:val="20"/>
                <w:szCs w:val="20"/>
              </w:rPr>
            </w:pPr>
            <w:bookmarkStart w:id="1" w:name="OLE_LINK31"/>
            <w:bookmarkStart w:id="2" w:name="OLE_LINK30"/>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bookmarkEnd w:id="1"/>
            <w:bookmarkEnd w:id="2"/>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39CB69B6">
            <w:pPr>
              <w:pStyle w:val="12"/>
              <w:spacing w:before="8"/>
              <w:rPr>
                <w:rFonts w:ascii="宋体" w:hAnsi="宋体" w:eastAsia="宋体" w:cs="宋体"/>
                <w:sz w:val="20"/>
                <w:szCs w:val="20"/>
              </w:rPr>
            </w:pPr>
          </w:p>
          <w:p w14:paraId="70A6223D">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bookmarkStart w:id="3" w:name="OLE_LINK28"/>
                <w:bookmarkStart w:id="4" w:name="OLE_LINK27"/>
                <w:r>
                  <w:rPr>
                    <w:rFonts w:hint="eastAsia" w:ascii="MS Gothic" w:hAnsi="MS Gothic" w:eastAsia="MS Gothic" w:cs="宋体"/>
                    <w:sz w:val="20"/>
                    <w:szCs w:val="20"/>
                  </w:rPr>
                  <w:t>☐</w:t>
                </w:r>
              </w:sdtContent>
            </w:sdt>
            <w:r>
              <w:rPr>
                <w:rFonts w:hint="eastAsia" w:ascii="宋体" w:hAnsi="宋体" w:eastAsia="宋体" w:cs="宋体"/>
                <w:sz w:val="20"/>
                <w:szCs w:val="20"/>
              </w:rPr>
              <w:t>路</w:t>
            </w:r>
            <w:bookmarkEnd w:id="3"/>
            <w:bookmarkEnd w:id="4"/>
            <w:r>
              <w:rPr>
                <w:rFonts w:hint="eastAsia" w:ascii="宋体" w:hAnsi="宋体" w:eastAsia="宋体" w:cs="宋体"/>
                <w:spacing w:val="-3"/>
                <w:sz w:val="20"/>
                <w:szCs w:val="20"/>
              </w:rPr>
              <w:t>演</w:t>
            </w:r>
            <w:r>
              <w:rPr>
                <w:rFonts w:hint="eastAsia" w:ascii="宋体" w:hAnsi="宋体" w:eastAsia="宋体" w:cs="宋体"/>
                <w:sz w:val="20"/>
                <w:szCs w:val="20"/>
              </w:rPr>
              <w:t>活动</w:t>
            </w:r>
          </w:p>
          <w:p w14:paraId="3AEBA136">
            <w:pPr>
              <w:pStyle w:val="12"/>
              <w:spacing w:before="8"/>
              <w:rPr>
                <w:rFonts w:ascii="宋体" w:hAnsi="宋体" w:eastAsia="宋体" w:cs="宋体"/>
                <w:sz w:val="20"/>
                <w:szCs w:val="20"/>
              </w:rPr>
            </w:pPr>
          </w:p>
          <w:p w14:paraId="1C555CE6">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宋体" w:hAnsi="宋体" w:eastAsia="宋体" w:cs="宋体"/>
                    <w:sz w:val="20"/>
                    <w:szCs w:val="20"/>
                  </w:rPr>
                  <w:sym w:font="Wingdings 2" w:char="F052"/>
                </w:r>
              </w:sdtContent>
            </w:sdt>
            <w:r>
              <w:rPr>
                <w:rFonts w:hint="eastAsia" w:ascii="宋体" w:hAnsi="宋体" w:eastAsia="宋体" w:cs="宋体"/>
                <w:sz w:val="20"/>
                <w:szCs w:val="20"/>
              </w:rPr>
              <w:t>现场参观</w:t>
            </w:r>
          </w:p>
          <w:p w14:paraId="53DEFCF7">
            <w:pPr>
              <w:pStyle w:val="12"/>
              <w:spacing w:before="11"/>
              <w:rPr>
                <w:rFonts w:ascii="宋体" w:hAnsi="宋体" w:eastAsia="宋体" w:cs="宋体"/>
                <w:sz w:val="20"/>
                <w:szCs w:val="20"/>
              </w:rPr>
            </w:pPr>
          </w:p>
          <w:p w14:paraId="37AFAE82">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lang w:val="en-US"/>
              </w:rPr>
              <w:t>上市公司交流会</w:t>
            </w:r>
            <w:r>
              <w:rPr>
                <w:rFonts w:hint="eastAsia" w:ascii="宋体" w:hAnsi="宋体" w:eastAsia="宋体" w:cs="宋体"/>
                <w:sz w:val="20"/>
                <w:szCs w:val="20"/>
                <w:u w:val="single"/>
              </w:rPr>
              <w:t>）</w:t>
            </w:r>
          </w:p>
        </w:tc>
      </w:tr>
      <w:tr w14:paraId="659FE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27" w:hRule="atLeast"/>
          <w:jc w:val="center"/>
        </w:trPr>
        <w:tc>
          <w:tcPr>
            <w:tcW w:w="2580" w:type="dxa"/>
            <w:vAlign w:val="center"/>
          </w:tcPr>
          <w:p w14:paraId="460AABC6">
            <w:pPr>
              <w:pStyle w:val="12"/>
              <w:spacing w:line="560" w:lineRule="exact"/>
              <w:ind w:right="96"/>
              <w:jc w:val="both"/>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0973BFA0">
            <w:pPr>
              <w:pStyle w:val="12"/>
              <w:spacing w:line="360" w:lineRule="auto"/>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color w:val="auto"/>
                <w:sz w:val="20"/>
                <w:szCs w:val="20"/>
                <w:lang w:val="en-US"/>
              </w:rPr>
              <w:t>银河证券</w:t>
            </w:r>
            <w:r>
              <w:rPr>
                <w:rFonts w:hint="eastAsia" w:asciiTheme="minorEastAsia" w:hAnsiTheme="minorEastAsia" w:eastAsiaTheme="minorEastAsia" w:cstheme="minorEastAsia"/>
                <w:color w:val="auto"/>
                <w:sz w:val="20"/>
                <w:szCs w:val="20"/>
                <w:lang w:val="en-US" w:eastAsia="zh-CN"/>
              </w:rPr>
              <w:t xml:space="preserve"> 赵中兴 佟毅</w:t>
            </w:r>
          </w:p>
        </w:tc>
      </w:tr>
      <w:tr w14:paraId="653FB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5771894">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60F74570">
            <w:pPr>
              <w:spacing w:before="100" w:beforeAutospacing="1" w:line="360" w:lineRule="auto"/>
              <w:jc w:val="both"/>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2025年</w:t>
            </w:r>
            <w:r>
              <w:rPr>
                <w:rFonts w:hint="eastAsia" w:asciiTheme="minorEastAsia" w:hAnsiTheme="minorEastAsia" w:eastAsiaTheme="minorEastAsia" w:cstheme="minorEastAsia"/>
                <w:sz w:val="20"/>
                <w:szCs w:val="20"/>
                <w:lang w:val="en-US"/>
              </w:rPr>
              <w:t>9</w:t>
            </w:r>
            <w:r>
              <w:rPr>
                <w:rFonts w:hint="eastAsia" w:asciiTheme="minorEastAsia" w:hAnsiTheme="minorEastAsia" w:eastAsiaTheme="minorEastAsia" w:cstheme="minorEastAsia"/>
                <w:sz w:val="20"/>
                <w:szCs w:val="20"/>
              </w:rPr>
              <w:t>月</w:t>
            </w:r>
            <w:r>
              <w:rPr>
                <w:rFonts w:hint="eastAsia" w:asciiTheme="minorEastAsia" w:hAnsiTheme="minorEastAsia" w:eastAsiaTheme="minorEastAsia" w:cstheme="minorEastAsia"/>
                <w:sz w:val="20"/>
                <w:szCs w:val="20"/>
                <w:lang w:val="en-US"/>
              </w:rPr>
              <w:t>17</w:t>
            </w:r>
            <w:r>
              <w:rPr>
                <w:rFonts w:hint="eastAsia" w:asciiTheme="minorEastAsia" w:hAnsiTheme="minorEastAsia" w:eastAsiaTheme="minorEastAsia" w:cstheme="minorEastAsia"/>
                <w:sz w:val="20"/>
                <w:szCs w:val="20"/>
              </w:rPr>
              <w:t>日上午10:00厂内参观，下午13:10-14:10调研会议</w:t>
            </w:r>
          </w:p>
        </w:tc>
      </w:tr>
      <w:tr w14:paraId="6DD96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6ACE98F7">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16315540">
            <w:pPr>
              <w:pStyle w:val="12"/>
              <w:spacing w:before="100" w:beforeAutospacing="1" w:line="360" w:lineRule="auto"/>
              <w:jc w:val="both"/>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行政楼308会议室</w:t>
            </w:r>
          </w:p>
        </w:tc>
      </w:tr>
      <w:tr w14:paraId="33B91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104179C6">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2BD952DC">
            <w:pPr>
              <w:pStyle w:val="12"/>
              <w:spacing w:before="100" w:beforeAutospacing="1" w:line="360" w:lineRule="auto"/>
              <w:rPr>
                <w:rFonts w:asciiTheme="minorEastAsia" w:hAnsiTheme="minorEastAsia" w:eastAsiaTheme="minorEastAsia" w:cstheme="minorEastAsia"/>
                <w:sz w:val="20"/>
                <w:szCs w:val="20"/>
              </w:rPr>
            </w:pPr>
            <w:r>
              <w:rPr>
                <w:rFonts w:hint="eastAsia" w:asciiTheme="minorEastAsia" w:hAnsiTheme="minorEastAsia" w:eastAsiaTheme="minorEastAsia" w:cstheme="minorEastAsia"/>
                <w:bCs/>
                <w:sz w:val="20"/>
                <w:szCs w:val="20"/>
              </w:rPr>
              <w:t>代行董事会秘书职责的董事、副总经理、总会计师由宇</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证券事务代表 田雪源</w:t>
            </w:r>
          </w:p>
        </w:tc>
      </w:tr>
      <w:tr w14:paraId="01F74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277762E3">
            <w:pPr>
              <w:pStyle w:val="12"/>
              <w:rPr>
                <w:rFonts w:ascii="宋体" w:hAnsi="宋体" w:eastAsia="宋体" w:cs="宋体"/>
                <w:b/>
                <w:bCs/>
                <w:sz w:val="20"/>
                <w:szCs w:val="20"/>
              </w:rPr>
            </w:pPr>
          </w:p>
          <w:p w14:paraId="63512A59">
            <w:pPr>
              <w:pStyle w:val="12"/>
              <w:rPr>
                <w:rFonts w:ascii="宋体" w:hAnsi="宋体" w:eastAsia="宋体" w:cs="宋体"/>
                <w:b/>
                <w:bCs/>
                <w:sz w:val="20"/>
                <w:szCs w:val="20"/>
              </w:rPr>
            </w:pPr>
          </w:p>
          <w:p w14:paraId="6267E76C">
            <w:pPr>
              <w:pStyle w:val="12"/>
              <w:spacing w:before="5"/>
              <w:rPr>
                <w:rFonts w:ascii="宋体" w:hAnsi="宋体" w:eastAsia="宋体" w:cs="宋体"/>
                <w:b/>
                <w:bCs/>
                <w:sz w:val="20"/>
                <w:szCs w:val="20"/>
              </w:rPr>
            </w:pPr>
          </w:p>
          <w:p w14:paraId="6589D267">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4332FF79">
            <w:pPr>
              <w:pStyle w:val="12"/>
              <w:spacing w:before="100" w:beforeAutospacing="1" w:line="360" w:lineRule="auto"/>
              <w:ind w:firstLine="420"/>
              <w:contextualSpacing/>
              <w:rPr>
                <w:rFonts w:hint="eastAsia" w:ascii="宋体" w:hAnsi="宋体" w:eastAsia="宋体" w:cs="宋体"/>
                <w:b/>
                <w:sz w:val="20"/>
              </w:rPr>
            </w:pPr>
            <w:r>
              <w:rPr>
                <w:rFonts w:ascii="宋体" w:hAnsi="宋体" w:eastAsia="宋体" w:cs="宋体"/>
                <w:b/>
                <w:sz w:val="20"/>
              </w:rPr>
              <w:t>1. 2025年度估值提升计划角度来看，公司在25年估值提升具体举措与进展？</w:t>
            </w:r>
          </w:p>
          <w:p w14:paraId="1EA47883">
            <w:pPr>
              <w:pStyle w:val="12"/>
              <w:spacing w:before="100" w:beforeAutospacing="1" w:line="360" w:lineRule="auto"/>
              <w:ind w:firstLine="420"/>
              <w:contextualSpacing/>
              <w:rPr>
                <w:rFonts w:hint="eastAsia" w:ascii="宋体" w:hAnsi="宋体" w:eastAsia="宋体" w:cs="宋体"/>
                <w:bCs/>
                <w:sz w:val="20"/>
                <w:lang w:val="en-US"/>
              </w:rPr>
            </w:pPr>
            <w:r>
              <w:rPr>
                <w:rFonts w:hint="eastAsia" w:ascii="宋体" w:hAnsi="宋体" w:eastAsia="宋体" w:cs="宋体"/>
                <w:b/>
                <w:sz w:val="20"/>
              </w:rPr>
              <w:t>答：</w:t>
            </w:r>
            <w:r>
              <w:rPr>
                <w:rFonts w:hint="eastAsia" w:ascii="宋体" w:hAnsi="宋体" w:eastAsia="宋体" w:cs="宋体"/>
                <w:bCs/>
                <w:sz w:val="20"/>
                <w:lang w:val="en-US"/>
              </w:rPr>
              <w:t>公司根据《估值提升计划》积极开展和落实各项工作，公司紧紧围绕“聚力攻坚五个重点，推动实现四个新提升”总体工作方针和“</w:t>
            </w:r>
            <w:r>
              <w:rPr>
                <w:rFonts w:ascii="宋体" w:hAnsi="宋体" w:eastAsia="宋体" w:cs="宋体"/>
                <w:bCs/>
                <w:sz w:val="20"/>
                <w:lang w:val="en-US"/>
              </w:rPr>
              <w:t>1357”工作部署，带领全体干部职工逆势而上、扎实工作，生产经营总体稳定，重点项目陆续投产，改革融合持续深化。坚持对标挖潜，着力成本管控，转变思维，主动拓源增效，去螺增优，全力开拓市场。锚定高端化、智能化、绿色化方向，加快推进转型升级，推进高端化，领航钢铁品质新高度。守正创新、整合融合，深化改革增势赋能。2024年限制性股票激励计划规定的限制性股票预留授予条件已成就，向符合授予条件的96名激励</w:t>
            </w:r>
            <w:r>
              <w:rPr>
                <w:rFonts w:hint="eastAsia" w:ascii="宋体" w:hAnsi="宋体" w:eastAsia="宋体" w:cs="宋体"/>
                <w:bCs/>
                <w:sz w:val="20"/>
                <w:lang w:val="en-US"/>
              </w:rPr>
              <w:t>对象预留授予</w:t>
            </w:r>
            <w:r>
              <w:rPr>
                <w:rFonts w:ascii="宋体" w:hAnsi="宋体" w:eastAsia="宋体" w:cs="宋体"/>
                <w:bCs/>
                <w:sz w:val="20"/>
                <w:lang w:val="en-US"/>
              </w:rPr>
              <w:t>531万股限制性股票；公司保持电话、邮箱、传真等投资者沟通渠道畅通，召开了2024年年度报告和一季报业绩说明会、半年度业绩说明会并参加了鞍钢集团上市公</w:t>
            </w:r>
            <w:bookmarkStart w:id="5" w:name="OLE_LINK52"/>
            <w:r>
              <w:rPr>
                <w:rFonts w:ascii="宋体" w:hAnsi="宋体" w:eastAsia="宋体" w:cs="宋体"/>
                <w:bCs/>
                <w:sz w:val="20"/>
                <w:lang w:val="en-US"/>
              </w:rPr>
              <w:t>司集团投资者交流会，积极参加证券公司组织的策略会；再次制定并启动实施以集中竞价交易方式回购公司股份5,000万元~10,000万元的方案；取消监事会设置，新设1名职工董事等，并及时对《公司章程》等制度进行修订，进一步健全完善公司法人治理结构。</w:t>
            </w:r>
            <w:bookmarkEnd w:id="5"/>
          </w:p>
          <w:p w14:paraId="048D27A0">
            <w:pPr>
              <w:pStyle w:val="12"/>
              <w:spacing w:before="100" w:beforeAutospacing="1" w:line="360" w:lineRule="auto"/>
              <w:ind w:firstLine="295" w:firstLineChars="147"/>
              <w:contextualSpacing/>
              <w:rPr>
                <w:rFonts w:hint="eastAsia" w:ascii="宋体" w:hAnsi="宋体" w:eastAsia="宋体" w:cs="宋体"/>
                <w:b/>
                <w:sz w:val="20"/>
              </w:rPr>
            </w:pPr>
            <w:r>
              <w:rPr>
                <w:rFonts w:ascii="宋体" w:hAnsi="宋体" w:eastAsia="宋体" w:cs="宋体"/>
                <w:b/>
                <w:sz w:val="20"/>
              </w:rPr>
              <w:t>2.</w:t>
            </w:r>
            <w:bookmarkStart w:id="6" w:name="OLE_LINK37"/>
            <w:bookmarkStart w:id="7" w:name="OLE_LINK38"/>
            <w:r>
              <w:rPr>
                <w:rFonts w:hint="eastAsia" w:ascii="宋体" w:hAnsi="宋体" w:eastAsia="宋体" w:cs="宋体"/>
                <w:b/>
                <w:sz w:val="20"/>
              </w:rPr>
              <w:t xml:space="preserve"> 公司产能置换工作进展情况，旧高炉拆除和新高炉建设较大的资本开支是否给财务状况带来的压力？</w:t>
            </w:r>
            <w:bookmarkEnd w:id="6"/>
            <w:bookmarkEnd w:id="7"/>
          </w:p>
          <w:p w14:paraId="1EAC66E3">
            <w:pPr>
              <w:spacing w:line="360" w:lineRule="auto"/>
              <w:ind w:firstLine="300" w:firstLineChars="150"/>
              <w:rPr>
                <w:rFonts w:ascii="宋体" w:hAnsi="宋体" w:eastAsia="宋体" w:cs="宋体"/>
                <w:bCs/>
                <w:sz w:val="20"/>
                <w:szCs w:val="22"/>
                <w:lang w:val="en-US" w:eastAsia="zh-CN" w:bidi="zh-CN"/>
              </w:rPr>
            </w:pPr>
            <w:bookmarkStart w:id="8" w:name="OLE_LINK51"/>
            <w:bookmarkStart w:id="9" w:name="OLE_LINK50"/>
            <w:r>
              <w:rPr>
                <w:rFonts w:hint="eastAsia" w:ascii="宋体" w:hAnsi="宋体" w:eastAsia="宋体" w:cs="宋体"/>
                <w:bCs/>
                <w:sz w:val="20"/>
                <w:szCs w:val="22"/>
                <w:lang w:val="en-US" w:eastAsia="zh-CN" w:bidi="zh-CN"/>
              </w:rPr>
              <w:t>答：</w:t>
            </w:r>
            <w:bookmarkStart w:id="10" w:name="OLE_LINK48"/>
            <w:bookmarkStart w:id="11" w:name="OLE_LINK49"/>
            <w:r>
              <w:rPr>
                <w:rFonts w:hint="eastAsia" w:ascii="宋体" w:hAnsi="宋体" w:eastAsia="宋体" w:cs="宋体"/>
                <w:bCs/>
                <w:sz w:val="20"/>
                <w:szCs w:val="22"/>
                <w:lang w:val="en-US" w:eastAsia="zh-CN" w:bidi="zh-CN"/>
              </w:rPr>
              <w:t>1#</w:t>
            </w:r>
            <w:r>
              <w:rPr>
                <w:rFonts w:hint="eastAsia" w:ascii="宋体" w:hAnsi="宋体" w:eastAsia="宋体" w:cs="宋体"/>
                <w:bCs/>
                <w:color w:val="auto"/>
                <w:sz w:val="20"/>
                <w:szCs w:val="22"/>
                <w:lang w:val="en-US" w:eastAsia="zh-CN" w:bidi="zh-CN"/>
              </w:rPr>
              <w:t>—4#高炉装备升级建设项目计划投资21.26亿元，项目</w:t>
            </w:r>
            <w:r>
              <w:rPr>
                <w:rFonts w:ascii="宋体" w:hAnsi="宋体" w:eastAsia="宋体" w:cs="宋体"/>
                <w:bCs/>
                <w:color w:val="auto"/>
                <w:sz w:val="20"/>
                <w:szCs w:val="22"/>
                <w:lang w:val="en-US" w:eastAsia="zh-CN" w:bidi="zh-CN"/>
              </w:rPr>
              <w:t>2024</w:t>
            </w:r>
            <w:r>
              <w:rPr>
                <w:rFonts w:hint="eastAsia" w:ascii="宋体" w:hAnsi="宋体" w:eastAsia="宋体" w:cs="宋体"/>
                <w:bCs/>
                <w:color w:val="auto"/>
                <w:sz w:val="20"/>
                <w:szCs w:val="22"/>
                <w:lang w:val="en-US" w:eastAsia="zh-CN" w:bidi="zh-CN"/>
              </w:rPr>
              <w:t>年</w:t>
            </w:r>
            <w:r>
              <w:rPr>
                <w:rFonts w:ascii="宋体" w:hAnsi="宋体" w:eastAsia="宋体" w:cs="宋体"/>
                <w:bCs/>
                <w:color w:val="auto"/>
                <w:sz w:val="20"/>
                <w:szCs w:val="22"/>
                <w:lang w:val="en-US" w:eastAsia="zh-CN" w:bidi="zh-CN"/>
              </w:rPr>
              <w:t>7</w:t>
            </w:r>
            <w:r>
              <w:rPr>
                <w:rFonts w:hint="eastAsia" w:ascii="宋体" w:hAnsi="宋体" w:eastAsia="宋体" w:cs="宋体"/>
                <w:bCs/>
                <w:color w:val="auto"/>
                <w:sz w:val="20"/>
                <w:szCs w:val="22"/>
                <w:lang w:val="en-US" w:eastAsia="zh-CN" w:bidi="zh-CN"/>
              </w:rPr>
              <w:t>月开工，2025年5月27日，公司新建的2290m3高炉成功出铁，顺利投产。项目用于产能置换的2座450m³高炉已拆除完成，1座1000m³高炉已实现去功能化拆除，不具备恢复生产条件，计划拆除，</w:t>
            </w:r>
            <w:r>
              <w:rPr>
                <w:rFonts w:hint="eastAsia" w:ascii="宋体" w:hAnsi="宋体" w:eastAsia="宋体" w:cs="宋体"/>
                <w:bCs/>
                <w:sz w:val="20"/>
                <w:szCs w:val="22"/>
                <w:lang w:val="en-US" w:eastAsia="zh-CN" w:bidi="zh-CN"/>
              </w:rPr>
              <w:t>新高炉（6#高炉）建设已投入</w:t>
            </w:r>
            <w:r>
              <w:rPr>
                <w:rFonts w:ascii="宋体" w:hAnsi="宋体" w:eastAsia="宋体" w:cs="宋体"/>
                <w:bCs/>
                <w:sz w:val="20"/>
                <w:szCs w:val="22"/>
                <w:lang w:val="en-US" w:eastAsia="zh-CN" w:bidi="zh-CN"/>
              </w:rPr>
              <w:t>7.64</w:t>
            </w:r>
            <w:r>
              <w:rPr>
                <w:rFonts w:hint="eastAsia" w:ascii="宋体" w:hAnsi="宋体" w:eastAsia="宋体" w:cs="宋体"/>
                <w:bCs/>
                <w:sz w:val="20"/>
                <w:szCs w:val="22"/>
                <w:lang w:val="en-US" w:eastAsia="zh-CN" w:bidi="zh-CN"/>
              </w:rPr>
              <w:t>亿元。较大的资本开支给企业经营带来了压力，但公司提前谋划，积极面对投资压力，通过精密组织，实现新高炉顺利投产</w:t>
            </w:r>
            <w:bookmarkStart w:id="16" w:name="_GoBack"/>
            <w:bookmarkEnd w:id="16"/>
            <w:r>
              <w:rPr>
                <w:rFonts w:hint="eastAsia" w:ascii="宋体" w:hAnsi="宋体" w:eastAsia="宋体" w:cs="宋体"/>
                <w:bCs/>
                <w:sz w:val="20"/>
                <w:szCs w:val="22"/>
                <w:lang w:val="en-US" w:eastAsia="zh-CN" w:bidi="zh-CN"/>
              </w:rPr>
              <w:t>，积极筹措资金，增加授信额度，截止</w:t>
            </w:r>
            <w:r>
              <w:rPr>
                <w:rFonts w:ascii="宋体" w:hAnsi="宋体" w:eastAsia="宋体" w:cs="宋体"/>
                <w:bCs/>
                <w:sz w:val="20"/>
                <w:szCs w:val="22"/>
                <w:lang w:val="en-US" w:eastAsia="zh-CN" w:bidi="zh-CN"/>
              </w:rPr>
              <w:t>6</w:t>
            </w:r>
            <w:r>
              <w:rPr>
                <w:rFonts w:hint="eastAsia" w:ascii="宋体" w:hAnsi="宋体" w:eastAsia="宋体" w:cs="宋体"/>
                <w:bCs/>
                <w:sz w:val="20"/>
                <w:szCs w:val="22"/>
                <w:lang w:val="en-US" w:eastAsia="zh-CN" w:bidi="zh-CN"/>
              </w:rPr>
              <w:t>月末，授信总额</w:t>
            </w:r>
            <w:r>
              <w:rPr>
                <w:rFonts w:ascii="宋体" w:hAnsi="宋体" w:eastAsia="宋体" w:cs="宋体"/>
                <w:bCs/>
                <w:sz w:val="20"/>
                <w:szCs w:val="22"/>
                <w:lang w:val="en-US" w:eastAsia="zh-CN" w:bidi="zh-CN"/>
              </w:rPr>
              <w:t>153.01</w:t>
            </w:r>
            <w:r>
              <w:rPr>
                <w:rFonts w:hint="eastAsia" w:ascii="宋体" w:hAnsi="宋体" w:eastAsia="宋体" w:cs="宋体"/>
                <w:bCs/>
                <w:sz w:val="20"/>
                <w:szCs w:val="22"/>
                <w:lang w:val="en-US" w:eastAsia="zh-CN" w:bidi="zh-CN"/>
              </w:rPr>
              <w:t>亿元，授信余额</w:t>
            </w:r>
            <w:r>
              <w:rPr>
                <w:rFonts w:ascii="宋体" w:hAnsi="宋体" w:eastAsia="宋体" w:cs="宋体"/>
                <w:bCs/>
                <w:sz w:val="20"/>
                <w:szCs w:val="22"/>
                <w:lang w:val="en-US" w:eastAsia="zh-CN" w:bidi="zh-CN"/>
              </w:rPr>
              <w:t>88</w:t>
            </w:r>
            <w:r>
              <w:rPr>
                <w:rFonts w:hint="eastAsia" w:ascii="宋体" w:hAnsi="宋体" w:eastAsia="宋体" w:cs="宋体"/>
                <w:bCs/>
                <w:sz w:val="20"/>
                <w:szCs w:val="22"/>
                <w:lang w:val="en-US" w:eastAsia="zh-CN" w:bidi="zh-CN"/>
              </w:rPr>
              <w:t>亿元，优化融资结构，办理高炉装备升级项目专项贷款</w:t>
            </w:r>
            <w:r>
              <w:rPr>
                <w:rFonts w:ascii="宋体" w:hAnsi="宋体" w:eastAsia="宋体" w:cs="宋体"/>
                <w:bCs/>
                <w:sz w:val="20"/>
                <w:szCs w:val="22"/>
                <w:lang w:val="en-US" w:eastAsia="zh-CN" w:bidi="zh-CN"/>
              </w:rPr>
              <w:t>10</w:t>
            </w:r>
            <w:r>
              <w:rPr>
                <w:rFonts w:hint="eastAsia" w:ascii="宋体" w:hAnsi="宋体" w:eastAsia="宋体" w:cs="宋体"/>
                <w:bCs/>
                <w:sz w:val="20"/>
                <w:szCs w:val="22"/>
                <w:lang w:val="en-US" w:eastAsia="zh-CN" w:bidi="zh-CN"/>
              </w:rPr>
              <w:t>亿元以上，解付应付票据，有效降低了经营性现金流出，缓解了资金支付压力，通过以上措施，上半年经营活动现金净流入</w:t>
            </w:r>
            <w:r>
              <w:rPr>
                <w:rFonts w:ascii="宋体" w:hAnsi="宋体" w:eastAsia="宋体" w:cs="宋体"/>
                <w:bCs/>
                <w:sz w:val="20"/>
                <w:szCs w:val="22"/>
                <w:lang w:val="en-US" w:eastAsia="zh-CN" w:bidi="zh-CN"/>
              </w:rPr>
              <w:t>1.04</w:t>
            </w:r>
            <w:r>
              <w:rPr>
                <w:rFonts w:hint="eastAsia" w:ascii="宋体" w:hAnsi="宋体" w:eastAsia="宋体" w:cs="宋体"/>
                <w:bCs/>
                <w:sz w:val="20"/>
                <w:szCs w:val="22"/>
                <w:lang w:val="en-US" w:eastAsia="zh-CN" w:bidi="zh-CN"/>
              </w:rPr>
              <w:t>亿元，资产负债率</w:t>
            </w:r>
            <w:r>
              <w:rPr>
                <w:rFonts w:ascii="宋体" w:hAnsi="宋体" w:eastAsia="宋体" w:cs="宋体"/>
                <w:bCs/>
                <w:sz w:val="20"/>
                <w:szCs w:val="22"/>
                <w:lang w:val="en-US" w:eastAsia="zh-CN" w:bidi="zh-CN"/>
              </w:rPr>
              <w:t>66.64%</w:t>
            </w:r>
            <w:r>
              <w:rPr>
                <w:rFonts w:hint="eastAsia" w:ascii="宋体" w:hAnsi="宋体" w:eastAsia="宋体" w:cs="宋体"/>
                <w:bCs/>
                <w:sz w:val="20"/>
                <w:szCs w:val="22"/>
                <w:lang w:val="en-US" w:eastAsia="zh-CN" w:bidi="zh-CN"/>
              </w:rPr>
              <w:t>，保持了资金的整体稳定。</w:t>
            </w:r>
          </w:p>
          <w:bookmarkEnd w:id="8"/>
          <w:bookmarkEnd w:id="9"/>
          <w:bookmarkEnd w:id="10"/>
          <w:bookmarkEnd w:id="11"/>
          <w:p w14:paraId="04F60E2A">
            <w:pPr>
              <w:pStyle w:val="12"/>
              <w:spacing w:before="100" w:beforeAutospacing="1" w:line="360" w:lineRule="auto"/>
              <w:ind w:firstLine="295" w:firstLineChars="147"/>
              <w:contextualSpacing/>
              <w:rPr>
                <w:rFonts w:hint="eastAsia" w:ascii="宋体" w:hAnsi="宋体" w:eastAsia="宋体" w:cs="宋体"/>
                <w:b/>
                <w:sz w:val="20"/>
              </w:rPr>
            </w:pPr>
            <w:bookmarkStart w:id="12" w:name="OLE_LINK57"/>
            <w:bookmarkStart w:id="13" w:name="OLE_LINK55"/>
            <w:bookmarkStart w:id="14" w:name="OLE_LINK54"/>
            <w:bookmarkStart w:id="15" w:name="OLE_LINK56"/>
            <w:r>
              <w:rPr>
                <w:rFonts w:hint="eastAsia" w:ascii="宋体" w:hAnsi="宋体" w:eastAsia="宋体" w:cs="宋体"/>
                <w:b/>
                <w:sz w:val="20"/>
                <w:lang w:val="en-US" w:eastAsia="zh-CN"/>
              </w:rPr>
              <w:t>3</w:t>
            </w:r>
            <w:r>
              <w:rPr>
                <w:rFonts w:hint="eastAsia" w:ascii="宋体" w:hAnsi="宋体" w:eastAsia="宋体" w:cs="宋体"/>
                <w:b/>
                <w:sz w:val="20"/>
              </w:rPr>
              <w:t>.</w:t>
            </w:r>
            <w:bookmarkEnd w:id="12"/>
            <w:bookmarkEnd w:id="13"/>
            <w:bookmarkEnd w:id="14"/>
            <w:bookmarkEnd w:id="15"/>
            <w:r>
              <w:rPr>
                <w:rFonts w:hint="eastAsia" w:ascii="宋体" w:hAnsi="宋体" w:eastAsia="宋体" w:cs="宋体"/>
                <w:b/>
                <w:sz w:val="20"/>
              </w:rPr>
              <w:t xml:space="preserve"> 公司在提升毛利率的改善上有何举措？</w:t>
            </w:r>
          </w:p>
          <w:p w14:paraId="4229E502">
            <w:pPr>
              <w:pStyle w:val="12"/>
              <w:numPr>
                <w:ilvl w:val="0"/>
                <w:numId w:val="0"/>
              </w:numPr>
              <w:spacing w:before="100" w:beforeAutospacing="1" w:line="360" w:lineRule="auto"/>
              <w:ind w:firstLine="400" w:firstLineChars="200"/>
              <w:contextualSpacing/>
              <w:rPr>
                <w:rFonts w:ascii="宋体" w:hAnsi="宋体" w:eastAsia="宋体" w:cs="宋体"/>
                <w:bCs/>
                <w:sz w:val="20"/>
                <w:lang w:val="en-US"/>
              </w:rPr>
            </w:pPr>
            <w:r>
              <w:rPr>
                <w:rFonts w:hint="eastAsia" w:ascii="宋体" w:hAnsi="宋体" w:eastAsia="宋体" w:cs="宋体"/>
                <w:b w:val="0"/>
                <w:bCs/>
                <w:sz w:val="20"/>
              </w:rPr>
              <w:t>答：</w:t>
            </w:r>
            <w:r>
              <w:rPr>
                <w:rFonts w:hint="eastAsia" w:ascii="宋体" w:hAnsi="宋体" w:eastAsia="宋体" w:cs="宋体"/>
                <w:bCs/>
                <w:sz w:val="20"/>
                <w:lang w:val="en-US"/>
              </w:rPr>
              <w:t>随着6号高炉项目投产后产能有效释放，生产趋向稳定顺行，下半年公司以“逆势突围、效益攻坚”为总基调，将提升经营效益作为首要任务，聚焦毛利率提升核心目标开展提质增效攻坚，紧紧锚定“增收、降本、提效”三大核心任务，扎实推进“单位产品售价提升、销售收入增长率、直接材料成本比率、工序单位成本、主要产线产能利用率、存货周转次数”六方面重点工作，坚持以问题和目标为双重导向，提升“算账经营”意识，通过科学研判、综合平衡、精细管控等举措，系统性优化经营策略，推动产品结构升级、采购全链条优化，传统工序加工成本管理向工序总成本管理转型，全力实现盈利能力的改善。同时深化行业对标应用，拓展定向对标企业，强化对标提升与精准激励匹配，优化资源配置，压缩非必要开支，提升资金使用效率。</w:t>
            </w:r>
          </w:p>
        </w:tc>
      </w:tr>
      <w:tr w14:paraId="645C1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836" w:hRule="atLeast"/>
          <w:jc w:val="center"/>
        </w:trPr>
        <w:tc>
          <w:tcPr>
            <w:tcW w:w="2580" w:type="dxa"/>
            <w:vAlign w:val="center"/>
          </w:tcPr>
          <w:p w14:paraId="0EB9842F">
            <w:pPr>
              <w:pStyle w:val="12"/>
              <w:spacing w:before="1"/>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2E8650EB">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4B5BE936">
            <w:pPr>
              <w:pStyle w:val="12"/>
              <w:spacing w:before="100" w:beforeAutospacing="1" w:line="360" w:lineRule="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260EE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1E55E92">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附件清单（如有）</w:t>
            </w:r>
          </w:p>
        </w:tc>
        <w:tc>
          <w:tcPr>
            <w:tcW w:w="5945" w:type="dxa"/>
            <w:vAlign w:val="center"/>
          </w:tcPr>
          <w:p w14:paraId="316D9D2D">
            <w:pPr>
              <w:pStyle w:val="12"/>
              <w:spacing w:before="100" w:beforeAutospacing="1" w:line="360" w:lineRule="auto"/>
              <w:rPr>
                <w:rFonts w:ascii="宋体" w:hAnsi="宋体" w:eastAsia="宋体" w:cs="宋体"/>
                <w:sz w:val="20"/>
                <w:szCs w:val="20"/>
              </w:rPr>
            </w:pPr>
          </w:p>
        </w:tc>
      </w:tr>
      <w:tr w14:paraId="71957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14F7D35D">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日期</w:t>
            </w:r>
          </w:p>
        </w:tc>
        <w:tc>
          <w:tcPr>
            <w:tcW w:w="5945" w:type="dxa"/>
            <w:vAlign w:val="center"/>
          </w:tcPr>
          <w:p w14:paraId="6BA6EADF">
            <w:pPr>
              <w:pStyle w:val="12"/>
              <w:spacing w:before="100" w:beforeAutospacing="1"/>
              <w:rPr>
                <w:rFonts w:ascii="宋体" w:hAnsi="宋体" w:eastAsia="宋体" w:cs="宋体"/>
                <w:sz w:val="20"/>
                <w:szCs w:val="20"/>
              </w:rPr>
            </w:pPr>
            <w:r>
              <w:rPr>
                <w:rFonts w:ascii="宋体" w:hAnsi="宋体" w:eastAsia="宋体" w:cs="宋体"/>
                <w:sz w:val="20"/>
                <w:szCs w:val="20"/>
              </w:rPr>
              <w:t>2025年0</w:t>
            </w:r>
            <w:r>
              <w:rPr>
                <w:rFonts w:hint="eastAsia" w:ascii="宋体" w:hAnsi="宋体" w:eastAsia="宋体" w:cs="宋体"/>
                <w:sz w:val="20"/>
                <w:szCs w:val="20"/>
                <w:lang w:val="en-US"/>
              </w:rPr>
              <w:t>9</w:t>
            </w:r>
            <w:r>
              <w:rPr>
                <w:rFonts w:ascii="宋体" w:hAnsi="宋体" w:eastAsia="宋体" w:cs="宋体"/>
                <w:sz w:val="20"/>
                <w:szCs w:val="20"/>
              </w:rPr>
              <w:t>月</w:t>
            </w:r>
            <w:r>
              <w:rPr>
                <w:rFonts w:hint="eastAsia" w:ascii="宋体" w:hAnsi="宋体" w:eastAsia="宋体" w:cs="宋体"/>
                <w:sz w:val="20"/>
                <w:szCs w:val="20"/>
                <w:lang w:val="en-US"/>
              </w:rPr>
              <w:t>17</w:t>
            </w:r>
            <w:r>
              <w:rPr>
                <w:rFonts w:ascii="宋体" w:hAnsi="宋体" w:eastAsia="宋体" w:cs="宋体"/>
                <w:sz w:val="20"/>
                <w:szCs w:val="20"/>
              </w:rPr>
              <w:t>日</w:t>
            </w:r>
          </w:p>
        </w:tc>
      </w:tr>
    </w:tbl>
    <w:p w14:paraId="7FE84034">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301D32"/>
    <w:rsid w:val="000253AC"/>
    <w:rsid w:val="00026CC3"/>
    <w:rsid w:val="00036089"/>
    <w:rsid w:val="00053CFA"/>
    <w:rsid w:val="000633EC"/>
    <w:rsid w:val="00063804"/>
    <w:rsid w:val="00064854"/>
    <w:rsid w:val="000665A2"/>
    <w:rsid w:val="000877AB"/>
    <w:rsid w:val="00087B6B"/>
    <w:rsid w:val="000B7C08"/>
    <w:rsid w:val="000D12CF"/>
    <w:rsid w:val="000D2D88"/>
    <w:rsid w:val="000E4B20"/>
    <w:rsid w:val="0011418F"/>
    <w:rsid w:val="00126B28"/>
    <w:rsid w:val="00172C24"/>
    <w:rsid w:val="001E59D1"/>
    <w:rsid w:val="001E5EA4"/>
    <w:rsid w:val="002042A7"/>
    <w:rsid w:val="00205911"/>
    <w:rsid w:val="002146AD"/>
    <w:rsid w:val="00275CB6"/>
    <w:rsid w:val="002800B5"/>
    <w:rsid w:val="00295B29"/>
    <w:rsid w:val="002D4073"/>
    <w:rsid w:val="002E7098"/>
    <w:rsid w:val="00301D32"/>
    <w:rsid w:val="00346661"/>
    <w:rsid w:val="00366FAD"/>
    <w:rsid w:val="0037105B"/>
    <w:rsid w:val="003975BA"/>
    <w:rsid w:val="003A74E6"/>
    <w:rsid w:val="003B73DD"/>
    <w:rsid w:val="003D011C"/>
    <w:rsid w:val="004108C7"/>
    <w:rsid w:val="00412DC2"/>
    <w:rsid w:val="00440041"/>
    <w:rsid w:val="004455AF"/>
    <w:rsid w:val="00451268"/>
    <w:rsid w:val="004515AD"/>
    <w:rsid w:val="00451857"/>
    <w:rsid w:val="00453516"/>
    <w:rsid w:val="00457548"/>
    <w:rsid w:val="00470DB2"/>
    <w:rsid w:val="004925E7"/>
    <w:rsid w:val="00494FFB"/>
    <w:rsid w:val="00495B11"/>
    <w:rsid w:val="004F6FF3"/>
    <w:rsid w:val="00571B49"/>
    <w:rsid w:val="005743AE"/>
    <w:rsid w:val="00576CBE"/>
    <w:rsid w:val="005D64CA"/>
    <w:rsid w:val="005E5717"/>
    <w:rsid w:val="005E6DB2"/>
    <w:rsid w:val="00600D45"/>
    <w:rsid w:val="0061433E"/>
    <w:rsid w:val="0062751D"/>
    <w:rsid w:val="006354AA"/>
    <w:rsid w:val="00661AFA"/>
    <w:rsid w:val="006726BF"/>
    <w:rsid w:val="00677B77"/>
    <w:rsid w:val="0068718A"/>
    <w:rsid w:val="006A2739"/>
    <w:rsid w:val="006B5C95"/>
    <w:rsid w:val="006E14B0"/>
    <w:rsid w:val="006F0108"/>
    <w:rsid w:val="006F012A"/>
    <w:rsid w:val="00703BC4"/>
    <w:rsid w:val="00704AE6"/>
    <w:rsid w:val="007153A2"/>
    <w:rsid w:val="00724A68"/>
    <w:rsid w:val="007271BF"/>
    <w:rsid w:val="00730DD3"/>
    <w:rsid w:val="00733224"/>
    <w:rsid w:val="00764128"/>
    <w:rsid w:val="007824B8"/>
    <w:rsid w:val="007910DD"/>
    <w:rsid w:val="007A3EC1"/>
    <w:rsid w:val="007B3368"/>
    <w:rsid w:val="007D0A69"/>
    <w:rsid w:val="007D6DC4"/>
    <w:rsid w:val="00851983"/>
    <w:rsid w:val="00853463"/>
    <w:rsid w:val="00883E3B"/>
    <w:rsid w:val="00893F25"/>
    <w:rsid w:val="00895035"/>
    <w:rsid w:val="008953F8"/>
    <w:rsid w:val="008B2B14"/>
    <w:rsid w:val="008C6AED"/>
    <w:rsid w:val="008C7604"/>
    <w:rsid w:val="008E1B27"/>
    <w:rsid w:val="00903379"/>
    <w:rsid w:val="00906975"/>
    <w:rsid w:val="00917F0B"/>
    <w:rsid w:val="00917F8B"/>
    <w:rsid w:val="00960964"/>
    <w:rsid w:val="00965E4D"/>
    <w:rsid w:val="009B1D5C"/>
    <w:rsid w:val="009B2F7F"/>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0A3"/>
    <w:rsid w:val="00CF5FB6"/>
    <w:rsid w:val="00D02518"/>
    <w:rsid w:val="00D17454"/>
    <w:rsid w:val="00D33FBC"/>
    <w:rsid w:val="00D7535C"/>
    <w:rsid w:val="00D76302"/>
    <w:rsid w:val="00D769DB"/>
    <w:rsid w:val="00DA5CE2"/>
    <w:rsid w:val="00DE10E8"/>
    <w:rsid w:val="00E16FDA"/>
    <w:rsid w:val="00E35F58"/>
    <w:rsid w:val="00E45BD9"/>
    <w:rsid w:val="00E66FFC"/>
    <w:rsid w:val="00E759D6"/>
    <w:rsid w:val="00E84A8C"/>
    <w:rsid w:val="00E92B81"/>
    <w:rsid w:val="00E976DE"/>
    <w:rsid w:val="00EC0F83"/>
    <w:rsid w:val="00EE3187"/>
    <w:rsid w:val="00EF499B"/>
    <w:rsid w:val="00F05EB3"/>
    <w:rsid w:val="00F14977"/>
    <w:rsid w:val="00FB4A08"/>
    <w:rsid w:val="00FC0C2A"/>
    <w:rsid w:val="00FD7F8E"/>
    <w:rsid w:val="00FF11E4"/>
    <w:rsid w:val="01A00C4B"/>
    <w:rsid w:val="020C008E"/>
    <w:rsid w:val="02334725"/>
    <w:rsid w:val="02C03106"/>
    <w:rsid w:val="04B072D4"/>
    <w:rsid w:val="05F575D4"/>
    <w:rsid w:val="064249C6"/>
    <w:rsid w:val="06B3590D"/>
    <w:rsid w:val="06FD5623"/>
    <w:rsid w:val="08641132"/>
    <w:rsid w:val="08DC4C5E"/>
    <w:rsid w:val="09186774"/>
    <w:rsid w:val="0945438F"/>
    <w:rsid w:val="09463B0B"/>
    <w:rsid w:val="09AF32C9"/>
    <w:rsid w:val="0A71587A"/>
    <w:rsid w:val="0AB3379D"/>
    <w:rsid w:val="0B792C38"/>
    <w:rsid w:val="0C28640C"/>
    <w:rsid w:val="0D393097"/>
    <w:rsid w:val="0E90599A"/>
    <w:rsid w:val="0ED720CD"/>
    <w:rsid w:val="12070CAE"/>
    <w:rsid w:val="12C329EB"/>
    <w:rsid w:val="134463EE"/>
    <w:rsid w:val="140137CB"/>
    <w:rsid w:val="145F688C"/>
    <w:rsid w:val="14BE790E"/>
    <w:rsid w:val="14D47131"/>
    <w:rsid w:val="15680001"/>
    <w:rsid w:val="15DD2205"/>
    <w:rsid w:val="16493207"/>
    <w:rsid w:val="17072842"/>
    <w:rsid w:val="17A67110"/>
    <w:rsid w:val="1864189B"/>
    <w:rsid w:val="18D73A7D"/>
    <w:rsid w:val="190B0C48"/>
    <w:rsid w:val="19557370"/>
    <w:rsid w:val="1BD06B6A"/>
    <w:rsid w:val="1EA90CE7"/>
    <w:rsid w:val="1F782BDE"/>
    <w:rsid w:val="204A6A53"/>
    <w:rsid w:val="222D1C2F"/>
    <w:rsid w:val="22F91688"/>
    <w:rsid w:val="22FA03F1"/>
    <w:rsid w:val="23122FA1"/>
    <w:rsid w:val="23317869"/>
    <w:rsid w:val="23E32EED"/>
    <w:rsid w:val="241F1A4B"/>
    <w:rsid w:val="25650CAE"/>
    <w:rsid w:val="25FE400E"/>
    <w:rsid w:val="26406598"/>
    <w:rsid w:val="28080056"/>
    <w:rsid w:val="28734C1A"/>
    <w:rsid w:val="28C72DDD"/>
    <w:rsid w:val="29EE0E64"/>
    <w:rsid w:val="2A4144C9"/>
    <w:rsid w:val="2A704DAF"/>
    <w:rsid w:val="2AF92FF6"/>
    <w:rsid w:val="2BC4020A"/>
    <w:rsid w:val="2BDD46C6"/>
    <w:rsid w:val="2C695F59"/>
    <w:rsid w:val="2D7626DC"/>
    <w:rsid w:val="2D9D410D"/>
    <w:rsid w:val="2E9C43C4"/>
    <w:rsid w:val="2EF90F16"/>
    <w:rsid w:val="2F125C63"/>
    <w:rsid w:val="302C3D0A"/>
    <w:rsid w:val="30B05F05"/>
    <w:rsid w:val="3104598F"/>
    <w:rsid w:val="335725CB"/>
    <w:rsid w:val="33AA1331"/>
    <w:rsid w:val="33CC574C"/>
    <w:rsid w:val="33DE31BB"/>
    <w:rsid w:val="35305866"/>
    <w:rsid w:val="35775243"/>
    <w:rsid w:val="35D408E8"/>
    <w:rsid w:val="36F8246D"/>
    <w:rsid w:val="37063C49"/>
    <w:rsid w:val="37623CD1"/>
    <w:rsid w:val="378B147A"/>
    <w:rsid w:val="37C16C4A"/>
    <w:rsid w:val="389C49C0"/>
    <w:rsid w:val="38FE4CC2"/>
    <w:rsid w:val="39334084"/>
    <w:rsid w:val="39BC78F4"/>
    <w:rsid w:val="3A3E11B0"/>
    <w:rsid w:val="3AC34738"/>
    <w:rsid w:val="3B35486F"/>
    <w:rsid w:val="3D2739F3"/>
    <w:rsid w:val="3E622809"/>
    <w:rsid w:val="3E654527"/>
    <w:rsid w:val="3EC82FB3"/>
    <w:rsid w:val="3EEB27FE"/>
    <w:rsid w:val="3EF1250A"/>
    <w:rsid w:val="3F3D5B5E"/>
    <w:rsid w:val="3F964E60"/>
    <w:rsid w:val="40567DB0"/>
    <w:rsid w:val="40FF5CD2"/>
    <w:rsid w:val="42DB40B0"/>
    <w:rsid w:val="43505326"/>
    <w:rsid w:val="43B71B0A"/>
    <w:rsid w:val="44FA0589"/>
    <w:rsid w:val="45A663E3"/>
    <w:rsid w:val="469F09AF"/>
    <w:rsid w:val="47630D6A"/>
    <w:rsid w:val="47BF3954"/>
    <w:rsid w:val="48AF0E95"/>
    <w:rsid w:val="4913675C"/>
    <w:rsid w:val="495F62C2"/>
    <w:rsid w:val="4B756271"/>
    <w:rsid w:val="4BCA036B"/>
    <w:rsid w:val="4C8E1CA8"/>
    <w:rsid w:val="4D6D36A4"/>
    <w:rsid w:val="4DDC6134"/>
    <w:rsid w:val="4E3F45FB"/>
    <w:rsid w:val="4FF534DD"/>
    <w:rsid w:val="510903EF"/>
    <w:rsid w:val="51FB565D"/>
    <w:rsid w:val="53F137F4"/>
    <w:rsid w:val="543A6906"/>
    <w:rsid w:val="566273F2"/>
    <w:rsid w:val="56850CBB"/>
    <w:rsid w:val="56EB73E7"/>
    <w:rsid w:val="5728063B"/>
    <w:rsid w:val="59D8738A"/>
    <w:rsid w:val="59E720E8"/>
    <w:rsid w:val="5A666D76"/>
    <w:rsid w:val="5A806F04"/>
    <w:rsid w:val="5B2253C2"/>
    <w:rsid w:val="5B5D7513"/>
    <w:rsid w:val="5C321615"/>
    <w:rsid w:val="5CF02E0F"/>
    <w:rsid w:val="5D435270"/>
    <w:rsid w:val="5D59154F"/>
    <w:rsid w:val="5E7C394C"/>
    <w:rsid w:val="5ED8480A"/>
    <w:rsid w:val="5FD21144"/>
    <w:rsid w:val="5FFF5CB2"/>
    <w:rsid w:val="60003F04"/>
    <w:rsid w:val="603269D2"/>
    <w:rsid w:val="60593614"/>
    <w:rsid w:val="60C96143"/>
    <w:rsid w:val="61504A17"/>
    <w:rsid w:val="61A52BCA"/>
    <w:rsid w:val="63215805"/>
    <w:rsid w:val="665C5C0C"/>
    <w:rsid w:val="67002A3B"/>
    <w:rsid w:val="67095496"/>
    <w:rsid w:val="67103B55"/>
    <w:rsid w:val="67ED7463"/>
    <w:rsid w:val="681A546A"/>
    <w:rsid w:val="68507D37"/>
    <w:rsid w:val="69CB37D4"/>
    <w:rsid w:val="6A0D5B9B"/>
    <w:rsid w:val="6A266C5C"/>
    <w:rsid w:val="6A3B23B1"/>
    <w:rsid w:val="6AEA32DC"/>
    <w:rsid w:val="6B8174C3"/>
    <w:rsid w:val="6C4B4758"/>
    <w:rsid w:val="6CC24AB5"/>
    <w:rsid w:val="6D9271B2"/>
    <w:rsid w:val="6F134790"/>
    <w:rsid w:val="6FA36659"/>
    <w:rsid w:val="6FE81F5F"/>
    <w:rsid w:val="70A42689"/>
    <w:rsid w:val="72446028"/>
    <w:rsid w:val="73076EC0"/>
    <w:rsid w:val="73AF6429"/>
    <w:rsid w:val="74210CA6"/>
    <w:rsid w:val="746F4E76"/>
    <w:rsid w:val="75273889"/>
    <w:rsid w:val="76430096"/>
    <w:rsid w:val="768F5B89"/>
    <w:rsid w:val="788C25F5"/>
    <w:rsid w:val="78D930EC"/>
    <w:rsid w:val="79C93160"/>
    <w:rsid w:val="79F72AA9"/>
    <w:rsid w:val="7A144529"/>
    <w:rsid w:val="7A8F6158"/>
    <w:rsid w:val="7B672C31"/>
    <w:rsid w:val="7B9F061D"/>
    <w:rsid w:val="7C3A66AB"/>
    <w:rsid w:val="7D4A280A"/>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Char"/>
    <w:basedOn w:val="10"/>
    <w:link w:val="7"/>
    <w:qFormat/>
    <w:uiPriority w:val="0"/>
    <w:rPr>
      <w:rFonts w:ascii="仿宋" w:hAnsi="仿宋" w:eastAsia="仿宋" w:cs="仿宋"/>
      <w:sz w:val="18"/>
      <w:szCs w:val="18"/>
      <w:lang w:val="zh-CN" w:bidi="zh-CN"/>
    </w:rPr>
  </w:style>
  <w:style w:type="character" w:customStyle="1" w:styleId="14">
    <w:name w:val="页脚 Char"/>
    <w:basedOn w:val="10"/>
    <w:link w:val="6"/>
    <w:qFormat/>
    <w:uiPriority w:val="0"/>
    <w:rPr>
      <w:rFonts w:ascii="仿宋" w:hAnsi="仿宋" w:eastAsia="仿宋" w:cs="仿宋"/>
      <w:sz w:val="18"/>
      <w:szCs w:val="18"/>
      <w:lang w:val="zh-CN" w:bidi="zh-CN"/>
    </w:rPr>
  </w:style>
  <w:style w:type="character" w:customStyle="1" w:styleId="15">
    <w:name w:val="批注文字 Char"/>
    <w:basedOn w:val="10"/>
    <w:link w:val="3"/>
    <w:qFormat/>
    <w:uiPriority w:val="0"/>
    <w:rPr>
      <w:rFonts w:ascii="仿宋" w:hAnsi="仿宋" w:eastAsia="仿宋" w:cs="仿宋"/>
      <w:sz w:val="22"/>
      <w:szCs w:val="22"/>
      <w:lang w:val="zh-CN" w:bidi="zh-CN"/>
    </w:rPr>
  </w:style>
  <w:style w:type="character" w:customStyle="1" w:styleId="16">
    <w:name w:val="批注主题 Char"/>
    <w:basedOn w:val="15"/>
    <w:link w:val="8"/>
    <w:qFormat/>
    <w:uiPriority w:val="0"/>
    <w:rPr>
      <w:rFonts w:ascii="仿宋" w:hAnsi="仿宋" w:eastAsia="仿宋" w:cs="仿宋"/>
      <w:b/>
      <w:bCs/>
      <w:sz w:val="22"/>
      <w:szCs w:val="22"/>
      <w:lang w:val="zh-CN" w:bidi="zh-CN"/>
    </w:rPr>
  </w:style>
  <w:style w:type="character" w:customStyle="1" w:styleId="17">
    <w:name w:val="批注框文本 Char"/>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AD0F1-7FC4-4B41-BCD6-527E8B5DA3F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1455</Words>
  <Characters>1571</Characters>
  <Lines>13</Lines>
  <Paragraphs>3</Paragraphs>
  <TotalTime>4</TotalTime>
  <ScaleCrop>false</ScaleCrop>
  <LinksUpToDate>false</LinksUpToDate>
  <CharactersWithSpaces>1671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2025-05-14T08:17:00Z</dcterms:created>
  <dc:creator>jie.huang</dc:creator>
  <cp:lastModifiedBy>田原</cp:lastModifiedBy>
  <dcterms:modified xsi:type="dcterms:W3CDTF">2025-09-18T00:15:26Z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44BC4D56D7784DFDB6BC15E54E6686E5_13</vt:lpwstr>
  </property>
  <property fmtid="{D5CDD505-2E9C-101B-9397-08002B2CF9AE}" pid="4" name="KSOTemplateDocerSaveRecord">
    <vt:lpwstr>eyJoZGlkIjoiMWIyZGZjODAyMmJhMWIyYWE0NjQzNWVhOTBhZTNiOGMiLCJ1c2VySWQiOiI3MzY5MzU2NzcifQ==</vt:lpwstr>
  </property>
</Properties>
</file>