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C55B4">
      <w:pPr>
        <w:jc w:val="left"/>
        <w:rPr>
          <w:rFonts w:ascii="宋体" w:hAnsi="宋体" w:cs="宋体"/>
          <w:bCs/>
          <w:iCs/>
          <w:color w:val="000000"/>
          <w:sz w:val="24"/>
        </w:rPr>
      </w:pPr>
      <w:r>
        <w:rPr>
          <w:rFonts w:hint="eastAsia" w:ascii="宋体" w:hAnsi="宋体" w:cs="宋体"/>
          <w:bCs/>
          <w:iCs/>
          <w:color w:val="000000"/>
          <w:sz w:val="24"/>
        </w:rPr>
        <w:t>证券代码：</w:t>
      </w:r>
      <w:r>
        <w:rPr>
          <w:bCs/>
          <w:iCs/>
          <w:color w:val="000000"/>
          <w:sz w:val="24"/>
        </w:rPr>
        <w:t>603390</w:t>
      </w:r>
      <w:r>
        <w:rPr>
          <w:rFonts w:hint="eastAsia" w:ascii="宋体" w:hAnsi="宋体" w:cs="宋体"/>
          <w:bCs/>
          <w:iCs/>
          <w:color w:val="000000"/>
          <w:sz w:val="24"/>
        </w:rPr>
        <w:t xml:space="preserve">                                  证券简称：通达电气</w:t>
      </w:r>
    </w:p>
    <w:p w14:paraId="1926562B">
      <w:pPr>
        <w:spacing w:before="468" w:beforeLines="150" w:after="156" w:afterLines="50" w:line="400" w:lineRule="exact"/>
        <w:jc w:val="center"/>
        <w:rPr>
          <w:rFonts w:ascii="宋体" w:hAnsi="宋体" w:cs="宋体"/>
          <w:b/>
          <w:bCs/>
          <w:iCs/>
          <w:color w:val="000000"/>
          <w:sz w:val="32"/>
          <w:szCs w:val="32"/>
        </w:rPr>
      </w:pPr>
      <w:r>
        <w:rPr>
          <w:rFonts w:hint="eastAsia" w:ascii="宋体" w:hAnsi="宋体" w:cs="宋体"/>
          <w:b/>
          <w:bCs/>
          <w:iCs/>
          <w:color w:val="000000"/>
          <w:sz w:val="32"/>
          <w:szCs w:val="32"/>
        </w:rPr>
        <w:t>广州通达汽车电气股份有限公司</w:t>
      </w:r>
    </w:p>
    <w:p w14:paraId="4AA7D7AB">
      <w:pPr>
        <w:spacing w:before="156" w:beforeLines="50" w:after="468" w:afterLines="150" w:line="400" w:lineRule="exact"/>
        <w:jc w:val="center"/>
        <w:rPr>
          <w:rFonts w:ascii="宋体" w:hAnsi="宋体" w:cs="宋体"/>
          <w:b/>
          <w:bCs/>
          <w:iCs/>
          <w:color w:val="000000"/>
          <w:sz w:val="32"/>
          <w:szCs w:val="32"/>
        </w:rPr>
      </w:pPr>
      <w:r>
        <w:rPr>
          <w:rFonts w:hint="eastAsia" w:ascii="宋体" w:hAnsi="宋体" w:cs="宋体"/>
          <w:b/>
          <w:bCs/>
          <w:iCs/>
          <w:color w:val="000000"/>
          <w:sz w:val="32"/>
          <w:szCs w:val="32"/>
        </w:rPr>
        <w:t>投资者关系活动</w:t>
      </w:r>
      <w:bookmarkStart w:id="1" w:name="_GoBack"/>
      <w:bookmarkEnd w:id="1"/>
      <w:r>
        <w:rPr>
          <w:rFonts w:hint="eastAsia" w:ascii="宋体" w:hAnsi="宋体" w:cs="宋体"/>
          <w:b/>
          <w:bCs/>
          <w:iCs/>
          <w:color w:val="000000"/>
          <w:sz w:val="32"/>
          <w:szCs w:val="32"/>
        </w:rPr>
        <w:t>记录表</w:t>
      </w:r>
    </w:p>
    <w:p w14:paraId="200A90A7">
      <w:pPr>
        <w:wordWrap w:val="0"/>
        <w:spacing w:line="400" w:lineRule="exact"/>
        <w:ind w:right="-57" w:rightChars="-27"/>
        <w:jc w:val="right"/>
        <w:rPr>
          <w:rFonts w:hint="default" w:eastAsia="宋体"/>
          <w:bCs/>
          <w:iCs/>
          <w:color w:val="000000"/>
          <w:highlight w:val="yellow"/>
          <w:lang w:val="en-US" w:eastAsia="zh-CN"/>
        </w:rPr>
      </w:pPr>
      <w:r>
        <w:rPr>
          <w:bCs/>
          <w:iCs/>
          <w:color w:val="000000"/>
        </w:rPr>
        <w:t>编号：</w:t>
      </w:r>
      <w:r>
        <w:rPr>
          <w:rFonts w:hint="eastAsia"/>
          <w:bCs/>
          <w:iCs/>
          <w:color w:val="000000"/>
        </w:rPr>
        <w:t>202</w:t>
      </w:r>
      <w:r>
        <w:rPr>
          <w:rFonts w:hint="eastAsia"/>
          <w:bCs/>
          <w:iCs/>
          <w:color w:val="000000"/>
          <w:lang w:val="en-US" w:eastAsia="zh-CN"/>
        </w:rPr>
        <w:t>5</w:t>
      </w:r>
      <w:r>
        <w:rPr>
          <w:rFonts w:hint="eastAsia"/>
          <w:bCs/>
          <w:iCs/>
          <w:color w:val="000000"/>
        </w:rPr>
        <w:t>-</w:t>
      </w:r>
      <w:r>
        <w:rPr>
          <w:rFonts w:hint="eastAsia"/>
          <w:bCs/>
          <w:iCs/>
          <w:color w:val="000000"/>
          <w:lang w:val="en-US" w:eastAsia="zh-CN"/>
        </w:rPr>
        <w:t>002</w:t>
      </w:r>
    </w:p>
    <w:tbl>
      <w:tblPr>
        <w:tblStyle w:val="8"/>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6830"/>
      </w:tblGrid>
      <w:tr w14:paraId="0AF1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101" w:type="pct"/>
            <w:vAlign w:val="center"/>
          </w:tcPr>
          <w:p w14:paraId="5A3EA6ED">
            <w:pPr>
              <w:spacing w:line="480" w:lineRule="atLeast"/>
              <w:jc w:val="center"/>
              <w:rPr>
                <w:b/>
                <w:bCs/>
                <w:iCs/>
                <w:color w:val="000000"/>
                <w:sz w:val="24"/>
              </w:rPr>
            </w:pPr>
            <w:r>
              <w:rPr>
                <w:rFonts w:hint="eastAsia" w:ascii="宋体" w:hAnsi="宋体" w:cs="宋体"/>
                <w:b/>
                <w:bCs/>
                <w:iCs/>
                <w:color w:val="000000"/>
                <w:sz w:val="24"/>
              </w:rPr>
              <w:t>投资者关系活动类别</w:t>
            </w:r>
          </w:p>
        </w:tc>
        <w:tc>
          <w:tcPr>
            <w:tcW w:w="3899" w:type="pct"/>
            <w:vAlign w:val="center"/>
          </w:tcPr>
          <w:p w14:paraId="704E9A45">
            <w:pPr>
              <w:spacing w:line="480" w:lineRule="atLeast"/>
              <w:ind w:firstLine="120" w:firstLineChars="50"/>
              <w:rPr>
                <w:sz w:val="24"/>
              </w:rPr>
            </w:pPr>
            <w:r>
              <w:rPr>
                <w:sz w:val="24"/>
              </w:rPr>
              <w:sym w:font="Wingdings 2" w:char="00A3"/>
            </w:r>
            <w:r>
              <w:rPr>
                <w:bCs/>
                <w:iCs/>
                <w:color w:val="000000"/>
                <w:sz w:val="24"/>
              </w:rPr>
              <w:t xml:space="preserve"> </w:t>
            </w:r>
            <w:r>
              <w:rPr>
                <w:sz w:val="24"/>
              </w:rPr>
              <w:t xml:space="preserve">特定对象调研   </w:t>
            </w:r>
            <w:r>
              <w:rPr>
                <w:sz w:val="24"/>
              </w:rPr>
              <w:sym w:font="Wingdings 2" w:char="00A3"/>
            </w:r>
            <w:r>
              <w:rPr>
                <w:rFonts w:hint="eastAsia"/>
                <w:sz w:val="24"/>
              </w:rPr>
              <w:t xml:space="preserve"> </w:t>
            </w:r>
            <w:r>
              <w:rPr>
                <w:sz w:val="24"/>
              </w:rPr>
              <w:t xml:space="preserve">分析师会议      </w:t>
            </w:r>
            <w:r>
              <w:rPr>
                <w:bCs/>
                <w:iCs/>
                <w:color w:val="000000"/>
                <w:sz w:val="24"/>
              </w:rPr>
              <w:sym w:font="Wingdings 2" w:char="00A3"/>
            </w:r>
            <w:r>
              <w:rPr>
                <w:rFonts w:hint="eastAsia"/>
                <w:bCs/>
                <w:iCs/>
                <w:color w:val="000000"/>
                <w:sz w:val="24"/>
              </w:rPr>
              <w:t xml:space="preserve"> </w:t>
            </w:r>
            <w:r>
              <w:rPr>
                <w:sz w:val="24"/>
              </w:rPr>
              <w:t xml:space="preserve">媒体采访   </w:t>
            </w:r>
          </w:p>
          <w:p w14:paraId="05E7722F">
            <w:pPr>
              <w:spacing w:line="480" w:lineRule="atLeast"/>
              <w:ind w:firstLine="120" w:firstLineChars="50"/>
              <w:rPr>
                <w:sz w:val="24"/>
              </w:rPr>
            </w:pPr>
            <w:r>
              <w:rPr>
                <w:rFonts w:ascii="Segoe UI Symbol" w:hAnsi="Segoe UI Symbol" w:cs="Segoe UI Symbol"/>
                <w:sz w:val="24"/>
              </w:rPr>
              <w:t>☑</w:t>
            </w:r>
            <w:r>
              <w:rPr>
                <w:rFonts w:hint="eastAsia"/>
                <w:sz w:val="24"/>
              </w:rPr>
              <w:t xml:space="preserve"> </w:t>
            </w:r>
            <w:r>
              <w:rPr>
                <w:sz w:val="24"/>
              </w:rPr>
              <w:t>业绩说明会</w:t>
            </w:r>
            <w:r>
              <w:rPr>
                <w:rFonts w:hint="eastAsia"/>
                <w:sz w:val="24"/>
              </w:rPr>
              <w:t xml:space="preserve">     </w:t>
            </w:r>
            <w:r>
              <w:rPr>
                <w:bCs/>
                <w:iCs/>
                <w:color w:val="000000"/>
                <w:sz w:val="24"/>
              </w:rPr>
              <w:sym w:font="Wingdings 2" w:char="00A3"/>
            </w:r>
            <w:r>
              <w:rPr>
                <w:rFonts w:hint="eastAsia"/>
                <w:bCs/>
                <w:iCs/>
                <w:color w:val="000000"/>
                <w:sz w:val="24"/>
              </w:rPr>
              <w:t xml:space="preserve"> </w:t>
            </w:r>
            <w:r>
              <w:rPr>
                <w:sz w:val="24"/>
              </w:rPr>
              <w:t xml:space="preserve">新闻发布会    </w:t>
            </w:r>
            <w:r>
              <w:rPr>
                <w:rFonts w:hint="eastAsia"/>
                <w:sz w:val="24"/>
              </w:rPr>
              <w:t xml:space="preserve"> </w:t>
            </w:r>
            <w:r>
              <w:rPr>
                <w:sz w:val="24"/>
              </w:rPr>
              <w:t xml:space="preserve"> </w:t>
            </w:r>
            <w:r>
              <w:rPr>
                <w:bCs/>
                <w:iCs/>
                <w:color w:val="000000"/>
                <w:sz w:val="24"/>
              </w:rPr>
              <w:sym w:font="Wingdings 2" w:char="00A3"/>
            </w:r>
            <w:r>
              <w:rPr>
                <w:rFonts w:hint="eastAsia"/>
                <w:bCs/>
                <w:iCs/>
                <w:color w:val="000000"/>
                <w:sz w:val="24"/>
              </w:rPr>
              <w:t xml:space="preserve"> </w:t>
            </w:r>
            <w:r>
              <w:rPr>
                <w:sz w:val="24"/>
              </w:rPr>
              <w:t xml:space="preserve">路演活动    </w:t>
            </w:r>
          </w:p>
          <w:p w14:paraId="771B53CC">
            <w:pPr>
              <w:spacing w:line="480" w:lineRule="atLeast"/>
              <w:ind w:firstLine="120" w:firstLineChars="50"/>
              <w:rPr>
                <w:bCs/>
                <w:iCs/>
                <w:color w:val="000000"/>
                <w:sz w:val="24"/>
              </w:rPr>
            </w:pPr>
            <w:r>
              <w:rPr>
                <w:bCs/>
                <w:iCs/>
                <w:color w:val="000000"/>
                <w:sz w:val="24"/>
              </w:rPr>
              <w:sym w:font="Wingdings 2" w:char="00A3"/>
            </w:r>
            <w:r>
              <w:rPr>
                <w:rFonts w:hint="eastAsia"/>
                <w:bCs/>
                <w:iCs/>
                <w:color w:val="000000"/>
                <w:sz w:val="24"/>
              </w:rPr>
              <w:t xml:space="preserve"> </w:t>
            </w:r>
            <w:r>
              <w:rPr>
                <w:sz w:val="24"/>
              </w:rPr>
              <w:t>现场</w:t>
            </w:r>
            <w:r>
              <w:rPr>
                <w:rFonts w:hint="eastAsia"/>
                <w:sz w:val="24"/>
              </w:rPr>
              <w:t>交流</w:t>
            </w:r>
            <w:r>
              <w:rPr>
                <w:sz w:val="24"/>
              </w:rPr>
              <w:t xml:space="preserve">    </w:t>
            </w:r>
            <w:r>
              <w:rPr>
                <w:rFonts w:hint="eastAsia"/>
                <w:sz w:val="24"/>
              </w:rPr>
              <w:t xml:space="preserve">   </w:t>
            </w:r>
            <w:r>
              <w:rPr>
                <w:bCs/>
                <w:iCs/>
                <w:color w:val="000000"/>
                <w:sz w:val="24"/>
              </w:rPr>
              <w:sym w:font="Wingdings 2" w:char="00A3"/>
            </w:r>
            <w:r>
              <w:rPr>
                <w:bCs/>
                <w:iCs/>
                <w:color w:val="000000"/>
                <w:sz w:val="24"/>
              </w:rPr>
              <w:t xml:space="preserve"> </w:t>
            </w:r>
            <w:r>
              <w:rPr>
                <w:rFonts w:hint="eastAsia"/>
                <w:sz w:val="24"/>
              </w:rPr>
              <w:t xml:space="preserve">电话会议        </w:t>
            </w:r>
            <w:r>
              <w:rPr>
                <w:bCs/>
                <w:iCs/>
                <w:color w:val="000000"/>
                <w:sz w:val="24"/>
              </w:rPr>
              <w:sym w:font="Wingdings 2" w:char="00A3"/>
            </w:r>
            <w:r>
              <w:rPr>
                <w:rFonts w:hint="eastAsia"/>
                <w:sz w:val="24"/>
              </w:rPr>
              <w:t xml:space="preserve"> 投资者交流会</w:t>
            </w:r>
          </w:p>
        </w:tc>
      </w:tr>
      <w:tr w14:paraId="5983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101" w:type="pct"/>
            <w:vAlign w:val="center"/>
          </w:tcPr>
          <w:p w14:paraId="77311E0A">
            <w:pPr>
              <w:spacing w:line="480" w:lineRule="atLeast"/>
              <w:jc w:val="center"/>
              <w:rPr>
                <w:b/>
                <w:bCs/>
                <w:iCs/>
                <w:color w:val="000000"/>
                <w:sz w:val="24"/>
              </w:rPr>
            </w:pPr>
            <w:r>
              <w:rPr>
                <w:rFonts w:hint="eastAsia" w:ascii="宋体" w:hAnsi="宋体" w:cs="宋体"/>
                <w:b/>
                <w:bCs/>
                <w:iCs/>
                <w:color w:val="000000"/>
                <w:sz w:val="24"/>
              </w:rPr>
              <w:t>参与单位及人员</w:t>
            </w:r>
          </w:p>
        </w:tc>
        <w:tc>
          <w:tcPr>
            <w:tcW w:w="3899" w:type="pct"/>
            <w:vAlign w:val="center"/>
          </w:tcPr>
          <w:p w14:paraId="2B3064FD">
            <w:pPr>
              <w:pStyle w:val="6"/>
              <w:widowControl/>
              <w:spacing w:before="156" w:beforeLines="50" w:beforeAutospacing="0" w:after="156" w:afterLines="50" w:afterAutospacing="0" w:line="400" w:lineRule="exact"/>
              <w:rPr>
                <w:rFonts w:ascii="宋体" w:hAnsi="宋体" w:eastAsia="宋体" w:cs="宋体"/>
                <w:bCs/>
                <w:iCs/>
                <w:color w:val="000000"/>
              </w:rPr>
            </w:pPr>
            <w:r>
              <w:rPr>
                <w:rFonts w:hint="eastAsia" w:ascii="宋体" w:hAnsi="宋体" w:eastAsia="宋体" w:cs="宋体"/>
                <w:bCs/>
                <w:iCs/>
                <w:color w:val="000000"/>
              </w:rPr>
              <w:t>通过视频录播结合网络</w:t>
            </w:r>
            <w:r>
              <w:rPr>
                <w:rFonts w:hint="eastAsia" w:ascii="宋体" w:hAnsi="宋体" w:eastAsia="宋体" w:cs="宋体"/>
                <w:bCs/>
                <w:iCs/>
                <w:color w:val="000000"/>
                <w:lang w:val="en-US" w:eastAsia="zh-CN"/>
              </w:rPr>
              <w:t>文字</w:t>
            </w:r>
            <w:r>
              <w:rPr>
                <w:rFonts w:hint="eastAsia" w:ascii="宋体" w:hAnsi="宋体" w:eastAsia="宋体" w:cs="宋体"/>
                <w:bCs/>
                <w:iCs/>
                <w:color w:val="000000"/>
              </w:rPr>
              <w:t>互动的方式参加公司</w:t>
            </w:r>
            <w:r>
              <w:rPr>
                <w:rFonts w:hint="eastAsia" w:eastAsia="宋体"/>
                <w:bCs/>
                <w:iCs/>
                <w:color w:val="000000"/>
              </w:rPr>
              <w:t>2025年半年度业绩说明会</w:t>
            </w:r>
            <w:r>
              <w:rPr>
                <w:rFonts w:hint="eastAsia" w:ascii="宋体" w:hAnsi="宋体" w:eastAsia="宋体" w:cs="宋体"/>
                <w:bCs/>
                <w:iCs/>
                <w:color w:val="000000"/>
              </w:rPr>
              <w:t>的投资者</w:t>
            </w:r>
          </w:p>
        </w:tc>
      </w:tr>
      <w:tr w14:paraId="5CDC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2C6D2DD9">
            <w:pPr>
              <w:spacing w:line="480" w:lineRule="atLeast"/>
              <w:jc w:val="center"/>
              <w:rPr>
                <w:rFonts w:ascii="宋体" w:hAnsi="宋体" w:cs="宋体"/>
                <w:b/>
                <w:bCs/>
                <w:iCs/>
                <w:color w:val="000000"/>
                <w:sz w:val="24"/>
              </w:rPr>
            </w:pPr>
            <w:r>
              <w:rPr>
                <w:rFonts w:hint="eastAsia" w:ascii="宋体" w:hAnsi="宋体" w:cs="宋体"/>
                <w:b/>
                <w:bCs/>
                <w:iCs/>
                <w:color w:val="000000"/>
                <w:sz w:val="24"/>
              </w:rPr>
              <w:t>时间</w:t>
            </w:r>
          </w:p>
        </w:tc>
        <w:tc>
          <w:tcPr>
            <w:tcW w:w="3899" w:type="pct"/>
          </w:tcPr>
          <w:p w14:paraId="382B5AE2">
            <w:pPr>
              <w:spacing w:line="480" w:lineRule="atLeast"/>
              <w:jc w:val="left"/>
              <w:rPr>
                <w:rFonts w:ascii="宋体" w:hAnsi="宋体" w:cs="宋体"/>
                <w:bCs/>
                <w:iCs/>
                <w:color w:val="000000"/>
                <w:sz w:val="24"/>
              </w:rPr>
            </w:pPr>
            <w:r>
              <w:rPr>
                <w:rFonts w:hint="eastAsia"/>
                <w:color w:val="000000"/>
                <w:kern w:val="0"/>
                <w:sz w:val="24"/>
              </w:rPr>
              <w:t>2</w:t>
            </w:r>
            <w:r>
              <w:rPr>
                <w:rFonts w:hint="eastAsia" w:cs="宋体"/>
                <w:color w:val="000000"/>
                <w:kern w:val="0"/>
                <w:sz w:val="24"/>
              </w:rPr>
              <w:t>02</w:t>
            </w:r>
            <w:r>
              <w:rPr>
                <w:rFonts w:hint="eastAsia" w:cs="宋体"/>
                <w:color w:val="000000"/>
                <w:kern w:val="0"/>
                <w:sz w:val="24"/>
                <w:lang w:val="en-US" w:eastAsia="zh-CN"/>
              </w:rPr>
              <w:t>5</w:t>
            </w:r>
            <w:r>
              <w:rPr>
                <w:rFonts w:hint="eastAsia" w:cs="宋体"/>
                <w:color w:val="000000"/>
                <w:kern w:val="0"/>
                <w:sz w:val="24"/>
              </w:rPr>
              <w:t>年</w:t>
            </w:r>
            <w:r>
              <w:rPr>
                <w:rFonts w:hint="eastAsia" w:cs="宋体"/>
                <w:color w:val="000000"/>
                <w:kern w:val="0"/>
                <w:sz w:val="24"/>
                <w:lang w:val="en-US" w:eastAsia="zh-CN"/>
              </w:rPr>
              <w:t>9</w:t>
            </w:r>
            <w:r>
              <w:rPr>
                <w:rFonts w:hint="eastAsia" w:cs="宋体"/>
                <w:color w:val="000000"/>
                <w:kern w:val="0"/>
                <w:sz w:val="24"/>
              </w:rPr>
              <w:t>月</w:t>
            </w:r>
            <w:r>
              <w:rPr>
                <w:rFonts w:hint="eastAsia" w:cs="宋体"/>
                <w:color w:val="000000"/>
                <w:kern w:val="0"/>
                <w:sz w:val="24"/>
                <w:lang w:val="en-US" w:eastAsia="zh-CN"/>
              </w:rPr>
              <w:t>19</w:t>
            </w:r>
            <w:r>
              <w:rPr>
                <w:rFonts w:hint="eastAsia" w:cs="宋体"/>
                <w:color w:val="000000"/>
                <w:kern w:val="0"/>
                <w:sz w:val="24"/>
              </w:rPr>
              <w:t>日</w:t>
            </w:r>
            <w:r>
              <w:rPr>
                <w:rFonts w:hint="eastAsia" w:cs="宋体"/>
                <w:color w:val="000000"/>
                <w:kern w:val="0"/>
                <w:sz w:val="24"/>
                <w:lang w:val="en-US" w:eastAsia="zh-CN"/>
              </w:rPr>
              <w:t>下午</w:t>
            </w:r>
            <w:r>
              <w:rPr>
                <w:rFonts w:hint="eastAsia" w:cs="宋体"/>
                <w:color w:val="000000"/>
                <w:kern w:val="0"/>
                <w:sz w:val="24"/>
              </w:rPr>
              <w:t>1</w:t>
            </w:r>
            <w:r>
              <w:rPr>
                <w:rFonts w:hint="eastAsia" w:cs="宋体"/>
                <w:color w:val="000000"/>
                <w:kern w:val="0"/>
                <w:sz w:val="24"/>
                <w:lang w:val="en-US" w:eastAsia="zh-CN"/>
              </w:rPr>
              <w:t>3</w:t>
            </w:r>
            <w:r>
              <w:rPr>
                <w:rFonts w:hint="eastAsia" w:cs="宋体"/>
                <w:color w:val="000000"/>
                <w:kern w:val="0"/>
                <w:sz w:val="24"/>
              </w:rPr>
              <w:t>:</w:t>
            </w:r>
            <w:r>
              <w:rPr>
                <w:rFonts w:hint="eastAsia" w:cs="宋体"/>
                <w:color w:val="000000"/>
                <w:kern w:val="0"/>
                <w:sz w:val="24"/>
                <w:lang w:val="en-US" w:eastAsia="zh-CN"/>
              </w:rPr>
              <w:t>30</w:t>
            </w:r>
            <w:r>
              <w:rPr>
                <w:rFonts w:hint="eastAsia" w:cs="宋体"/>
                <w:color w:val="000000"/>
                <w:kern w:val="0"/>
                <w:sz w:val="24"/>
              </w:rPr>
              <w:t>-</w:t>
            </w:r>
            <w:r>
              <w:rPr>
                <w:rFonts w:hint="eastAsia" w:cs="宋体"/>
                <w:color w:val="000000"/>
                <w:kern w:val="0"/>
                <w:sz w:val="24"/>
                <w:lang w:val="en-US" w:eastAsia="zh-CN"/>
              </w:rPr>
              <w:t>14</w:t>
            </w:r>
            <w:r>
              <w:rPr>
                <w:rFonts w:hint="eastAsia" w:cs="宋体"/>
                <w:color w:val="000000"/>
                <w:kern w:val="0"/>
                <w:sz w:val="24"/>
              </w:rPr>
              <w:t>:</w:t>
            </w:r>
            <w:r>
              <w:rPr>
                <w:rFonts w:hint="eastAsia" w:cs="宋体"/>
                <w:color w:val="000000"/>
                <w:kern w:val="0"/>
                <w:sz w:val="24"/>
                <w:lang w:val="en-US" w:eastAsia="zh-CN"/>
              </w:rPr>
              <w:t>3</w:t>
            </w:r>
            <w:r>
              <w:rPr>
                <w:rFonts w:hint="eastAsia" w:cs="宋体"/>
                <w:color w:val="000000"/>
                <w:kern w:val="0"/>
                <w:sz w:val="24"/>
              </w:rPr>
              <w:t>0</w:t>
            </w:r>
          </w:p>
        </w:tc>
      </w:tr>
      <w:tr w14:paraId="3AAC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3FF6D04D">
            <w:pPr>
              <w:spacing w:line="480" w:lineRule="atLeast"/>
              <w:jc w:val="center"/>
              <w:rPr>
                <w:rFonts w:ascii="宋体" w:hAnsi="宋体" w:cs="宋体"/>
                <w:b/>
                <w:bCs/>
                <w:iCs/>
                <w:color w:val="000000"/>
                <w:sz w:val="24"/>
              </w:rPr>
            </w:pPr>
            <w:r>
              <w:rPr>
                <w:rFonts w:hint="eastAsia" w:ascii="宋体" w:hAnsi="宋体" w:cs="宋体"/>
                <w:b/>
                <w:bCs/>
                <w:iCs/>
                <w:color w:val="000000"/>
                <w:sz w:val="24"/>
              </w:rPr>
              <w:t>地点</w:t>
            </w:r>
          </w:p>
        </w:tc>
        <w:tc>
          <w:tcPr>
            <w:tcW w:w="3899" w:type="pct"/>
          </w:tcPr>
          <w:p w14:paraId="305B797C">
            <w:pPr>
              <w:spacing w:line="480" w:lineRule="atLeast"/>
              <w:jc w:val="left"/>
              <w:rPr>
                <w:rFonts w:ascii="宋体" w:hAnsi="宋体" w:cs="宋体"/>
                <w:bCs/>
                <w:iCs/>
                <w:color w:val="000000"/>
                <w:sz w:val="24"/>
              </w:rPr>
            </w:pPr>
            <w:r>
              <w:rPr>
                <w:rFonts w:hint="eastAsia" w:ascii="宋体" w:hAnsi="宋体" w:cs="宋体"/>
                <w:bCs/>
                <w:iCs/>
                <w:color w:val="000000"/>
                <w:sz w:val="24"/>
              </w:rPr>
              <w:t>上证路演中心</w:t>
            </w:r>
            <w:bookmarkStart w:id="0" w:name="OLE_LINK1"/>
            <w:r>
              <w:rPr>
                <w:rFonts w:hint="eastAsia" w:ascii="宋体" w:hAnsi="宋体" w:cs="宋体"/>
                <w:bCs/>
                <w:iCs/>
                <w:color w:val="000000"/>
                <w:sz w:val="24"/>
              </w:rPr>
              <w:t>（</w:t>
            </w:r>
            <w:r>
              <w:rPr>
                <w:bCs/>
                <w:iCs/>
                <w:color w:val="000000"/>
                <w:sz w:val="24"/>
              </w:rPr>
              <w:t>roadshow.sseinfo.com</w:t>
            </w:r>
            <w:r>
              <w:rPr>
                <w:rFonts w:hint="eastAsia" w:ascii="宋体" w:hAnsi="宋体" w:cs="宋体"/>
                <w:bCs/>
                <w:iCs/>
                <w:color w:val="000000"/>
                <w:sz w:val="24"/>
              </w:rPr>
              <w:t>）</w:t>
            </w:r>
            <w:bookmarkEnd w:id="0"/>
          </w:p>
        </w:tc>
      </w:tr>
      <w:tr w14:paraId="7F0F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01" w:type="pct"/>
            <w:vAlign w:val="center"/>
          </w:tcPr>
          <w:p w14:paraId="1F33913C">
            <w:pPr>
              <w:spacing w:line="480" w:lineRule="atLeast"/>
              <w:jc w:val="center"/>
              <w:rPr>
                <w:rFonts w:ascii="宋体" w:hAnsi="宋体" w:cs="宋体"/>
                <w:b/>
                <w:bCs/>
                <w:iCs/>
                <w:color w:val="000000"/>
                <w:sz w:val="24"/>
              </w:rPr>
            </w:pPr>
            <w:r>
              <w:rPr>
                <w:rFonts w:hint="eastAsia" w:ascii="宋体" w:hAnsi="宋体" w:cs="宋体"/>
                <w:b/>
                <w:bCs/>
                <w:iCs/>
                <w:color w:val="000000"/>
                <w:sz w:val="24"/>
              </w:rPr>
              <w:t>公司接待人员</w:t>
            </w:r>
          </w:p>
        </w:tc>
        <w:tc>
          <w:tcPr>
            <w:tcW w:w="3899" w:type="pct"/>
          </w:tcPr>
          <w:p w14:paraId="35377D0A">
            <w:pPr>
              <w:spacing w:line="480" w:lineRule="atLeast"/>
              <w:jc w:val="left"/>
              <w:rPr>
                <w:rFonts w:ascii="宋体" w:hAnsi="宋体" w:cs="宋体"/>
                <w:bCs/>
                <w:iCs/>
                <w:color w:val="000000"/>
                <w:sz w:val="24"/>
              </w:rPr>
            </w:pPr>
            <w:r>
              <w:rPr>
                <w:rFonts w:hint="eastAsia" w:ascii="宋体" w:hAnsi="宋体" w:cs="宋体"/>
                <w:color w:val="000000"/>
                <w:kern w:val="0"/>
                <w:sz w:val="24"/>
              </w:rPr>
              <w:t>公司董事长陈丽娜女士、</w:t>
            </w:r>
            <w:r>
              <w:rPr>
                <w:rFonts w:hint="eastAsia" w:ascii="宋体" w:hAnsi="宋体" w:cs="宋体"/>
                <w:color w:val="000000"/>
                <w:kern w:val="0"/>
                <w:sz w:val="24"/>
                <w:lang w:val="en-US" w:eastAsia="zh-CN"/>
              </w:rPr>
              <w:t>董事兼</w:t>
            </w:r>
            <w:r>
              <w:rPr>
                <w:rFonts w:hint="eastAsia" w:ascii="宋体" w:hAnsi="宋体" w:cs="宋体"/>
                <w:color w:val="000000"/>
                <w:kern w:val="0"/>
                <w:sz w:val="24"/>
              </w:rPr>
              <w:t>总经理蔡琳琳先生、独立董事</w:t>
            </w:r>
            <w:r>
              <w:rPr>
                <w:rFonts w:hint="eastAsia" w:ascii="宋体" w:hAnsi="宋体" w:cs="宋体"/>
                <w:color w:val="000000"/>
                <w:kern w:val="0"/>
                <w:sz w:val="24"/>
                <w:lang w:val="en-US" w:eastAsia="zh-CN"/>
              </w:rPr>
              <w:t>吕伟荣</w:t>
            </w:r>
            <w:r>
              <w:rPr>
                <w:rFonts w:hint="eastAsia" w:ascii="宋体" w:hAnsi="宋体" w:cs="宋体"/>
                <w:color w:val="000000"/>
                <w:kern w:val="0"/>
                <w:sz w:val="24"/>
              </w:rPr>
              <w:t>先生、董事会秘书黄璇女士、财务总监吴淑妃女士及相关工作人员</w:t>
            </w:r>
          </w:p>
        </w:tc>
      </w:tr>
      <w:tr w14:paraId="0FEF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01" w:type="pct"/>
            <w:vAlign w:val="center"/>
          </w:tcPr>
          <w:p w14:paraId="047BBE7D">
            <w:pPr>
              <w:spacing w:line="480" w:lineRule="atLeast"/>
              <w:jc w:val="center"/>
              <w:rPr>
                <w:rFonts w:ascii="宋体" w:hAnsi="宋体" w:cs="宋体"/>
                <w:b/>
                <w:bCs/>
                <w:iCs/>
                <w:color w:val="000000"/>
                <w:sz w:val="24"/>
              </w:rPr>
            </w:pPr>
            <w:r>
              <w:rPr>
                <w:rFonts w:hint="eastAsia" w:ascii="宋体" w:hAnsi="宋体" w:cs="宋体"/>
                <w:b/>
                <w:bCs/>
                <w:iCs/>
                <w:color w:val="000000"/>
                <w:sz w:val="24"/>
              </w:rPr>
              <w:t>投资者关系活动主要内容介绍</w:t>
            </w:r>
          </w:p>
        </w:tc>
        <w:tc>
          <w:tcPr>
            <w:tcW w:w="3899" w:type="pct"/>
          </w:tcPr>
          <w:p w14:paraId="711F2708">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参与本次业绩说明会的公司接待人员，在法律、法规及规范性文件等相关规定允许的范围内就投资者关注的问题予以及时答复，不涉及应当披露的重大信息，公司就本次业绩说明会网络文字互动环节主要内容如下：</w:t>
            </w:r>
          </w:p>
          <w:p w14:paraId="350FF25D">
            <w:pPr>
              <w:numPr>
                <w:ilvl w:val="0"/>
                <w:numId w:val="1"/>
              </w:numPr>
              <w:spacing w:line="360" w:lineRule="auto"/>
              <w:ind w:firstLine="48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请问公司上半年的营收情况如何</w:t>
            </w:r>
            <w:r>
              <w:rPr>
                <w:rFonts w:hint="eastAsia" w:cs="Times New Roman"/>
                <w:sz w:val="24"/>
                <w:lang w:val="en-US" w:eastAsia="zh-CN"/>
              </w:rPr>
              <w:t>？</w:t>
            </w:r>
          </w:p>
          <w:p w14:paraId="2178A8E4">
            <w:pPr>
              <w:tabs>
                <w:tab w:val="left" w:pos="312"/>
              </w:tabs>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答：</w:t>
            </w:r>
            <w:r>
              <w:rPr>
                <w:rFonts w:hint="default" w:ascii="Times New Roman" w:hAnsi="Times New Roman" w:eastAsia="宋体" w:cs="Times New Roman"/>
                <w:sz w:val="24"/>
                <w:szCs w:val="28"/>
              </w:rPr>
              <w:t>2025年上半年，公司实现营业收入42,134.96万元，较上年同期增长68.73%。</w:t>
            </w:r>
          </w:p>
          <w:p w14:paraId="6708AEE7">
            <w:pPr>
              <w:numPr>
                <w:ilvl w:val="0"/>
                <w:numId w:val="1"/>
              </w:numPr>
              <w:spacing w:line="360" w:lineRule="auto"/>
              <w:ind w:firstLine="48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公司在无人物流车</w:t>
            </w:r>
            <w:r>
              <w:rPr>
                <w:rFonts w:hint="eastAsia" w:cs="Times New Roman"/>
                <w:sz w:val="24"/>
                <w:lang w:val="en-US" w:eastAsia="zh-CN"/>
              </w:rPr>
              <w:t>/</w:t>
            </w:r>
            <w:r>
              <w:rPr>
                <w:rFonts w:hint="default" w:ascii="Times New Roman" w:hAnsi="Times New Roman" w:eastAsia="宋体" w:cs="Times New Roman"/>
                <w:sz w:val="24"/>
                <w:lang w:val="en-US" w:eastAsia="zh-CN"/>
              </w:rPr>
              <w:t>无人驾驶等新兴的辅助驾驶领域是否有与一线或者头部企业合作</w:t>
            </w:r>
            <w:r>
              <w:rPr>
                <w:rFonts w:hint="eastAsia" w:cs="Times New Roman"/>
                <w:sz w:val="24"/>
                <w:lang w:val="en-US" w:eastAsia="zh-CN"/>
              </w:rPr>
              <w:t>？</w:t>
            </w:r>
            <w:r>
              <w:rPr>
                <w:rFonts w:hint="default" w:ascii="Times New Roman" w:hAnsi="Times New Roman" w:eastAsia="宋体" w:cs="Times New Roman"/>
                <w:sz w:val="24"/>
                <w:lang w:val="en-US" w:eastAsia="zh-CN"/>
              </w:rPr>
              <w:t>是否有已经量产的设备技术支持?订单收入情况如何</w:t>
            </w:r>
            <w:r>
              <w:rPr>
                <w:rFonts w:hint="eastAsia" w:cs="Times New Roman"/>
                <w:sz w:val="24"/>
                <w:lang w:val="en-US" w:eastAsia="zh-CN"/>
              </w:rPr>
              <w:t>？</w:t>
            </w:r>
          </w:p>
          <w:p w14:paraId="57AB00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答：</w:t>
            </w:r>
            <w:r>
              <w:rPr>
                <w:rFonts w:hint="default" w:ascii="Times New Roman" w:hAnsi="Times New Roman" w:eastAsia="宋体" w:cs="Times New Roman"/>
                <w:color w:val="000000"/>
                <w:kern w:val="0"/>
                <w:sz w:val="24"/>
                <w:szCs w:val="24"/>
              </w:rPr>
              <w:t>在无人驾驶相关领域，目前公司联合相关智驾方案提供商布局无人物流车项目，项目聚焦固定场所内使用无人驾驶车辆的场景，不涉及与一线或头部企业合作；相关技术尚处于研究探索阶段，暂未形成产品投入市场，暂未形成业务收入，敬请投资者注意投资风险。</w:t>
            </w:r>
          </w:p>
          <w:p w14:paraId="2BEB51E3">
            <w:pPr>
              <w:numPr>
                <w:ilvl w:val="0"/>
                <w:numId w:val="1"/>
              </w:num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32"/>
                <w:lang w:val="en-US" w:eastAsia="zh-CN"/>
              </w:rPr>
              <w:t>请问</w:t>
            </w:r>
            <w:r>
              <w:rPr>
                <w:rFonts w:hint="default" w:ascii="Times New Roman" w:hAnsi="Times New Roman" w:eastAsia="宋体" w:cs="Times New Roman"/>
                <w:sz w:val="24"/>
                <w:szCs w:val="32"/>
              </w:rPr>
              <w:t>公司现有的股东人数</w:t>
            </w:r>
            <w:r>
              <w:rPr>
                <w:rFonts w:hint="default" w:ascii="Times New Roman" w:hAnsi="Times New Roman" w:eastAsia="宋体" w:cs="Times New Roman"/>
                <w:sz w:val="24"/>
                <w:szCs w:val="32"/>
                <w:lang w:val="en-US" w:eastAsia="zh-CN"/>
              </w:rPr>
              <w:t>有多少</w:t>
            </w:r>
            <w:r>
              <w:rPr>
                <w:rFonts w:hint="eastAsia" w:cs="Times New Roman"/>
                <w:sz w:val="24"/>
                <w:szCs w:val="32"/>
                <w:lang w:val="en-US" w:eastAsia="zh-CN"/>
              </w:rPr>
              <w:t>？</w:t>
            </w:r>
          </w:p>
          <w:p w14:paraId="74251621">
            <w:pPr>
              <w:tabs>
                <w:tab w:val="left" w:pos="312"/>
              </w:tabs>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答：</w:t>
            </w:r>
            <w:r>
              <w:rPr>
                <w:rFonts w:hint="default" w:ascii="Times New Roman" w:hAnsi="Times New Roman" w:eastAsia="宋体" w:cs="Times New Roman"/>
                <w:sz w:val="24"/>
                <w:szCs w:val="32"/>
              </w:rPr>
              <w:t>截至2025年9月10日，公司股东33113户。</w:t>
            </w:r>
          </w:p>
          <w:p w14:paraId="4906E968">
            <w:pPr>
              <w:numPr>
                <w:ilvl w:val="0"/>
                <w:numId w:val="1"/>
              </w:num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请问公司盈利能力提升的原因是什么，未来能否持续</w:t>
            </w:r>
            <w:r>
              <w:rPr>
                <w:rFonts w:hint="eastAsia" w:cs="Times New Roman"/>
                <w:sz w:val="24"/>
                <w:szCs w:val="24"/>
                <w:lang w:val="en-US" w:eastAsia="zh-CN"/>
              </w:rPr>
              <w:t>？</w:t>
            </w:r>
          </w:p>
          <w:p w14:paraId="62763F5E">
            <w:pPr>
              <w:tabs>
                <w:tab w:val="left" w:pos="312"/>
              </w:tabs>
              <w:spacing w:line="360" w:lineRule="auto"/>
              <w:ind w:firstLine="480" w:firstLineChars="200"/>
              <w:rPr>
                <w:rFonts w:hint="default" w:ascii="Times New Roman" w:hAnsi="Times New Roman" w:eastAsia="宋体" w:cs="Times New Roman"/>
                <w:sz w:val="24"/>
                <w:szCs w:val="32"/>
              </w:rPr>
            </w:pPr>
            <w:r>
              <w:rPr>
                <w:rFonts w:hint="default" w:ascii="Times New Roman" w:hAnsi="Times New Roman" w:eastAsia="宋体" w:cs="Times New Roman"/>
                <w:sz w:val="24"/>
                <w:szCs w:val="24"/>
              </w:rPr>
              <w:t>答：</w:t>
            </w:r>
            <w:r>
              <w:rPr>
                <w:rFonts w:hint="default" w:ascii="Times New Roman" w:hAnsi="Times New Roman" w:eastAsia="宋体" w:cs="Times New Roman"/>
                <w:sz w:val="24"/>
                <w:szCs w:val="32"/>
              </w:rPr>
              <w:t>2025年上半年，公司归母净利润同比增长122.80%，主要受益于：一是市场需求持续复苏带动订单显著增长。受以旧换新政策有效带动、公交客车进入新的换车周期、新能源汽车销量持续增长态势、国产车性能及价格在国际市场更具竞争优势等因素影响，下游市场整体需求持续向好，公司营业收入增加</w:t>
            </w:r>
            <w:r>
              <w:rPr>
                <w:rFonts w:hint="eastAsia" w:cs="Times New Roman"/>
                <w:sz w:val="24"/>
                <w:szCs w:val="32"/>
                <w:lang w:eastAsia="zh-CN"/>
              </w:rPr>
              <w:t>；</w:t>
            </w:r>
            <w:r>
              <w:rPr>
                <w:rFonts w:hint="default" w:ascii="Times New Roman" w:hAnsi="Times New Roman" w:eastAsia="宋体" w:cs="Times New Roman"/>
                <w:sz w:val="24"/>
                <w:szCs w:val="32"/>
              </w:rPr>
              <w:t>二是公司技术含量较高产品收入占比增加。公司持续优化产品结构、提升产品技术水平，智能网联系统系列产品收入占营业收入比例达41.45%。从目前产业政策、行业发展周期及季节性波动因素来看，短期未预见到明显的下游市场需求收缩趋势，公司将依托技术研发与创新积累，加大市场拓展力度，并积极推动移动医疗等新业务的发展，从经营层面为巩固市场份额、持续健康发展并提高投资者回报能力提供保障。</w:t>
            </w:r>
          </w:p>
          <w:p w14:paraId="1C80FE56">
            <w:pPr>
              <w:numPr>
                <w:ilvl w:val="0"/>
                <w:numId w:val="1"/>
              </w:num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能否介绍一下公司出口业务进展及海外市场规划</w:t>
            </w:r>
            <w:r>
              <w:rPr>
                <w:rFonts w:hint="eastAsia" w:cs="Times New Roman"/>
                <w:sz w:val="24"/>
                <w:szCs w:val="24"/>
                <w:lang w:val="en-US" w:eastAsia="zh-CN"/>
              </w:rPr>
              <w:t>？</w:t>
            </w:r>
          </w:p>
          <w:p w14:paraId="44C6D1BE">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答：公司出口业务采取</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跟随主要客户出海</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与自主开拓双线策略：一方面配套国内主流商用车生产企业海外项目；另一方面积极拓展直接海外客户，依托现有销售渠道拓宽与海外车厂、终端用户业务关系，同时设立海外机构，通过人员本地化，提升品牌信任度和本地化形象，贴近客户需求，实现更贴合市场的需求分析、技术开发，提高市场竞争能力。</w:t>
            </w:r>
          </w:p>
          <w:p w14:paraId="47337D9B">
            <w:pPr>
              <w:numPr>
                <w:ilvl w:val="0"/>
                <w:numId w:val="1"/>
              </w:numPr>
              <w:spacing w:line="360" w:lineRule="auto"/>
              <w:ind w:left="0" w:leftChars="0" w:firstLine="48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公司称持续加大研发投入，能否详细介绍这些研发投入具体聚焦的产品方向，且这些研发项目预计何时能够实现成果转化</w:t>
            </w:r>
            <w:r>
              <w:rPr>
                <w:rFonts w:hint="eastAsia" w:ascii="宋体" w:hAnsi="宋体" w:cs="宋体"/>
                <w:sz w:val="24"/>
                <w:szCs w:val="24"/>
                <w:lang w:val="en-US" w:eastAsia="zh-CN"/>
              </w:rPr>
              <w:t>？</w:t>
            </w:r>
          </w:p>
          <w:p w14:paraId="797F9146">
            <w:pPr>
              <w:tabs>
                <w:tab w:val="left" w:pos="312"/>
              </w:tabs>
              <w:spacing w:line="360" w:lineRule="auto"/>
              <w:ind w:firstLine="480" w:firstLineChars="200"/>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答：2025年上半年，公司研发投入2,825.36万元，同比增长23.78%，占营业收入6.71%。公司研发投入主要聚焦三大方向：一是智能网联系统系列产品的研发，致力于提升相关产品智能化水平，以及数据交互、挖掘、分析、应用能力；二是新能源汽车电机与热管理系统系列产品技术创新，完善、拓展智能热管理系统产品系列；三是包括移动医疗车在内的专用车产品的研发，持续探索移动医疗、专用车领域的业务可能性。公司研发项目多为应用阶段研发，以实现产业化为目标，一般项目研发周期为1-2年。</w:t>
            </w:r>
          </w:p>
          <w:p w14:paraId="6D1F9741">
            <w:pPr>
              <w:spacing w:line="360" w:lineRule="auto"/>
              <w:ind w:firstLine="480"/>
              <w:rPr>
                <w:rFonts w:ascii="宋体" w:hAnsi="宋体" w:cs="宋体"/>
                <w:sz w:val="24"/>
              </w:rPr>
            </w:pPr>
            <w:r>
              <w:rPr>
                <w:rFonts w:hint="eastAsia" w:ascii="宋体" w:hAnsi="宋体" w:cs="宋体"/>
                <w:sz w:val="24"/>
              </w:rPr>
              <w:t>关于本次说明会的具体情况，投资者可登录上证路演中心（</w:t>
            </w:r>
            <w:r>
              <w:rPr>
                <w:sz w:val="24"/>
              </w:rPr>
              <w:t>roadshow.sseinfo.com</w:t>
            </w:r>
            <w:r>
              <w:rPr>
                <w:rFonts w:hint="eastAsia" w:ascii="宋体" w:hAnsi="宋体" w:cs="宋体"/>
                <w:sz w:val="24"/>
              </w:rPr>
              <w:t>）查看。</w:t>
            </w:r>
          </w:p>
        </w:tc>
      </w:tr>
      <w:tr w14:paraId="4592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01" w:type="pct"/>
          </w:tcPr>
          <w:p w14:paraId="32D0A633">
            <w:pPr>
              <w:spacing w:line="480" w:lineRule="atLeast"/>
              <w:jc w:val="center"/>
              <w:rPr>
                <w:rFonts w:ascii="宋体" w:hAnsi="宋体" w:cs="宋体"/>
                <w:b/>
                <w:bCs/>
                <w:iCs/>
                <w:color w:val="000000"/>
                <w:sz w:val="24"/>
              </w:rPr>
            </w:pPr>
            <w:r>
              <w:rPr>
                <w:rFonts w:hint="eastAsia" w:ascii="宋体" w:hAnsi="宋体" w:cs="宋体"/>
                <w:b/>
                <w:bCs/>
                <w:iCs/>
                <w:color w:val="000000"/>
                <w:sz w:val="24"/>
              </w:rPr>
              <w:t>整理日期</w:t>
            </w:r>
          </w:p>
        </w:tc>
        <w:tc>
          <w:tcPr>
            <w:tcW w:w="3899" w:type="pct"/>
          </w:tcPr>
          <w:p w14:paraId="699BC78B">
            <w:pPr>
              <w:spacing w:line="480" w:lineRule="atLeast"/>
              <w:jc w:val="left"/>
              <w:rPr>
                <w:bCs/>
                <w:iCs/>
                <w:color w:val="000000"/>
                <w:sz w:val="24"/>
              </w:rPr>
            </w:pPr>
            <w:r>
              <w:rPr>
                <w:bCs/>
                <w:iCs/>
                <w:color w:val="000000"/>
                <w:sz w:val="24"/>
              </w:rPr>
              <w:t>202</w:t>
            </w:r>
            <w:r>
              <w:rPr>
                <w:rFonts w:hint="eastAsia"/>
                <w:bCs/>
                <w:iCs/>
                <w:color w:val="000000"/>
                <w:sz w:val="24"/>
                <w:lang w:val="en-US" w:eastAsia="zh-CN"/>
              </w:rPr>
              <w:t>5</w:t>
            </w:r>
            <w:r>
              <w:rPr>
                <w:bCs/>
                <w:iCs/>
                <w:color w:val="000000"/>
                <w:sz w:val="24"/>
              </w:rPr>
              <w:t>年</w:t>
            </w:r>
            <w:r>
              <w:rPr>
                <w:rFonts w:hint="eastAsia"/>
                <w:bCs/>
                <w:iCs/>
                <w:color w:val="000000"/>
                <w:sz w:val="24"/>
                <w:lang w:val="en-US" w:eastAsia="zh-CN"/>
              </w:rPr>
              <w:t>9</w:t>
            </w:r>
            <w:r>
              <w:rPr>
                <w:bCs/>
                <w:iCs/>
                <w:color w:val="000000"/>
                <w:sz w:val="24"/>
              </w:rPr>
              <w:t>月</w:t>
            </w:r>
            <w:r>
              <w:rPr>
                <w:rFonts w:hint="eastAsia"/>
                <w:bCs/>
                <w:iCs/>
                <w:color w:val="000000"/>
                <w:sz w:val="24"/>
                <w:lang w:val="en-US" w:eastAsia="zh-CN"/>
              </w:rPr>
              <w:t>19</w:t>
            </w:r>
            <w:r>
              <w:rPr>
                <w:bCs/>
                <w:iCs/>
                <w:color w:val="000000"/>
                <w:sz w:val="24"/>
              </w:rPr>
              <w:t>日</w:t>
            </w:r>
          </w:p>
        </w:tc>
      </w:tr>
    </w:tbl>
    <w:p w14:paraId="78916204"/>
    <w:p w14:paraId="0D87C2F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FDFF3">
    <w:pPr>
      <w:pStyle w:val="4"/>
      <w:jc w:val="center"/>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A770B"/>
    <w:multiLevelType w:val="singleLevel"/>
    <w:tmpl w:val="F3FA77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NmUwNjYxMWZjZDhjNGVlZGMwMTI5ZDRjNDg2NWMifQ=="/>
  </w:docVars>
  <w:rsids>
    <w:rsidRoot w:val="00424937"/>
    <w:rsid w:val="000660FD"/>
    <w:rsid w:val="000C72F5"/>
    <w:rsid w:val="001135BD"/>
    <w:rsid w:val="00114922"/>
    <w:rsid w:val="00140D2A"/>
    <w:rsid w:val="00160351"/>
    <w:rsid w:val="00167E28"/>
    <w:rsid w:val="00181C7C"/>
    <w:rsid w:val="001B129E"/>
    <w:rsid w:val="001E0A8C"/>
    <w:rsid w:val="001F37D2"/>
    <w:rsid w:val="00237A3A"/>
    <w:rsid w:val="002440FF"/>
    <w:rsid w:val="0026467F"/>
    <w:rsid w:val="00286794"/>
    <w:rsid w:val="00286C53"/>
    <w:rsid w:val="002B4A6A"/>
    <w:rsid w:val="002E3833"/>
    <w:rsid w:val="002F6020"/>
    <w:rsid w:val="0030290D"/>
    <w:rsid w:val="003504C4"/>
    <w:rsid w:val="00370C7E"/>
    <w:rsid w:val="003F6125"/>
    <w:rsid w:val="00406179"/>
    <w:rsid w:val="00424937"/>
    <w:rsid w:val="00443C06"/>
    <w:rsid w:val="00447659"/>
    <w:rsid w:val="00463D24"/>
    <w:rsid w:val="004850AB"/>
    <w:rsid w:val="00490553"/>
    <w:rsid w:val="004A0DA9"/>
    <w:rsid w:val="00570F02"/>
    <w:rsid w:val="005B5046"/>
    <w:rsid w:val="005C0DED"/>
    <w:rsid w:val="005F2A72"/>
    <w:rsid w:val="005F4A9C"/>
    <w:rsid w:val="00617C46"/>
    <w:rsid w:val="00632158"/>
    <w:rsid w:val="006375B6"/>
    <w:rsid w:val="00670690"/>
    <w:rsid w:val="00687F8F"/>
    <w:rsid w:val="006D1375"/>
    <w:rsid w:val="00717434"/>
    <w:rsid w:val="007500AE"/>
    <w:rsid w:val="00780188"/>
    <w:rsid w:val="0078630A"/>
    <w:rsid w:val="00790597"/>
    <w:rsid w:val="007A5969"/>
    <w:rsid w:val="008311DB"/>
    <w:rsid w:val="00865725"/>
    <w:rsid w:val="008A0F4B"/>
    <w:rsid w:val="008A3F32"/>
    <w:rsid w:val="008C04F9"/>
    <w:rsid w:val="009210AE"/>
    <w:rsid w:val="00977B41"/>
    <w:rsid w:val="00995962"/>
    <w:rsid w:val="009E1E42"/>
    <w:rsid w:val="00A008A9"/>
    <w:rsid w:val="00A54167"/>
    <w:rsid w:val="00AB2F2D"/>
    <w:rsid w:val="00AB5D82"/>
    <w:rsid w:val="00AC14A4"/>
    <w:rsid w:val="00AC1EB0"/>
    <w:rsid w:val="00B63E26"/>
    <w:rsid w:val="00B77146"/>
    <w:rsid w:val="00B800FD"/>
    <w:rsid w:val="00BA25AC"/>
    <w:rsid w:val="00BA30C2"/>
    <w:rsid w:val="00BD03F8"/>
    <w:rsid w:val="00BD6F4C"/>
    <w:rsid w:val="00BE7893"/>
    <w:rsid w:val="00CE0CC9"/>
    <w:rsid w:val="00D07144"/>
    <w:rsid w:val="00D23168"/>
    <w:rsid w:val="00D34A4F"/>
    <w:rsid w:val="00DF5BE3"/>
    <w:rsid w:val="00E01BCB"/>
    <w:rsid w:val="00E46B4A"/>
    <w:rsid w:val="00E5655F"/>
    <w:rsid w:val="00EC103B"/>
    <w:rsid w:val="00ED079F"/>
    <w:rsid w:val="00EF2611"/>
    <w:rsid w:val="00F90B3D"/>
    <w:rsid w:val="00FC6099"/>
    <w:rsid w:val="00FF21D6"/>
    <w:rsid w:val="03455B52"/>
    <w:rsid w:val="0A2A7085"/>
    <w:rsid w:val="0DAE0BA6"/>
    <w:rsid w:val="0F6C2C3F"/>
    <w:rsid w:val="13CF7127"/>
    <w:rsid w:val="14F93B44"/>
    <w:rsid w:val="1CAE153A"/>
    <w:rsid w:val="1F7F3994"/>
    <w:rsid w:val="201B5C14"/>
    <w:rsid w:val="21DF022A"/>
    <w:rsid w:val="23723B40"/>
    <w:rsid w:val="28150BBD"/>
    <w:rsid w:val="2B353E5D"/>
    <w:rsid w:val="371A716A"/>
    <w:rsid w:val="38083610"/>
    <w:rsid w:val="3C0A11D2"/>
    <w:rsid w:val="439125FD"/>
    <w:rsid w:val="451078BA"/>
    <w:rsid w:val="485C1EAF"/>
    <w:rsid w:val="48644951"/>
    <w:rsid w:val="48E7672C"/>
    <w:rsid w:val="48F01CCF"/>
    <w:rsid w:val="4AAB55FC"/>
    <w:rsid w:val="4B2D736B"/>
    <w:rsid w:val="4E0D48F5"/>
    <w:rsid w:val="4E732176"/>
    <w:rsid w:val="5C823B46"/>
    <w:rsid w:val="6F0C44C5"/>
    <w:rsid w:val="78174AB4"/>
    <w:rsid w:val="79675312"/>
    <w:rsid w:val="7AE25EE5"/>
    <w:rsid w:val="7CBF2237"/>
    <w:rsid w:val="7DD4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eastAsia="等线"/>
      <w:szCs w:val="24"/>
    </w:rPr>
  </w:style>
  <w:style w:type="paragraph" w:styleId="3">
    <w:name w:val="Balloon Text"/>
    <w:basedOn w:val="1"/>
    <w:link w:val="14"/>
    <w:semiHidden/>
    <w:unhideWhenUsed/>
    <w:qFormat/>
    <w:uiPriority w:val="99"/>
    <w:rPr>
      <w:rFonts w:eastAsia="等线"/>
      <w:sz w:val="18"/>
      <w:szCs w:val="18"/>
    </w:rPr>
  </w:style>
  <w:style w:type="paragraph" w:styleId="4">
    <w:name w:val="footer"/>
    <w:basedOn w:val="1"/>
    <w:link w:val="12"/>
    <w:unhideWhenUsed/>
    <w:qFormat/>
    <w:uiPriority w:val="99"/>
    <w:pPr>
      <w:tabs>
        <w:tab w:val="center" w:pos="4153"/>
        <w:tab w:val="right" w:pos="8306"/>
      </w:tabs>
      <w:snapToGrid w:val="0"/>
      <w:jc w:val="left"/>
    </w:pPr>
    <w:rPr>
      <w:kern w:val="0"/>
      <w:sz w:val="18"/>
      <w:szCs w:val="18"/>
      <w:lang w:val="zh-CN"/>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6">
    <w:name w:val="Normal (Web)"/>
    <w:basedOn w:val="1"/>
    <w:unhideWhenUsed/>
    <w:qFormat/>
    <w:uiPriority w:val="99"/>
    <w:pPr>
      <w:spacing w:beforeAutospacing="1" w:afterAutospacing="1"/>
      <w:jc w:val="left"/>
    </w:pPr>
    <w:rPr>
      <w:rFonts w:eastAsia="等线"/>
      <w:kern w:val="0"/>
      <w:sz w:val="24"/>
      <w:szCs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semiHidden/>
    <w:qFormat/>
    <w:uiPriority w:val="99"/>
    <w:rPr>
      <w:rFonts w:ascii="Times New Roman" w:hAnsi="Times New Roman" w:eastAsia="等线" w:cs="Times New Roman"/>
      <w:sz w:val="18"/>
      <w:szCs w:val="18"/>
    </w:rPr>
  </w:style>
  <w:style w:type="character" w:customStyle="1" w:styleId="12">
    <w:name w:val="页脚 字符1"/>
    <w:link w:val="4"/>
    <w:qFormat/>
    <w:uiPriority w:val="99"/>
    <w:rPr>
      <w:rFonts w:ascii="Times New Roman" w:hAnsi="Times New Roman" w:eastAsia="宋体" w:cs="Times New Roman"/>
      <w:kern w:val="0"/>
      <w:sz w:val="18"/>
      <w:szCs w:val="18"/>
      <w:lang w:val="zh-CN" w:eastAsia="zh-CN"/>
    </w:rPr>
  </w:style>
  <w:style w:type="character" w:customStyle="1" w:styleId="13">
    <w:name w:val="页眉 字符"/>
    <w:basedOn w:val="9"/>
    <w:link w:val="5"/>
    <w:qFormat/>
    <w:uiPriority w:val="99"/>
    <w:rPr>
      <w:rFonts w:eastAsia="等线"/>
      <w:kern w:val="2"/>
      <w:sz w:val="18"/>
      <w:szCs w:val="18"/>
    </w:rPr>
  </w:style>
  <w:style w:type="character" w:customStyle="1" w:styleId="14">
    <w:name w:val="批注框文本 字符"/>
    <w:basedOn w:val="9"/>
    <w:link w:val="3"/>
    <w:semiHidden/>
    <w:qFormat/>
    <w:uiPriority w:val="99"/>
    <w:rPr>
      <w:rFonts w:eastAsia="等线"/>
      <w:kern w:val="2"/>
      <w:sz w:val="18"/>
      <w:szCs w:val="18"/>
    </w:rPr>
  </w:style>
  <w:style w:type="character" w:customStyle="1" w:styleId="15">
    <w:name w:val="批注文字 字符"/>
    <w:basedOn w:val="9"/>
    <w:link w:val="2"/>
    <w:semiHidden/>
    <w:qFormat/>
    <w:uiPriority w:val="99"/>
    <w:rPr>
      <w:rFonts w:eastAsia="等线"/>
      <w:kern w:val="2"/>
      <w:sz w:val="21"/>
      <w:szCs w:val="24"/>
    </w:rPr>
  </w:style>
  <w:style w:type="character" w:customStyle="1" w:styleId="16">
    <w:name w:val="批注主题 字符"/>
    <w:basedOn w:val="15"/>
    <w:link w:val="7"/>
    <w:semiHidden/>
    <w:qFormat/>
    <w:uiPriority w:val="99"/>
    <w:rPr>
      <w:rFonts w:eastAsia="等线"/>
      <w:b/>
      <w:bCs/>
      <w:kern w:val="2"/>
      <w:sz w:val="21"/>
      <w:szCs w:val="24"/>
    </w:rPr>
  </w:style>
  <w:style w:type="paragraph" w:customStyle="1" w:styleId="17">
    <w:name w:val="修订1"/>
    <w:hidden/>
    <w:unhideWhenUsed/>
    <w:qFormat/>
    <w:uiPriority w:val="99"/>
    <w:rPr>
      <w:rFonts w:ascii="Times New Roman" w:hAnsi="Times New Roman" w:eastAsia="等线" w:cs="Times New Roman"/>
      <w:kern w:val="2"/>
      <w:sz w:val="21"/>
      <w:szCs w:val="24"/>
      <w:lang w:val="en-US" w:eastAsia="zh-CN" w:bidi="ar-SA"/>
    </w:rPr>
  </w:style>
  <w:style w:type="paragraph" w:customStyle="1" w:styleId="18">
    <w:name w:val="修订2"/>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1420</Words>
  <Characters>1550</Characters>
  <Lines>9</Lines>
  <Paragraphs>2</Paragraphs>
  <TotalTime>0</TotalTime>
  <ScaleCrop>false</ScaleCrop>
  <LinksUpToDate>false</LinksUpToDate>
  <CharactersWithSpaces>1635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2024-10-16T07:34:00Z</dcterms:created>
  <dc:creator>shalldo-zzhou</dc:creator>
  <cp:lastModifiedBy>Lyq</cp:lastModifiedBy>
  <cp:lastPrinted>2024-06-27T13:32:00Z</cp:lastPrinted>
  <dcterms:modified xsi:type="dcterms:W3CDTF">2025-09-19T07:57:37Z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224C17DC86B04EE2A2618CDB2E60E9B3_13</vt:lpwstr>
  </property>
  <property fmtid="{D5CDD505-2E9C-101B-9397-08002B2CF9AE}" pid="4" name="KSOTemplateDocerSaveRecord">
    <vt:lpwstr>eyJoZGlkIjoiN2M0NmUwNjYxMWZjZDhjNGVlZGMwMTI5ZDRjNDg2NWMifQ==</vt:lpwstr>
  </property>
</Properties>
</file>