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E5" w:rsidRDefault="00871913">
      <w:pPr>
        <w:spacing w:line="400" w:lineRule="exact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证券代码：</w:t>
      </w:r>
      <w:r w:rsidR="00524AC5">
        <w:rPr>
          <w:rFonts w:ascii="宋体" w:eastAsia="宋体" w:hAnsi="宋体" w:hint="eastAsia"/>
          <w:color w:val="000000"/>
          <w:sz w:val="24"/>
        </w:rPr>
        <w:t>600615</w:t>
      </w:r>
      <w:r>
        <w:rPr>
          <w:rFonts w:ascii="宋体" w:eastAsia="宋体" w:hAnsi="宋体" w:hint="eastAsia"/>
          <w:color w:val="000000"/>
          <w:sz w:val="24"/>
        </w:rPr>
        <w:t xml:space="preserve">                              </w:t>
      </w:r>
      <w:r>
        <w:rPr>
          <w:rFonts w:ascii="宋体" w:eastAsia="宋体" w:hAnsi="宋体"/>
          <w:color w:val="000000"/>
          <w:sz w:val="24"/>
        </w:rPr>
        <w:t xml:space="preserve">     </w:t>
      </w:r>
      <w:r>
        <w:rPr>
          <w:rFonts w:ascii="宋体" w:eastAsia="宋体" w:hAnsi="宋体" w:hint="eastAsia"/>
          <w:color w:val="000000"/>
          <w:sz w:val="24"/>
        </w:rPr>
        <w:t>证券简称：</w:t>
      </w:r>
      <w:r w:rsidR="0006795B">
        <w:rPr>
          <w:rFonts w:ascii="宋体" w:eastAsia="宋体" w:hAnsi="宋体" w:hint="eastAsia"/>
          <w:color w:val="000000"/>
          <w:sz w:val="24"/>
        </w:rPr>
        <w:t>鑫源智造</w:t>
      </w:r>
    </w:p>
    <w:p w:rsidR="001D49E5" w:rsidRDefault="00524AC5" w:rsidP="00BB0B38">
      <w:pPr>
        <w:spacing w:beforeLines="50" w:afterLines="50" w:line="400" w:lineRule="exact"/>
        <w:jc w:val="center"/>
        <w:rPr>
          <w:rFonts w:ascii="宋体" w:eastAsia="宋体" w:hAnsi="宋体"/>
          <w:b/>
          <w:color w:val="000000"/>
          <w:sz w:val="32"/>
        </w:rPr>
      </w:pPr>
      <w:r>
        <w:rPr>
          <w:rFonts w:ascii="宋体" w:eastAsia="宋体" w:hAnsi="宋体" w:hint="eastAsia"/>
          <w:b/>
          <w:color w:val="000000"/>
          <w:sz w:val="32"/>
        </w:rPr>
        <w:t>重庆</w:t>
      </w:r>
      <w:r w:rsidR="00D864F4">
        <w:rPr>
          <w:rFonts w:ascii="宋体" w:eastAsia="宋体" w:hAnsi="宋体" w:hint="eastAsia"/>
          <w:b/>
          <w:color w:val="000000"/>
          <w:sz w:val="32"/>
        </w:rPr>
        <w:t>鑫源智造科技</w:t>
      </w:r>
      <w:r>
        <w:rPr>
          <w:rFonts w:ascii="宋体" w:eastAsia="宋体" w:hAnsi="宋体" w:hint="eastAsia"/>
          <w:b/>
          <w:color w:val="000000"/>
          <w:sz w:val="32"/>
        </w:rPr>
        <w:t>股份有限公司</w:t>
      </w:r>
    </w:p>
    <w:p w:rsidR="001D49E5" w:rsidRDefault="00871913" w:rsidP="00BB0B38">
      <w:pPr>
        <w:spacing w:beforeLines="50" w:afterLines="50" w:line="400" w:lineRule="exact"/>
        <w:jc w:val="center"/>
        <w:rPr>
          <w:rFonts w:ascii="宋体" w:eastAsia="宋体" w:hAnsi="宋体"/>
          <w:b/>
          <w:color w:val="000000"/>
          <w:sz w:val="32"/>
        </w:rPr>
      </w:pPr>
      <w:r>
        <w:rPr>
          <w:rFonts w:ascii="宋体" w:eastAsia="宋体" w:hAnsi="宋体" w:hint="eastAsia"/>
          <w:b/>
          <w:color w:val="000000"/>
          <w:sz w:val="32"/>
        </w:rPr>
        <w:t>投资者关系活动记录表</w:t>
      </w:r>
    </w:p>
    <w:p w:rsidR="001D49E5" w:rsidRDefault="00871913">
      <w:pPr>
        <w:spacing w:line="400" w:lineRule="exact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 xml:space="preserve">                                                  </w:t>
      </w:r>
      <w:r>
        <w:rPr>
          <w:rFonts w:ascii="宋体" w:eastAsia="宋体" w:hAnsi="宋体"/>
          <w:color w:val="000000"/>
          <w:sz w:val="24"/>
        </w:rPr>
        <w:t xml:space="preserve">    </w:t>
      </w:r>
      <w:r>
        <w:rPr>
          <w:rFonts w:ascii="宋体" w:eastAsia="宋体" w:hAnsi="宋体" w:hint="eastAsia"/>
          <w:color w:val="000000"/>
          <w:sz w:val="24"/>
        </w:rPr>
        <w:t>编号：</w:t>
      </w:r>
      <w:r>
        <w:rPr>
          <w:rFonts w:ascii="宋体" w:eastAsia="宋体" w:hAnsi="宋体" w:hint="eastAsia"/>
          <w:color w:val="000000"/>
          <w:sz w:val="24"/>
        </w:rPr>
        <w:t>2</w:t>
      </w:r>
      <w:r>
        <w:rPr>
          <w:rFonts w:ascii="宋体" w:eastAsia="宋体" w:hAnsi="宋体"/>
          <w:color w:val="000000"/>
          <w:sz w:val="24"/>
        </w:rPr>
        <w:t>025-00</w:t>
      </w:r>
      <w:r w:rsidR="00DE725F">
        <w:rPr>
          <w:rFonts w:ascii="宋体" w:eastAsia="宋体" w:hAnsi="宋体" w:hint="eastAsia"/>
          <w:color w:val="000000"/>
          <w:sz w:val="24"/>
        </w:rPr>
        <w:t>2</w:t>
      </w:r>
    </w:p>
    <w:tbl>
      <w:tblPr>
        <w:tblStyle w:val="a8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7649"/>
      </w:tblGrid>
      <w:tr w:rsidR="001D49E5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E5" w:rsidRDefault="00871913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投资者关系活动类别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E5" w:rsidRDefault="002A685A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="00A96190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="00A961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="00A96190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:rsidR="001D49E5" w:rsidRDefault="00871913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</w:t>
            </w:r>
            <w:r w:rsidR="007F10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:rsidR="001D49E5" w:rsidRDefault="00871913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:rsidR="001D49E5" w:rsidRDefault="00871913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现场参观</w:t>
            </w:r>
          </w:p>
          <w:p w:rsidR="001D49E5" w:rsidRDefault="00871913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1D49E5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E5" w:rsidRDefault="002639C6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 w:rsidRPr="002639C6">
              <w:rPr>
                <w:rFonts w:ascii="宋体" w:eastAsia="宋体" w:hAnsi="宋体" w:hint="eastAsia"/>
                <w:color w:val="000000"/>
                <w:sz w:val="24"/>
              </w:rPr>
              <w:t>活动内容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832" w:rsidRDefault="002639C6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鑫源智造2025年半年度业绩说明会</w:t>
            </w:r>
          </w:p>
        </w:tc>
      </w:tr>
      <w:tr w:rsidR="001D49E5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E5" w:rsidRDefault="00871913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E5" w:rsidRDefault="00871913">
            <w:pPr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/>
                <w:color w:val="000000"/>
                <w:sz w:val="24"/>
              </w:rPr>
              <w:t>025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  <w:r w:rsidR="0070603D">
              <w:rPr>
                <w:rFonts w:ascii="宋体" w:eastAsia="宋体" w:hAnsi="宋体" w:hint="eastAsia"/>
                <w:color w:val="000000"/>
                <w:sz w:val="24"/>
              </w:rPr>
              <w:t>9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月</w:t>
            </w:r>
            <w:r w:rsidR="0070603D">
              <w:rPr>
                <w:rFonts w:ascii="宋体" w:eastAsia="宋体" w:hAnsi="宋体" w:hint="eastAsia"/>
                <w:color w:val="000000"/>
                <w:sz w:val="24"/>
              </w:rPr>
              <w:t>22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日</w:t>
            </w:r>
            <w:r w:rsidR="00707832"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  <w:r w:rsidR="0070603D"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:</w:t>
            </w:r>
            <w:r w:rsidR="00707832">
              <w:rPr>
                <w:rFonts w:ascii="宋体" w:eastAsia="宋体" w:hAnsi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0-1</w:t>
            </w:r>
            <w:r w:rsidR="0070603D"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:00</w:t>
            </w:r>
          </w:p>
        </w:tc>
      </w:tr>
      <w:tr w:rsidR="001D49E5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E5" w:rsidRDefault="00871913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地点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880" w:rsidRDefault="00F814AE" w:rsidP="00185AC4">
            <w:pPr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 w:rsidRPr="00F814AE">
              <w:rPr>
                <w:rFonts w:ascii="宋体" w:eastAsia="宋体" w:hAnsi="宋体" w:hint="eastAsia"/>
                <w:color w:val="000000"/>
                <w:sz w:val="24"/>
              </w:rPr>
              <w:t>上海证券交易所上证路演中心（http://roadshow.sseinfo.com）</w:t>
            </w:r>
          </w:p>
        </w:tc>
      </w:tr>
      <w:tr w:rsidR="001D49E5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E5" w:rsidRDefault="00871913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上市公司接待人员姓名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B8" w:rsidRDefault="000A20D8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总经理钟秉福先生</w:t>
            </w:r>
          </w:p>
          <w:p w:rsidR="00C973B8" w:rsidRDefault="000A20D8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财务总监郑婧女士</w:t>
            </w:r>
          </w:p>
          <w:p w:rsidR="00C973B8" w:rsidRDefault="000A20D8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董事会秘书邹莎女士</w:t>
            </w:r>
          </w:p>
          <w:p w:rsidR="00185AC4" w:rsidRDefault="000A20D8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独立董事冉茂盛先生</w:t>
            </w:r>
          </w:p>
        </w:tc>
      </w:tr>
      <w:tr w:rsidR="001D49E5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E5" w:rsidRDefault="00871913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投资者关系活动主要内容介绍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E5" w:rsidRDefault="00AD5FD7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问题1:</w:t>
            </w:r>
            <w:r w:rsidR="009E299C" w:rsidRPr="009E299C">
              <w:rPr>
                <w:rFonts w:ascii="宋体" w:eastAsia="宋体" w:hAnsi="宋体"/>
                <w:color w:val="000000"/>
                <w:sz w:val="24"/>
              </w:rPr>
              <w:t>公司提出“轻量化+智能化”双轮驱动，且已启动人形机器人材料替代研究。能否举例说明，当前农机/通机业务中已落地的智能化场景（如自动驾驶、远程运维等）？未来3年，智能化研发投入占比预计提升至多少？</w:t>
            </w:r>
          </w:p>
          <w:p w:rsidR="00AD43BA" w:rsidRPr="007475B5" w:rsidRDefault="00AD5FD7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475B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答:</w:t>
            </w:r>
            <w:r w:rsidR="00A06704" w:rsidRPr="007475B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bookmarkStart w:id="0" w:name="OLE_LINK5"/>
            <w:r w:rsidR="00C86B4A" w:rsidRPr="00C86B4A">
              <w:rPr>
                <w:rFonts w:ascii="宋体" w:eastAsia="宋体" w:hAnsi="宋体" w:hint="eastAsia"/>
                <w:sz w:val="24"/>
                <w:szCs w:val="24"/>
              </w:rPr>
              <w:t>公司近期在将原“丰华股份”名称变更为“鑫源智造”品牌焕新之际，发布了新品牌下全新战略规划，即以“轻量化+智能化”作双轮驱动，聚焦户外作业装备，将目前镁合金轻量化部件制造业务与农机、通机、园林机械产品业务提档升级，筑牢公司发展根基。公司的新战略聚焦于“镁合金轻量化材料的广泛应用”与“产品电动化、智能化、无人化系统集成”的双轮驱动，核心是依托公司在镁铝合金轻量化领域应用技术的深厚积累，将汽车零部件配套服务业务拓展至高端智能制造装备领域，如无人机、服务机器人、智能户外作业装备等，逐步由轻量化零部件提供商升级为主机产品的整体解决方案服务商。</w:t>
            </w:r>
            <w:bookmarkEnd w:id="0"/>
          </w:p>
          <w:p w:rsidR="00AD43BA" w:rsidRDefault="00AD43BA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问题2：</w:t>
            </w:r>
            <w:r w:rsidRPr="004458A7">
              <w:rPr>
                <w:rFonts w:ascii="宋体" w:eastAsia="宋体" w:hAnsi="宋体"/>
                <w:color w:val="000000"/>
                <w:sz w:val="24"/>
              </w:rPr>
              <w:t>上半年应收账款同比激增183.08%，远超营收增速。请问这一变化是否与鑫源农机并表后的渠道整合相关？公司如何评估客户信用风险？是否有针对性的回款优化措施（如账期管理、供应链金融等）？</w:t>
            </w:r>
          </w:p>
          <w:p w:rsidR="00AD43BA" w:rsidRDefault="00AD43BA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答：</w:t>
            </w:r>
            <w:bookmarkStart w:id="1" w:name="OLE_LINK3"/>
            <w:r w:rsidR="00BB0B38">
              <w:rPr>
                <w:rFonts w:ascii="宋体" w:eastAsia="宋体" w:hAnsi="宋体" w:hint="eastAsia"/>
                <w:color w:val="000000"/>
                <w:sz w:val="24"/>
              </w:rPr>
              <w:t>公司上半年应收账款同比激增，主要</w:t>
            </w:r>
            <w:r w:rsidR="00C86B4A" w:rsidRPr="00C86B4A">
              <w:rPr>
                <w:rFonts w:ascii="宋体" w:eastAsia="宋体" w:hAnsi="宋体" w:hint="eastAsia"/>
                <w:color w:val="000000"/>
                <w:sz w:val="24"/>
              </w:rPr>
              <w:t>因</w:t>
            </w:r>
            <w:r w:rsidR="00BB0B38">
              <w:rPr>
                <w:rFonts w:ascii="宋体" w:eastAsia="宋体" w:hAnsi="宋体" w:hint="eastAsia"/>
                <w:color w:val="000000"/>
                <w:sz w:val="24"/>
              </w:rPr>
              <w:t>报告期内</w:t>
            </w:r>
            <w:r w:rsidR="00C86B4A" w:rsidRPr="00C86B4A">
              <w:rPr>
                <w:rFonts w:ascii="宋体" w:eastAsia="宋体" w:hAnsi="宋体" w:hint="eastAsia"/>
                <w:color w:val="000000"/>
                <w:sz w:val="24"/>
              </w:rPr>
              <w:t>鑫源农机并入后营收规模大幅增加，应收账款相应增加。公司十分重视客户管理，建立了较</w:t>
            </w:r>
            <w:r w:rsidR="00BB0B38">
              <w:rPr>
                <w:rFonts w:ascii="宋体" w:eastAsia="宋体" w:hAnsi="宋体" w:hint="eastAsia"/>
                <w:color w:val="000000"/>
                <w:sz w:val="24"/>
              </w:rPr>
              <w:t>完善的应收账款监督与预警机制，鑫源农机建立了应收账款管理制度，</w:t>
            </w:r>
            <w:r w:rsidR="00C86B4A" w:rsidRPr="00C86B4A">
              <w:rPr>
                <w:rFonts w:ascii="宋体" w:eastAsia="宋体" w:hAnsi="宋体" w:hint="eastAsia"/>
                <w:color w:val="000000"/>
                <w:sz w:val="24"/>
              </w:rPr>
              <w:t>通过定期跟踪应收账款回款的形式加强应收账款的催收，</w:t>
            </w:r>
            <w:r w:rsidR="00BB0B38" w:rsidRPr="00C86B4A">
              <w:rPr>
                <w:rFonts w:ascii="宋体" w:eastAsia="宋体" w:hAnsi="宋体" w:hint="eastAsia"/>
                <w:color w:val="000000"/>
                <w:sz w:val="24"/>
              </w:rPr>
              <w:t>不断加强应收账款的日常安全管理工作</w:t>
            </w:r>
            <w:r w:rsidR="00BB0B38" w:rsidRPr="0053740F"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  <w:r w:rsidR="00C86B4A" w:rsidRPr="00C86B4A">
              <w:rPr>
                <w:rFonts w:ascii="宋体" w:eastAsia="宋体" w:hAnsi="宋体" w:hint="eastAsia"/>
                <w:color w:val="000000"/>
                <w:sz w:val="24"/>
              </w:rPr>
              <w:t>目前公司的应收账款处于良性周转，后期</w:t>
            </w:r>
            <w:r w:rsidR="00BB0B38">
              <w:rPr>
                <w:rFonts w:ascii="宋体" w:eastAsia="宋体" w:hAnsi="宋体" w:hint="eastAsia"/>
                <w:color w:val="000000"/>
                <w:sz w:val="24"/>
              </w:rPr>
              <w:t>将适时</w:t>
            </w:r>
            <w:r w:rsidR="00C86B4A" w:rsidRPr="00C86B4A">
              <w:rPr>
                <w:rFonts w:ascii="宋体" w:eastAsia="宋体" w:hAnsi="宋体" w:hint="eastAsia"/>
                <w:color w:val="000000"/>
                <w:sz w:val="24"/>
              </w:rPr>
              <w:t>引入金融工具</w:t>
            </w:r>
            <w:r w:rsidR="00BB0B38">
              <w:rPr>
                <w:rFonts w:ascii="宋体" w:eastAsia="宋体" w:hAnsi="宋体" w:hint="eastAsia"/>
                <w:color w:val="000000"/>
                <w:sz w:val="24"/>
              </w:rPr>
              <w:t>以</w:t>
            </w:r>
            <w:r w:rsidR="00C86B4A" w:rsidRPr="00C86B4A">
              <w:rPr>
                <w:rFonts w:ascii="宋体" w:eastAsia="宋体" w:hAnsi="宋体" w:hint="eastAsia"/>
                <w:color w:val="000000"/>
                <w:sz w:val="24"/>
              </w:rPr>
              <w:t>减少</w:t>
            </w:r>
            <w:r w:rsidR="00BB0B38">
              <w:rPr>
                <w:rFonts w:ascii="宋体" w:eastAsia="宋体" w:hAnsi="宋体" w:hint="eastAsia"/>
                <w:color w:val="000000"/>
                <w:sz w:val="24"/>
              </w:rPr>
              <w:t>相关</w:t>
            </w:r>
            <w:r w:rsidR="00C86B4A" w:rsidRPr="00C86B4A">
              <w:rPr>
                <w:rFonts w:ascii="宋体" w:eastAsia="宋体" w:hAnsi="宋体" w:hint="eastAsia"/>
                <w:color w:val="000000"/>
                <w:sz w:val="24"/>
              </w:rPr>
              <w:t>风险</w:t>
            </w:r>
            <w:bookmarkEnd w:id="1"/>
            <w:r w:rsidR="00BB0B38"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</w:p>
          <w:p w:rsidR="00AD43BA" w:rsidRDefault="00AD43BA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</w:p>
          <w:p w:rsidR="004458A7" w:rsidRDefault="004458A7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问题</w:t>
            </w:r>
            <w:r w:rsidR="00AD43BA">
              <w:rPr>
                <w:rFonts w:ascii="宋体" w:eastAsia="宋体" w:hAnsi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  <w:r w:rsidRPr="004458A7">
              <w:rPr>
                <w:rFonts w:ascii="宋体" w:eastAsia="宋体" w:hAnsi="宋体"/>
                <w:color w:val="000000"/>
                <w:sz w:val="24"/>
              </w:rPr>
              <w:t>报告显示，剔除鑫源农机并表后，原有镁铝合金压铸业务营收同比增长7.91%，扣非净利润增长149.98%。请问管理层，这一增长主要来自技术升级、客户拓展还是产能释放？未来是否有明确的订单储备或研发投入计划，以支撑该业务的持续增长？</w:t>
            </w:r>
          </w:p>
          <w:p w:rsidR="004458A7" w:rsidRDefault="004458A7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答：</w:t>
            </w:r>
            <w:bookmarkStart w:id="2" w:name="OLE_LINK4"/>
            <w:r w:rsidR="00F73C3A" w:rsidRPr="00F73C3A">
              <w:rPr>
                <w:rFonts w:ascii="宋体" w:eastAsia="宋体" w:hAnsi="宋体" w:hint="eastAsia"/>
                <w:color w:val="000000"/>
                <w:sz w:val="24"/>
              </w:rPr>
              <w:t>报告期内，按上年同口径，原有镁铝合金压铸等业务营收同比增长 7.91%，扣非净利润增长 149.98%。这一增长主要来源于客户拓展、原材料波动</w:t>
            </w:r>
            <w:r w:rsidR="00E246BF">
              <w:rPr>
                <w:rFonts w:ascii="宋体" w:eastAsia="宋体" w:hAnsi="宋体" w:hint="eastAsia"/>
                <w:color w:val="000000"/>
                <w:sz w:val="24"/>
              </w:rPr>
              <w:t>相对平稳</w:t>
            </w:r>
            <w:r w:rsidR="00F73C3A" w:rsidRPr="00F73C3A">
              <w:rPr>
                <w:rFonts w:ascii="宋体" w:eastAsia="宋体" w:hAnsi="宋体" w:hint="eastAsia"/>
                <w:color w:val="000000"/>
                <w:sz w:val="24"/>
              </w:rPr>
              <w:t>以及公司内部的精细化管理等多方面的共同作用</w:t>
            </w:r>
            <w:r w:rsidR="00E246BF">
              <w:rPr>
                <w:rFonts w:ascii="宋体" w:eastAsia="宋体" w:hAnsi="宋体" w:hint="eastAsia"/>
                <w:color w:val="000000"/>
                <w:sz w:val="24"/>
              </w:rPr>
              <w:t>，加之以前年度相关指标基数较小</w:t>
            </w:r>
            <w:r w:rsidR="00F73C3A" w:rsidRPr="00F73C3A">
              <w:rPr>
                <w:rFonts w:ascii="宋体" w:eastAsia="宋体" w:hAnsi="宋体" w:hint="eastAsia"/>
                <w:color w:val="000000"/>
                <w:sz w:val="24"/>
              </w:rPr>
              <w:t>。报告期内公司通过不断加强精益管理，调整产品结构，加强人才组织能力建设，加大研发技术投入，并不断论证制造工艺及产能升级可行性，为公司不断提升市场竞争能力打下了良好的基础。</w:t>
            </w:r>
            <w:bookmarkEnd w:id="2"/>
          </w:p>
          <w:p w:rsidR="004458A7" w:rsidRDefault="004458A7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</w:p>
          <w:p w:rsidR="00B65C06" w:rsidRDefault="00B65C06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问题4：</w:t>
            </w:r>
            <w:r w:rsidRPr="00B65C06">
              <w:rPr>
                <w:rFonts w:ascii="宋体" w:eastAsia="宋体" w:hAnsi="宋体"/>
                <w:color w:val="000000"/>
                <w:sz w:val="24"/>
              </w:rPr>
              <w:t>公司半年度业绩增长原因？各业务板块情况？</w:t>
            </w:r>
          </w:p>
          <w:p w:rsidR="004458A7" w:rsidRDefault="009C4B0D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答：</w:t>
            </w:r>
            <w:bookmarkStart w:id="3" w:name="OLE_LINK6"/>
            <w:r w:rsidR="00360233" w:rsidRPr="00360233">
              <w:rPr>
                <w:rFonts w:ascii="宋体" w:eastAsia="宋体" w:hAnsi="宋体" w:hint="eastAsia"/>
                <w:color w:val="000000"/>
                <w:sz w:val="24"/>
              </w:rPr>
              <w:t>报告期内，公司实现营业收入3.29亿元，同比增长388.33％，主要系报告期内新增合并农、通机业务2.56亿元；若按上年同口径，公司镁铝合金压铸业务持续稳定，较上年同期增长20%；全铝家居业务处于业务转型中，营收占比较少</w:t>
            </w:r>
            <w:r w:rsidR="007B2464" w:rsidRPr="007B2464"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  <w:bookmarkEnd w:id="3"/>
          </w:p>
          <w:p w:rsidR="004F2372" w:rsidRDefault="004F2372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</w:p>
          <w:p w:rsidR="004F2372" w:rsidRDefault="004F2372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问题5：</w:t>
            </w:r>
            <w:r w:rsidRPr="004F2372">
              <w:rPr>
                <w:rFonts w:ascii="宋体" w:eastAsia="宋体" w:hAnsi="宋体"/>
                <w:color w:val="000000"/>
                <w:sz w:val="24"/>
              </w:rPr>
              <w:t>贵公司机器人业务开展的怎么样了？</w:t>
            </w:r>
          </w:p>
          <w:p w:rsidR="004F2372" w:rsidRDefault="004F2372" w:rsidP="00FA37CC">
            <w:pPr>
              <w:spacing w:line="360" w:lineRule="auto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答：</w:t>
            </w:r>
            <w:r w:rsidR="00360233" w:rsidRPr="00360233">
              <w:rPr>
                <w:rFonts w:ascii="宋体" w:eastAsia="宋体" w:hAnsi="宋体"/>
                <w:sz w:val="24"/>
                <w:szCs w:val="24"/>
              </w:rPr>
              <w:t>根据公司产品矩阵战略规划，目前公司正在加大人才研发投入，农机</w:t>
            </w:r>
            <w:r w:rsidR="00360233" w:rsidRPr="00360233">
              <w:rPr>
                <w:rFonts w:ascii="宋体" w:eastAsia="宋体" w:hAnsi="宋体"/>
                <w:sz w:val="24"/>
                <w:szCs w:val="24"/>
              </w:rPr>
              <w:lastRenderedPageBreak/>
              <w:t>业务通过AI+草坪机器人及农业作业机器人商业化研发平台，积极布局并力争实现项目孵化及成果落地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4F2372" w:rsidRDefault="004F2372" w:rsidP="00FA37CC">
            <w:pPr>
              <w:spacing w:line="360" w:lineRule="auto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:rsidR="004F2372" w:rsidRPr="004F2372" w:rsidRDefault="004F2372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问题6：</w:t>
            </w:r>
            <w:r w:rsidRPr="004F2372">
              <w:rPr>
                <w:rFonts w:ascii="宋体" w:eastAsia="宋体" w:hAnsi="宋体"/>
                <w:sz w:val="24"/>
                <w:szCs w:val="24"/>
              </w:rPr>
              <w:t>公司探索镁合金在新兴行业的应用情况怎么样了？</w:t>
            </w:r>
          </w:p>
          <w:p w:rsidR="003123C3" w:rsidRDefault="008B67C0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答：</w:t>
            </w:r>
            <w:bookmarkStart w:id="4" w:name="OLE_LINK7"/>
            <w:r w:rsidR="00360233" w:rsidRPr="00360233">
              <w:rPr>
                <w:rFonts w:ascii="宋体" w:eastAsia="宋体" w:hAnsi="宋体" w:hint="eastAsia"/>
                <w:color w:val="000000"/>
                <w:sz w:val="24"/>
              </w:rPr>
              <w:t>公司积极探索镁合金在新兴行业的应用，目前在原有汽车轻量化零部件、园林手动工具部件业务基础上，已在新能源摩托车、3C等领域获取轻量化部件替代业务机会，同时，公司也在加大与高校专业团队的合作，与客户积极研究镁合金轻量化材料在智能机器人、无人机等新兴领域的应用场景，寻求镁合金材料的替代与适配机会。目前该类业务处于研发论证阶段，尚未对公司业务构成实质性影响</w:t>
            </w:r>
            <w:r w:rsidR="00EF47AB" w:rsidRPr="00EF47AB">
              <w:rPr>
                <w:rFonts w:ascii="宋体" w:eastAsia="宋体" w:hAnsi="宋体"/>
                <w:color w:val="000000"/>
                <w:sz w:val="24"/>
              </w:rPr>
              <w:t>。</w:t>
            </w:r>
            <w:bookmarkEnd w:id="4"/>
          </w:p>
          <w:p w:rsidR="00F27C67" w:rsidRDefault="00F27C67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</w:p>
          <w:p w:rsidR="00F27C67" w:rsidRPr="008B67C0" w:rsidRDefault="00F27C67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问题7：</w:t>
            </w:r>
            <w:r w:rsidRPr="00F27C67">
              <w:rPr>
                <w:rFonts w:ascii="宋体" w:eastAsia="宋体" w:hAnsi="宋体"/>
                <w:color w:val="000000"/>
                <w:sz w:val="24"/>
              </w:rPr>
              <w:t>请问贵公司有哪些改革措施，对贵公司有哪些影响？</w:t>
            </w:r>
          </w:p>
          <w:p w:rsidR="003123C3" w:rsidRDefault="00F27C67" w:rsidP="00FA37C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答：</w:t>
            </w:r>
            <w:r w:rsidR="00FA7E64" w:rsidRPr="00FA7E64">
              <w:rPr>
                <w:rFonts w:ascii="宋体" w:eastAsia="宋体" w:hAnsi="宋体"/>
                <w:color w:val="000000"/>
                <w:sz w:val="24"/>
              </w:rPr>
              <w:t>公司年初董事会提出了产品创新矩阵研发、制造平台产线升级、海外重点市场立体化开拓、农业机器人及园林机器人项目孵化等一系列计划，截至目前，各项工作有序推进中。公司正在加强各环节组织能力建设，努力重塑传统农机产品线，并正着手对镁合金、农机生产基地进行产线设备升级，建立数字化管理平台，为打造智能制造基地夯实基础。</w:t>
            </w:r>
          </w:p>
          <w:p w:rsidR="004458A7" w:rsidRDefault="004458A7" w:rsidP="005E6479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A62362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362" w:rsidRDefault="00A62362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时间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362" w:rsidRDefault="00A62362" w:rsidP="005E6479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2025年9月22日</w:t>
            </w:r>
          </w:p>
        </w:tc>
      </w:tr>
      <w:tr w:rsidR="001D49E5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E5" w:rsidRDefault="0062237C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 w:rsidRPr="0062237C">
              <w:rPr>
                <w:rFonts w:ascii="宋体" w:eastAsia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E5" w:rsidRDefault="00CA7DC8">
            <w:p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 w:rsidRPr="00CA7DC8">
              <w:rPr>
                <w:rFonts w:ascii="宋体" w:eastAsia="宋体" w:hAnsi="宋体" w:hint="eastAsia"/>
                <w:sz w:val="24"/>
              </w:rPr>
              <w:t>投资者可以通过</w:t>
            </w:r>
            <w:r w:rsidR="00610C96" w:rsidRPr="00F814AE">
              <w:rPr>
                <w:rFonts w:ascii="宋体" w:eastAsia="宋体" w:hAnsi="宋体" w:hint="eastAsia"/>
                <w:color w:val="000000"/>
                <w:sz w:val="24"/>
              </w:rPr>
              <w:t>上海证券交易所上证路演中心</w:t>
            </w:r>
            <w:r w:rsidR="005F69EF">
              <w:rPr>
                <w:rFonts w:ascii="宋体" w:eastAsia="宋体" w:hAnsi="宋体" w:hint="eastAsia"/>
                <w:color w:val="000000"/>
                <w:sz w:val="24"/>
              </w:rPr>
              <w:t>网站</w:t>
            </w:r>
            <w:r w:rsidRPr="00CA7DC8">
              <w:rPr>
                <w:rFonts w:ascii="宋体" w:eastAsia="宋体" w:hAnsi="宋体" w:hint="eastAsia"/>
                <w:sz w:val="24"/>
              </w:rPr>
              <w:t>（http://roadshow.sseinfo.com）查看本次活动的召开情况及主要内容。</w:t>
            </w:r>
          </w:p>
        </w:tc>
      </w:tr>
    </w:tbl>
    <w:p w:rsidR="001D49E5" w:rsidRDefault="001D49E5">
      <w:pPr>
        <w:rPr>
          <w:rFonts w:ascii="宋体" w:eastAsia="宋体" w:hAnsi="宋体"/>
        </w:rPr>
      </w:pPr>
    </w:p>
    <w:sectPr w:rsidR="001D49E5" w:rsidSect="008D139C">
      <w:headerReference w:type="default" r:id="rId7"/>
      <w:pgSz w:w="11905" w:h="16837"/>
      <w:pgMar w:top="1440" w:right="1800" w:bottom="1440" w:left="1800" w:header="680" w:footer="9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913" w:rsidRDefault="00871913" w:rsidP="00D569B2">
      <w:r>
        <w:separator/>
      </w:r>
    </w:p>
  </w:endnote>
  <w:endnote w:type="continuationSeparator" w:id="0">
    <w:p w:rsidR="00871913" w:rsidRDefault="00871913" w:rsidP="00D56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913" w:rsidRDefault="00871913" w:rsidP="00D569B2">
      <w:r>
        <w:separator/>
      </w:r>
    </w:p>
  </w:footnote>
  <w:footnote w:type="continuationSeparator" w:id="0">
    <w:p w:rsidR="00871913" w:rsidRDefault="00871913" w:rsidP="00D56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39C" w:rsidRDefault="00CF5216" w:rsidP="008D139C">
    <w:pPr>
      <w:pStyle w:val="a6"/>
      <w:jc w:val="left"/>
    </w:pPr>
    <w:r w:rsidRPr="00A21307">
      <w:rPr>
        <w:rFonts w:hint="eastAsia"/>
      </w:rPr>
      <w:fldChar w:fldCharType="begin"/>
    </w:r>
    <w:r w:rsidR="008D139C" w:rsidRPr="00A21307">
      <w:rPr>
        <w:rFonts w:hint="eastAsia"/>
      </w:rPr>
      <w:instrText xml:space="preserve"> INCLUDEPICTURE "C:\\Users\\wangy\\Desktop\\2025年半年报业绩说明会\\鑫源智造logo.png" \* MERGEFORMATINET </w:instrText>
    </w:r>
    <w:r w:rsidRPr="00A21307">
      <w:rPr>
        <w:rFonts w:hint="eastAsia"/>
      </w:rPr>
      <w:fldChar w:fldCharType="separate"/>
    </w:r>
    <w:r>
      <w:fldChar w:fldCharType="begin"/>
    </w:r>
    <w:r w:rsidR="008D139C">
      <w:instrText xml:space="preserve"> </w:instrText>
    </w:r>
    <w:r w:rsidR="008D139C">
      <w:rPr>
        <w:rFonts w:hint="eastAsia"/>
      </w:rPr>
      <w:instrText>INCLUDEPICTURE  "C:\\Users\\wangy\\Desktop\\2025年半年报业绩说明会\\鑫源智造logo.png" \* MERGEFORMATINET</w:instrText>
    </w:r>
    <w:r w:rsidR="008D139C">
      <w:instrText xml:space="preserve"> </w:instrText>
    </w:r>
    <w:r>
      <w:fldChar w:fldCharType="separate"/>
    </w:r>
    <w:r>
      <w:fldChar w:fldCharType="begin"/>
    </w:r>
    <w:r w:rsidR="008D139C">
      <w:instrText xml:space="preserve"> </w:instrText>
    </w:r>
    <w:r w:rsidR="008D139C">
      <w:rPr>
        <w:rFonts w:hint="eastAsia"/>
      </w:rPr>
      <w:instrText>INCLUDEPICTURE  "C:\\Users\\wangy\\Desktop\\2025年半年报业绩说明会\\鑫源智造logo.png" \* MERGEFORMATINET</w:instrText>
    </w:r>
    <w:r w:rsidR="008D139C">
      <w:instrText xml:space="preserve"> </w:instrText>
    </w:r>
    <w:r>
      <w:fldChar w:fldCharType="separate"/>
    </w:r>
    <w:r>
      <w:fldChar w:fldCharType="begin"/>
    </w:r>
    <w:r w:rsidR="008D139C">
      <w:instrText xml:space="preserve"> </w:instrText>
    </w:r>
    <w:r w:rsidR="008D139C">
      <w:rPr>
        <w:rFonts w:hint="eastAsia"/>
      </w:rPr>
      <w:instrText>INCLUDEPICTURE  "C:\\Users\\wangy\\Desktop\\2025年半年报业绩说明会\\鑫源智造logo.png" \* MERGEFORMATINET</w:instrText>
    </w:r>
    <w:r w:rsidR="008D139C">
      <w:instrText xml:space="preserve"> </w:instrText>
    </w:r>
    <w:r>
      <w:fldChar w:fldCharType="separate"/>
    </w:r>
    <w:r>
      <w:fldChar w:fldCharType="begin"/>
    </w:r>
    <w:r w:rsidR="008D139C">
      <w:instrText xml:space="preserve"> </w:instrText>
    </w:r>
    <w:r w:rsidR="008D139C">
      <w:rPr>
        <w:rFonts w:hint="eastAsia"/>
      </w:rPr>
      <w:instrText>INCLUDEPICTURE  "C:\\Users\\wangy\\Desktop\\2025年半年报业绩说明会\\鑫源智造logo.png" \* MERGEFORMATINET</w:instrText>
    </w:r>
    <w:r w:rsidR="008D139C">
      <w:instrText xml:space="preserve"> </w:instrText>
    </w:r>
    <w:r>
      <w:fldChar w:fldCharType="separate"/>
    </w:r>
    <w:r>
      <w:fldChar w:fldCharType="begin"/>
    </w:r>
    <w:r w:rsidR="008D139C">
      <w:instrText xml:space="preserve"> </w:instrText>
    </w:r>
    <w:r w:rsidR="008D139C">
      <w:rPr>
        <w:rFonts w:hint="eastAsia"/>
      </w:rPr>
      <w:instrText>INCLUDEPICTURE  "C:\\Users\\wangy\\Desktop\\待办事项\\2025年半年报业绩说明会\\鑫源智造logo.png" \* MERGEFORMATINET</w:instrText>
    </w:r>
    <w:r w:rsidR="008D139C">
      <w:instrText xml:space="preserve"> </w:instrText>
    </w:r>
    <w:r>
      <w:fldChar w:fldCharType="separate"/>
    </w:r>
    <w:r>
      <w:rPr>
        <w:rFonts w:hint="eastAsia"/>
      </w:rPr>
      <w:fldChar w:fldCharType="begin"/>
    </w:r>
    <w:r w:rsidR="008D139C">
      <w:rPr>
        <w:rFonts w:hint="eastAsia"/>
      </w:rPr>
      <w:instrText xml:space="preserve"> INCLUDEPICTURE  "C:\\Users\\wangy\\Desktop\\待办事项\\2025年半年报业绩说明会\\鑫源智造logo.png" \* MERGEFORMATINET </w:instrText>
    </w:r>
    <w:r>
      <w:rPr>
        <w:rFonts w:hint="eastAsia"/>
      </w:rPr>
      <w:fldChar w:fldCharType="separate"/>
    </w:r>
    <w:r>
      <w:rPr>
        <w:rFonts w:hint="eastAsia"/>
      </w:rPr>
      <w:fldChar w:fldCharType="begin"/>
    </w:r>
    <w:r w:rsidR="008D139C">
      <w:rPr>
        <w:rFonts w:hint="eastAsia"/>
      </w:rPr>
      <w:instrText xml:space="preserve"> INCLUDEPICTURE  "C:\\Users\\wangy\\Desktop\\待办事项\\2025年半年报业绩说明会\\鑫源智造logo.png" \* MERGEFORMATINET </w:instrText>
    </w:r>
    <w:r>
      <w:rPr>
        <w:rFonts w:hint="eastAsia"/>
      </w:rPr>
      <w:fldChar w:fldCharType="separate"/>
    </w:r>
    <w:r>
      <w:rPr>
        <w:rFonts w:hint="eastAsia"/>
      </w:rPr>
      <w:fldChar w:fldCharType="begin"/>
    </w:r>
    <w:r w:rsidR="008D139C">
      <w:rPr>
        <w:rFonts w:hint="eastAsia"/>
      </w:rPr>
      <w:instrText xml:space="preserve"> INCLUDEPICTURE  "C:\\Users\\wangy\\Desktop\\待办事项\\2025年半年报业绩说明会\\鑫源智造logo.png" \* MERGEFORMATINET </w:instrText>
    </w:r>
    <w:r>
      <w:rPr>
        <w:rFonts w:hint="eastAsia"/>
      </w:rP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4.6pt;height:22.2pt">
          <v:imagedata r:id="rId1" r:href="rId2"/>
        </v:shape>
      </w:pict>
    </w:r>
    <w:r>
      <w:rPr>
        <w:rFonts w:hint="eastAsia"/>
      </w:rPr>
      <w:fldChar w:fldCharType="end"/>
    </w:r>
    <w:r>
      <w:rPr>
        <w:rFonts w:hint="eastAsia"/>
      </w:rPr>
      <w:fldChar w:fldCharType="end"/>
    </w:r>
    <w:r>
      <w:rPr>
        <w:rFonts w:hint="eastAsia"/>
      </w:rP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A21307">
      <w:rPr>
        <w:rFonts w:hint="eastAsia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F9E9"/>
    <w:multiLevelType w:val="singleLevel"/>
    <w:tmpl w:val="2B0DF9E9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D42"/>
    <w:rsid w:val="8B6E9B8E"/>
    <w:rsid w:val="8DEE9738"/>
    <w:rsid w:val="8EAECAA3"/>
    <w:rsid w:val="ACDB14C8"/>
    <w:rsid w:val="ADFE3226"/>
    <w:rsid w:val="AFDC39AA"/>
    <w:rsid w:val="B7FD2870"/>
    <w:rsid w:val="BCFB7967"/>
    <w:rsid w:val="BDDFB1A5"/>
    <w:rsid w:val="BFBBDC11"/>
    <w:rsid w:val="BFE6A986"/>
    <w:rsid w:val="BFFDF9B2"/>
    <w:rsid w:val="C3FF3F48"/>
    <w:rsid w:val="D37D3322"/>
    <w:rsid w:val="DDDD2176"/>
    <w:rsid w:val="DFB98B69"/>
    <w:rsid w:val="DFFF6F3E"/>
    <w:rsid w:val="DFFFACB3"/>
    <w:rsid w:val="E5F55DFF"/>
    <w:rsid w:val="E6DF5308"/>
    <w:rsid w:val="E7F72484"/>
    <w:rsid w:val="EBDBDEB9"/>
    <w:rsid w:val="EC3D9DDC"/>
    <w:rsid w:val="EDFFA418"/>
    <w:rsid w:val="EFDE636F"/>
    <w:rsid w:val="F4EFECAE"/>
    <w:rsid w:val="F573A5A4"/>
    <w:rsid w:val="F70ADA9E"/>
    <w:rsid w:val="F7BB6501"/>
    <w:rsid w:val="FC42FCF2"/>
    <w:rsid w:val="FD7FDFF7"/>
    <w:rsid w:val="FDC810EF"/>
    <w:rsid w:val="FF9AF951"/>
    <w:rsid w:val="FFBDC1CB"/>
    <w:rsid w:val="FFDD5D9F"/>
    <w:rsid w:val="FFFCDFBF"/>
    <w:rsid w:val="00001E89"/>
    <w:rsid w:val="00012DDB"/>
    <w:rsid w:val="00014458"/>
    <w:rsid w:val="00024917"/>
    <w:rsid w:val="00026787"/>
    <w:rsid w:val="0003057A"/>
    <w:rsid w:val="00030FA3"/>
    <w:rsid w:val="00031085"/>
    <w:rsid w:val="00034424"/>
    <w:rsid w:val="00046806"/>
    <w:rsid w:val="00057F57"/>
    <w:rsid w:val="00064B70"/>
    <w:rsid w:val="000658BB"/>
    <w:rsid w:val="0006795B"/>
    <w:rsid w:val="00067C0F"/>
    <w:rsid w:val="00071B87"/>
    <w:rsid w:val="00075FA3"/>
    <w:rsid w:val="0008320F"/>
    <w:rsid w:val="00083332"/>
    <w:rsid w:val="000849E9"/>
    <w:rsid w:val="000862C2"/>
    <w:rsid w:val="00097016"/>
    <w:rsid w:val="000A05FE"/>
    <w:rsid w:val="000A20D8"/>
    <w:rsid w:val="000A51CD"/>
    <w:rsid w:val="000B22BB"/>
    <w:rsid w:val="000B2401"/>
    <w:rsid w:val="000B3D41"/>
    <w:rsid w:val="000B4754"/>
    <w:rsid w:val="000B4F92"/>
    <w:rsid w:val="000B52FE"/>
    <w:rsid w:val="000B5AF7"/>
    <w:rsid w:val="000C1E8F"/>
    <w:rsid w:val="000C6062"/>
    <w:rsid w:val="000D0D52"/>
    <w:rsid w:val="000D142C"/>
    <w:rsid w:val="000D2FFF"/>
    <w:rsid w:val="000D4720"/>
    <w:rsid w:val="000D52AB"/>
    <w:rsid w:val="000D69D6"/>
    <w:rsid w:val="000E31E9"/>
    <w:rsid w:val="0010055C"/>
    <w:rsid w:val="001040A7"/>
    <w:rsid w:val="00113E45"/>
    <w:rsid w:val="00117514"/>
    <w:rsid w:val="00121438"/>
    <w:rsid w:val="00124979"/>
    <w:rsid w:val="001271FE"/>
    <w:rsid w:val="001348B2"/>
    <w:rsid w:val="00135291"/>
    <w:rsid w:val="001418B2"/>
    <w:rsid w:val="00150C03"/>
    <w:rsid w:val="00152507"/>
    <w:rsid w:val="0015675D"/>
    <w:rsid w:val="00170DFB"/>
    <w:rsid w:val="00173880"/>
    <w:rsid w:val="0017756E"/>
    <w:rsid w:val="00180058"/>
    <w:rsid w:val="00185AC4"/>
    <w:rsid w:val="00186E8B"/>
    <w:rsid w:val="001977CF"/>
    <w:rsid w:val="00197FCC"/>
    <w:rsid w:val="001B6BE7"/>
    <w:rsid w:val="001C0E92"/>
    <w:rsid w:val="001C22E0"/>
    <w:rsid w:val="001C2AC8"/>
    <w:rsid w:val="001C527D"/>
    <w:rsid w:val="001C5907"/>
    <w:rsid w:val="001D3A4A"/>
    <w:rsid w:val="001D49E5"/>
    <w:rsid w:val="001D69CB"/>
    <w:rsid w:val="001E05B3"/>
    <w:rsid w:val="001E0B0C"/>
    <w:rsid w:val="001F1672"/>
    <w:rsid w:val="001F53AE"/>
    <w:rsid w:val="00200245"/>
    <w:rsid w:val="0020419A"/>
    <w:rsid w:val="00210E14"/>
    <w:rsid w:val="00212C2F"/>
    <w:rsid w:val="00216A7F"/>
    <w:rsid w:val="0021756E"/>
    <w:rsid w:val="00226914"/>
    <w:rsid w:val="00226D20"/>
    <w:rsid w:val="00230AEF"/>
    <w:rsid w:val="002345F9"/>
    <w:rsid w:val="00235576"/>
    <w:rsid w:val="002368E8"/>
    <w:rsid w:val="00245817"/>
    <w:rsid w:val="0025031E"/>
    <w:rsid w:val="0026277C"/>
    <w:rsid w:val="002639C6"/>
    <w:rsid w:val="00264470"/>
    <w:rsid w:val="00271249"/>
    <w:rsid w:val="00280A39"/>
    <w:rsid w:val="00282153"/>
    <w:rsid w:val="00283A5E"/>
    <w:rsid w:val="002917C7"/>
    <w:rsid w:val="002934B8"/>
    <w:rsid w:val="002A09E1"/>
    <w:rsid w:val="002A1CB9"/>
    <w:rsid w:val="002A685A"/>
    <w:rsid w:val="002C7F50"/>
    <w:rsid w:val="002D1CFF"/>
    <w:rsid w:val="002D2F63"/>
    <w:rsid w:val="002E69B2"/>
    <w:rsid w:val="002F3C72"/>
    <w:rsid w:val="002F497B"/>
    <w:rsid w:val="002F4A13"/>
    <w:rsid w:val="003037FF"/>
    <w:rsid w:val="00307EF9"/>
    <w:rsid w:val="003123C3"/>
    <w:rsid w:val="0031712A"/>
    <w:rsid w:val="003206CC"/>
    <w:rsid w:val="00325E85"/>
    <w:rsid w:val="00344798"/>
    <w:rsid w:val="003469CB"/>
    <w:rsid w:val="00351E2F"/>
    <w:rsid w:val="00351FA7"/>
    <w:rsid w:val="003573CF"/>
    <w:rsid w:val="00360233"/>
    <w:rsid w:val="00360A24"/>
    <w:rsid w:val="00362585"/>
    <w:rsid w:val="003673F7"/>
    <w:rsid w:val="003709B3"/>
    <w:rsid w:val="00374664"/>
    <w:rsid w:val="00375299"/>
    <w:rsid w:val="00387837"/>
    <w:rsid w:val="00393067"/>
    <w:rsid w:val="00396CCE"/>
    <w:rsid w:val="003A13DE"/>
    <w:rsid w:val="003A4163"/>
    <w:rsid w:val="003A7AF2"/>
    <w:rsid w:val="003B2F28"/>
    <w:rsid w:val="003B514D"/>
    <w:rsid w:val="003B5CF1"/>
    <w:rsid w:val="003C16E4"/>
    <w:rsid w:val="003C622C"/>
    <w:rsid w:val="003C7BD2"/>
    <w:rsid w:val="003D0610"/>
    <w:rsid w:val="003D7A2B"/>
    <w:rsid w:val="003D7EE3"/>
    <w:rsid w:val="003E7469"/>
    <w:rsid w:val="003E7694"/>
    <w:rsid w:val="0040106A"/>
    <w:rsid w:val="00417D13"/>
    <w:rsid w:val="0042317A"/>
    <w:rsid w:val="00425A6E"/>
    <w:rsid w:val="00427965"/>
    <w:rsid w:val="00442579"/>
    <w:rsid w:val="004458A7"/>
    <w:rsid w:val="004504B9"/>
    <w:rsid w:val="0046700F"/>
    <w:rsid w:val="00471152"/>
    <w:rsid w:val="004733B0"/>
    <w:rsid w:val="00474788"/>
    <w:rsid w:val="00484C2A"/>
    <w:rsid w:val="00486124"/>
    <w:rsid w:val="00491CE6"/>
    <w:rsid w:val="00494162"/>
    <w:rsid w:val="00497436"/>
    <w:rsid w:val="004A0A2A"/>
    <w:rsid w:val="004A39AC"/>
    <w:rsid w:val="004B7402"/>
    <w:rsid w:val="004D12D9"/>
    <w:rsid w:val="004D1C8D"/>
    <w:rsid w:val="004E4EF9"/>
    <w:rsid w:val="004F2224"/>
    <w:rsid w:val="004F2372"/>
    <w:rsid w:val="004F4BCE"/>
    <w:rsid w:val="005008C5"/>
    <w:rsid w:val="00505A23"/>
    <w:rsid w:val="00514DD1"/>
    <w:rsid w:val="005200FB"/>
    <w:rsid w:val="00523FEB"/>
    <w:rsid w:val="00524AC5"/>
    <w:rsid w:val="005324D9"/>
    <w:rsid w:val="0053740F"/>
    <w:rsid w:val="00541BF1"/>
    <w:rsid w:val="00547A5A"/>
    <w:rsid w:val="0055118E"/>
    <w:rsid w:val="00552184"/>
    <w:rsid w:val="005527ED"/>
    <w:rsid w:val="00554AF0"/>
    <w:rsid w:val="00560A31"/>
    <w:rsid w:val="00566BEE"/>
    <w:rsid w:val="005763E7"/>
    <w:rsid w:val="0058063D"/>
    <w:rsid w:val="0058168E"/>
    <w:rsid w:val="00583E9D"/>
    <w:rsid w:val="005851C3"/>
    <w:rsid w:val="00591F59"/>
    <w:rsid w:val="00594199"/>
    <w:rsid w:val="005976CE"/>
    <w:rsid w:val="005A166D"/>
    <w:rsid w:val="005A2874"/>
    <w:rsid w:val="005A66B5"/>
    <w:rsid w:val="005A7CDE"/>
    <w:rsid w:val="005B1937"/>
    <w:rsid w:val="005B7FC7"/>
    <w:rsid w:val="005C3557"/>
    <w:rsid w:val="005C3896"/>
    <w:rsid w:val="005D26CC"/>
    <w:rsid w:val="005D5727"/>
    <w:rsid w:val="005D5D42"/>
    <w:rsid w:val="005D5F81"/>
    <w:rsid w:val="005E4742"/>
    <w:rsid w:val="005E4EC4"/>
    <w:rsid w:val="005E5626"/>
    <w:rsid w:val="005E6479"/>
    <w:rsid w:val="005F69EF"/>
    <w:rsid w:val="0060212D"/>
    <w:rsid w:val="00604ABC"/>
    <w:rsid w:val="0060674E"/>
    <w:rsid w:val="00606EF0"/>
    <w:rsid w:val="00610413"/>
    <w:rsid w:val="00610C96"/>
    <w:rsid w:val="00611072"/>
    <w:rsid w:val="00611BD7"/>
    <w:rsid w:val="006208B4"/>
    <w:rsid w:val="00621E97"/>
    <w:rsid w:val="0062237C"/>
    <w:rsid w:val="00633724"/>
    <w:rsid w:val="006338BF"/>
    <w:rsid w:val="00634919"/>
    <w:rsid w:val="00637C07"/>
    <w:rsid w:val="00644DEE"/>
    <w:rsid w:val="00655578"/>
    <w:rsid w:val="0066313B"/>
    <w:rsid w:val="00666B76"/>
    <w:rsid w:val="00673F7F"/>
    <w:rsid w:val="00676382"/>
    <w:rsid w:val="006826B8"/>
    <w:rsid w:val="00683562"/>
    <w:rsid w:val="006844A1"/>
    <w:rsid w:val="00685609"/>
    <w:rsid w:val="0069119A"/>
    <w:rsid w:val="00695C02"/>
    <w:rsid w:val="006A3719"/>
    <w:rsid w:val="006A6758"/>
    <w:rsid w:val="006C084F"/>
    <w:rsid w:val="006D40E6"/>
    <w:rsid w:val="006D62A8"/>
    <w:rsid w:val="006E1091"/>
    <w:rsid w:val="006E3A6B"/>
    <w:rsid w:val="006F0162"/>
    <w:rsid w:val="006F40BC"/>
    <w:rsid w:val="006F47DD"/>
    <w:rsid w:val="00700804"/>
    <w:rsid w:val="007016DF"/>
    <w:rsid w:val="0070603D"/>
    <w:rsid w:val="00707832"/>
    <w:rsid w:val="00707DB0"/>
    <w:rsid w:val="00712D4A"/>
    <w:rsid w:val="007145A2"/>
    <w:rsid w:val="00717F04"/>
    <w:rsid w:val="007240A8"/>
    <w:rsid w:val="00725570"/>
    <w:rsid w:val="00725725"/>
    <w:rsid w:val="00731A22"/>
    <w:rsid w:val="00734167"/>
    <w:rsid w:val="00745F25"/>
    <w:rsid w:val="007470C3"/>
    <w:rsid w:val="007475B5"/>
    <w:rsid w:val="007536CE"/>
    <w:rsid w:val="00753F38"/>
    <w:rsid w:val="00763483"/>
    <w:rsid w:val="007734AE"/>
    <w:rsid w:val="007738E2"/>
    <w:rsid w:val="00775AA3"/>
    <w:rsid w:val="00775EEA"/>
    <w:rsid w:val="007816FA"/>
    <w:rsid w:val="007856EE"/>
    <w:rsid w:val="0079045B"/>
    <w:rsid w:val="007963C6"/>
    <w:rsid w:val="007A6A03"/>
    <w:rsid w:val="007B1611"/>
    <w:rsid w:val="007B2464"/>
    <w:rsid w:val="007B6078"/>
    <w:rsid w:val="007C0DF8"/>
    <w:rsid w:val="007C5709"/>
    <w:rsid w:val="007E1B91"/>
    <w:rsid w:val="007F1010"/>
    <w:rsid w:val="007F319A"/>
    <w:rsid w:val="007F59DF"/>
    <w:rsid w:val="008008CA"/>
    <w:rsid w:val="008017A4"/>
    <w:rsid w:val="00801F88"/>
    <w:rsid w:val="0081607C"/>
    <w:rsid w:val="008169A1"/>
    <w:rsid w:val="00824536"/>
    <w:rsid w:val="0082533E"/>
    <w:rsid w:val="00825F5B"/>
    <w:rsid w:val="00830E6C"/>
    <w:rsid w:val="00834A43"/>
    <w:rsid w:val="00834C6B"/>
    <w:rsid w:val="00840CD3"/>
    <w:rsid w:val="008463B4"/>
    <w:rsid w:val="00853CFA"/>
    <w:rsid w:val="008564D5"/>
    <w:rsid w:val="00857841"/>
    <w:rsid w:val="008629FE"/>
    <w:rsid w:val="0086428E"/>
    <w:rsid w:val="00871913"/>
    <w:rsid w:val="00874174"/>
    <w:rsid w:val="008763B1"/>
    <w:rsid w:val="00887B96"/>
    <w:rsid w:val="00887C01"/>
    <w:rsid w:val="008A066E"/>
    <w:rsid w:val="008B2769"/>
    <w:rsid w:val="008B67C0"/>
    <w:rsid w:val="008C055E"/>
    <w:rsid w:val="008C36FC"/>
    <w:rsid w:val="008D139C"/>
    <w:rsid w:val="008D298A"/>
    <w:rsid w:val="008D4FF3"/>
    <w:rsid w:val="008D55E6"/>
    <w:rsid w:val="008E05C7"/>
    <w:rsid w:val="008E36A6"/>
    <w:rsid w:val="008F11C4"/>
    <w:rsid w:val="00906F31"/>
    <w:rsid w:val="009135DE"/>
    <w:rsid w:val="00916C12"/>
    <w:rsid w:val="0091736D"/>
    <w:rsid w:val="00923F63"/>
    <w:rsid w:val="00933959"/>
    <w:rsid w:val="0093536F"/>
    <w:rsid w:val="00935E0D"/>
    <w:rsid w:val="009747CA"/>
    <w:rsid w:val="009839DA"/>
    <w:rsid w:val="00986DFC"/>
    <w:rsid w:val="00993A7C"/>
    <w:rsid w:val="0099432C"/>
    <w:rsid w:val="009948FC"/>
    <w:rsid w:val="00996F52"/>
    <w:rsid w:val="009A3479"/>
    <w:rsid w:val="009A5ACD"/>
    <w:rsid w:val="009A7535"/>
    <w:rsid w:val="009B0976"/>
    <w:rsid w:val="009B5469"/>
    <w:rsid w:val="009B7053"/>
    <w:rsid w:val="009C37A8"/>
    <w:rsid w:val="009C3E60"/>
    <w:rsid w:val="009C46EC"/>
    <w:rsid w:val="009C4B0D"/>
    <w:rsid w:val="009D78B0"/>
    <w:rsid w:val="009E0C98"/>
    <w:rsid w:val="009E299C"/>
    <w:rsid w:val="009F3E5F"/>
    <w:rsid w:val="009F52E6"/>
    <w:rsid w:val="00A00FB1"/>
    <w:rsid w:val="00A06704"/>
    <w:rsid w:val="00A2151D"/>
    <w:rsid w:val="00A25F45"/>
    <w:rsid w:val="00A31808"/>
    <w:rsid w:val="00A35E89"/>
    <w:rsid w:val="00A42098"/>
    <w:rsid w:val="00A532CA"/>
    <w:rsid w:val="00A62215"/>
    <w:rsid w:val="00A62362"/>
    <w:rsid w:val="00A63234"/>
    <w:rsid w:val="00A6323F"/>
    <w:rsid w:val="00A76396"/>
    <w:rsid w:val="00A8156D"/>
    <w:rsid w:val="00A87955"/>
    <w:rsid w:val="00A917B7"/>
    <w:rsid w:val="00A91A1A"/>
    <w:rsid w:val="00A92B33"/>
    <w:rsid w:val="00A93237"/>
    <w:rsid w:val="00A95B06"/>
    <w:rsid w:val="00A96190"/>
    <w:rsid w:val="00AA1245"/>
    <w:rsid w:val="00AC5C62"/>
    <w:rsid w:val="00AD0F64"/>
    <w:rsid w:val="00AD3ED8"/>
    <w:rsid w:val="00AD43BA"/>
    <w:rsid w:val="00AD4817"/>
    <w:rsid w:val="00AD5FD7"/>
    <w:rsid w:val="00AD6177"/>
    <w:rsid w:val="00AD6D8F"/>
    <w:rsid w:val="00AD6E1A"/>
    <w:rsid w:val="00AD7D78"/>
    <w:rsid w:val="00AE11D7"/>
    <w:rsid w:val="00AE2A44"/>
    <w:rsid w:val="00AE4D06"/>
    <w:rsid w:val="00AF6B44"/>
    <w:rsid w:val="00B015FE"/>
    <w:rsid w:val="00B016BD"/>
    <w:rsid w:val="00B03EAE"/>
    <w:rsid w:val="00B10F8E"/>
    <w:rsid w:val="00B14FA5"/>
    <w:rsid w:val="00B26E04"/>
    <w:rsid w:val="00B35564"/>
    <w:rsid w:val="00B40263"/>
    <w:rsid w:val="00B40987"/>
    <w:rsid w:val="00B45716"/>
    <w:rsid w:val="00B55D6E"/>
    <w:rsid w:val="00B55F96"/>
    <w:rsid w:val="00B64241"/>
    <w:rsid w:val="00B65C06"/>
    <w:rsid w:val="00B66F42"/>
    <w:rsid w:val="00B677DA"/>
    <w:rsid w:val="00B73E82"/>
    <w:rsid w:val="00B75149"/>
    <w:rsid w:val="00B76C8E"/>
    <w:rsid w:val="00B84136"/>
    <w:rsid w:val="00B861B8"/>
    <w:rsid w:val="00B91893"/>
    <w:rsid w:val="00BB0B38"/>
    <w:rsid w:val="00BB2D60"/>
    <w:rsid w:val="00BC59CA"/>
    <w:rsid w:val="00BC7EA6"/>
    <w:rsid w:val="00BD053E"/>
    <w:rsid w:val="00BD25F5"/>
    <w:rsid w:val="00BE0712"/>
    <w:rsid w:val="00BE3C48"/>
    <w:rsid w:val="00BE3EA5"/>
    <w:rsid w:val="00BE4DB2"/>
    <w:rsid w:val="00BF3556"/>
    <w:rsid w:val="00BF389B"/>
    <w:rsid w:val="00C0198A"/>
    <w:rsid w:val="00C04022"/>
    <w:rsid w:val="00C13012"/>
    <w:rsid w:val="00C23691"/>
    <w:rsid w:val="00C25A22"/>
    <w:rsid w:val="00C3556E"/>
    <w:rsid w:val="00C37085"/>
    <w:rsid w:val="00C40921"/>
    <w:rsid w:val="00C66694"/>
    <w:rsid w:val="00C66EDD"/>
    <w:rsid w:val="00C75E9C"/>
    <w:rsid w:val="00C86B4A"/>
    <w:rsid w:val="00C90992"/>
    <w:rsid w:val="00C973B8"/>
    <w:rsid w:val="00CA54B4"/>
    <w:rsid w:val="00CA7DC8"/>
    <w:rsid w:val="00CB0C95"/>
    <w:rsid w:val="00CC289D"/>
    <w:rsid w:val="00CE18C0"/>
    <w:rsid w:val="00CE4306"/>
    <w:rsid w:val="00CE7BD0"/>
    <w:rsid w:val="00CF5216"/>
    <w:rsid w:val="00D02019"/>
    <w:rsid w:val="00D0264D"/>
    <w:rsid w:val="00D03E93"/>
    <w:rsid w:val="00D27A4C"/>
    <w:rsid w:val="00D30ACB"/>
    <w:rsid w:val="00D37BBB"/>
    <w:rsid w:val="00D47696"/>
    <w:rsid w:val="00D517BD"/>
    <w:rsid w:val="00D524A4"/>
    <w:rsid w:val="00D537CE"/>
    <w:rsid w:val="00D569B2"/>
    <w:rsid w:val="00D60FDB"/>
    <w:rsid w:val="00D6171F"/>
    <w:rsid w:val="00D63F4F"/>
    <w:rsid w:val="00D72F00"/>
    <w:rsid w:val="00D72FC3"/>
    <w:rsid w:val="00D746F6"/>
    <w:rsid w:val="00D74C2A"/>
    <w:rsid w:val="00D864F4"/>
    <w:rsid w:val="00D938AF"/>
    <w:rsid w:val="00D973E3"/>
    <w:rsid w:val="00DA2A89"/>
    <w:rsid w:val="00DA345A"/>
    <w:rsid w:val="00DA4F4A"/>
    <w:rsid w:val="00DA5397"/>
    <w:rsid w:val="00DA6049"/>
    <w:rsid w:val="00DB1CF3"/>
    <w:rsid w:val="00DB268E"/>
    <w:rsid w:val="00DC21FF"/>
    <w:rsid w:val="00DC47BE"/>
    <w:rsid w:val="00DC5FCC"/>
    <w:rsid w:val="00DC627F"/>
    <w:rsid w:val="00DD27A0"/>
    <w:rsid w:val="00DE1ED8"/>
    <w:rsid w:val="00DE21C8"/>
    <w:rsid w:val="00DE725F"/>
    <w:rsid w:val="00DE74A8"/>
    <w:rsid w:val="00DF5510"/>
    <w:rsid w:val="00E10EE3"/>
    <w:rsid w:val="00E11F39"/>
    <w:rsid w:val="00E12B97"/>
    <w:rsid w:val="00E13EC7"/>
    <w:rsid w:val="00E246BF"/>
    <w:rsid w:val="00E27DD9"/>
    <w:rsid w:val="00E303BC"/>
    <w:rsid w:val="00E34FA9"/>
    <w:rsid w:val="00E368A4"/>
    <w:rsid w:val="00E378BA"/>
    <w:rsid w:val="00E47A44"/>
    <w:rsid w:val="00E50FBA"/>
    <w:rsid w:val="00E579F4"/>
    <w:rsid w:val="00E63340"/>
    <w:rsid w:val="00E65272"/>
    <w:rsid w:val="00E72707"/>
    <w:rsid w:val="00E728B9"/>
    <w:rsid w:val="00E7588E"/>
    <w:rsid w:val="00E93357"/>
    <w:rsid w:val="00E94DFD"/>
    <w:rsid w:val="00EA4974"/>
    <w:rsid w:val="00EB0C5D"/>
    <w:rsid w:val="00EB7128"/>
    <w:rsid w:val="00EC2939"/>
    <w:rsid w:val="00ED7639"/>
    <w:rsid w:val="00EE1F6D"/>
    <w:rsid w:val="00EF47AB"/>
    <w:rsid w:val="00F00371"/>
    <w:rsid w:val="00F0308E"/>
    <w:rsid w:val="00F07CE5"/>
    <w:rsid w:val="00F1269E"/>
    <w:rsid w:val="00F13A2B"/>
    <w:rsid w:val="00F15FB8"/>
    <w:rsid w:val="00F2242B"/>
    <w:rsid w:val="00F23B21"/>
    <w:rsid w:val="00F2454D"/>
    <w:rsid w:val="00F24C4B"/>
    <w:rsid w:val="00F264E9"/>
    <w:rsid w:val="00F274C9"/>
    <w:rsid w:val="00F27C67"/>
    <w:rsid w:val="00F310B4"/>
    <w:rsid w:val="00F3362A"/>
    <w:rsid w:val="00F34C5A"/>
    <w:rsid w:val="00F37849"/>
    <w:rsid w:val="00F548D8"/>
    <w:rsid w:val="00F54A5D"/>
    <w:rsid w:val="00F54FB7"/>
    <w:rsid w:val="00F568BB"/>
    <w:rsid w:val="00F57C6E"/>
    <w:rsid w:val="00F6444D"/>
    <w:rsid w:val="00F67798"/>
    <w:rsid w:val="00F7344C"/>
    <w:rsid w:val="00F73C3A"/>
    <w:rsid w:val="00F74EE8"/>
    <w:rsid w:val="00F7532E"/>
    <w:rsid w:val="00F76E82"/>
    <w:rsid w:val="00F804B2"/>
    <w:rsid w:val="00F814AE"/>
    <w:rsid w:val="00F81BE2"/>
    <w:rsid w:val="00F82763"/>
    <w:rsid w:val="00F82B2A"/>
    <w:rsid w:val="00F86713"/>
    <w:rsid w:val="00F9742E"/>
    <w:rsid w:val="00F97567"/>
    <w:rsid w:val="00FA1813"/>
    <w:rsid w:val="00FA2C79"/>
    <w:rsid w:val="00FA37CC"/>
    <w:rsid w:val="00FA7693"/>
    <w:rsid w:val="00FA7A79"/>
    <w:rsid w:val="00FA7E64"/>
    <w:rsid w:val="00FB12FB"/>
    <w:rsid w:val="00FC5CE6"/>
    <w:rsid w:val="00FD1C26"/>
    <w:rsid w:val="00FD3249"/>
    <w:rsid w:val="00FD651C"/>
    <w:rsid w:val="00FE2E9B"/>
    <w:rsid w:val="00FE368E"/>
    <w:rsid w:val="00FE6894"/>
    <w:rsid w:val="00FF1148"/>
    <w:rsid w:val="00FF27DA"/>
    <w:rsid w:val="07DF9465"/>
    <w:rsid w:val="17DB4333"/>
    <w:rsid w:val="17FF7A56"/>
    <w:rsid w:val="1E5F37B7"/>
    <w:rsid w:val="26FD8910"/>
    <w:rsid w:val="2FFF25F2"/>
    <w:rsid w:val="3BAF3706"/>
    <w:rsid w:val="3C73CFDA"/>
    <w:rsid w:val="3EBFD068"/>
    <w:rsid w:val="3F150D7F"/>
    <w:rsid w:val="3F764BE9"/>
    <w:rsid w:val="3FFE5122"/>
    <w:rsid w:val="4A6C3222"/>
    <w:rsid w:val="4F7F2DA0"/>
    <w:rsid w:val="58EFBA5F"/>
    <w:rsid w:val="5D73B1B1"/>
    <w:rsid w:val="5E3A5E2D"/>
    <w:rsid w:val="6299419B"/>
    <w:rsid w:val="65CDA9F3"/>
    <w:rsid w:val="66FF095D"/>
    <w:rsid w:val="69FC63E9"/>
    <w:rsid w:val="6CFEB7D2"/>
    <w:rsid w:val="6DAFB9A4"/>
    <w:rsid w:val="6DE3ED9F"/>
    <w:rsid w:val="71BC64DE"/>
    <w:rsid w:val="74CEAB64"/>
    <w:rsid w:val="74DFBBA8"/>
    <w:rsid w:val="76F33D56"/>
    <w:rsid w:val="76FF6067"/>
    <w:rsid w:val="779F46AA"/>
    <w:rsid w:val="77BB1F5D"/>
    <w:rsid w:val="7A3A13F7"/>
    <w:rsid w:val="7DFF3C42"/>
    <w:rsid w:val="7DFF6B31"/>
    <w:rsid w:val="7E6EAABB"/>
    <w:rsid w:val="7EBD0064"/>
    <w:rsid w:val="7F8F88F3"/>
    <w:rsid w:val="7FBD6F21"/>
    <w:rsid w:val="7FCCB69A"/>
    <w:rsid w:val="7FEF5AF3"/>
    <w:rsid w:val="7FFAD482"/>
    <w:rsid w:val="7FFBA827"/>
    <w:rsid w:val="7FFE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16"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paragraph" w:styleId="1">
    <w:name w:val="heading 1"/>
    <w:next w:val="a"/>
    <w:qFormat/>
    <w:rsid w:val="00CF5216"/>
    <w:pPr>
      <w:keepNext/>
      <w:keepLines/>
      <w:spacing w:before="348" w:after="210"/>
      <w:outlineLvl w:val="0"/>
    </w:pPr>
    <w:rPr>
      <w:rFonts w:asciiTheme="minorHAnsi" w:eastAsiaTheme="minorEastAsia" w:hAnsiTheme="minorHAnsi" w:cstheme="minorBidi"/>
      <w:b/>
      <w:kern w:val="2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CF5216"/>
    <w:rPr>
      <w:rFonts w:ascii="宋体" w:hAnsi="Courier New"/>
    </w:rPr>
  </w:style>
  <w:style w:type="paragraph" w:styleId="a4">
    <w:name w:val="Balloon Text"/>
    <w:basedOn w:val="a"/>
    <w:qFormat/>
    <w:rsid w:val="00CF5216"/>
    <w:rPr>
      <w:sz w:val="18"/>
    </w:rPr>
  </w:style>
  <w:style w:type="paragraph" w:styleId="a5">
    <w:name w:val="footer"/>
    <w:basedOn w:val="a"/>
    <w:qFormat/>
    <w:rsid w:val="00CF5216"/>
    <w:rPr>
      <w:sz w:val="18"/>
    </w:rPr>
  </w:style>
  <w:style w:type="paragraph" w:styleId="a6">
    <w:name w:val="header"/>
    <w:basedOn w:val="a"/>
    <w:qFormat/>
    <w:rsid w:val="00CF5216"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rsid w:val="00CF5216"/>
    <w:pPr>
      <w:widowControl/>
      <w:spacing w:before="100" w:after="100"/>
    </w:pPr>
    <w:rPr>
      <w:rFonts w:ascii="宋体" w:hAnsi="宋体" w:cs="宋体"/>
      <w:kern w:val="0"/>
      <w:sz w:val="24"/>
    </w:rPr>
  </w:style>
  <w:style w:type="table" w:styleId="a8">
    <w:name w:val="Table Grid"/>
    <w:qFormat/>
    <w:rsid w:val="00CF52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纯文本 字符"/>
    <w:basedOn w:val="a0"/>
    <w:qFormat/>
    <w:rsid w:val="00CF5216"/>
    <w:rPr>
      <w:rFonts w:ascii="宋体" w:hAnsi="Courier New"/>
    </w:rPr>
  </w:style>
  <w:style w:type="character" w:customStyle="1" w:styleId="aa">
    <w:name w:val="批注框文本 字符"/>
    <w:basedOn w:val="a0"/>
    <w:qFormat/>
    <w:rsid w:val="00CF5216"/>
    <w:rPr>
      <w:kern w:val="2"/>
      <w:sz w:val="18"/>
    </w:rPr>
  </w:style>
  <w:style w:type="character" w:customStyle="1" w:styleId="ab">
    <w:name w:val="页脚 字符"/>
    <w:basedOn w:val="a0"/>
    <w:qFormat/>
    <w:rsid w:val="00CF5216"/>
    <w:rPr>
      <w:sz w:val="18"/>
    </w:rPr>
  </w:style>
  <w:style w:type="character" w:customStyle="1" w:styleId="ac">
    <w:name w:val="页眉 字符"/>
    <w:basedOn w:val="a0"/>
    <w:qFormat/>
    <w:rsid w:val="00CF5216"/>
    <w:rPr>
      <w:sz w:val="18"/>
    </w:rPr>
  </w:style>
  <w:style w:type="paragraph" w:styleId="ad">
    <w:name w:val="List Paragraph"/>
    <w:basedOn w:val="a"/>
    <w:qFormat/>
    <w:rsid w:val="00CF5216"/>
    <w:pPr>
      <w:ind w:firstLineChars="200" w:firstLine="420"/>
    </w:pPr>
  </w:style>
  <w:style w:type="character" w:customStyle="1" w:styleId="hightlight">
    <w:name w:val="hightlight"/>
    <w:basedOn w:val="a0"/>
    <w:qFormat/>
    <w:rsid w:val="00CF5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xwechat_files\wxid_147b94lb64ta12_1f6e\msg\file\2025-09\&#37995;&#28304;&#26234;&#36896;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PCOS.CN</cp:lastModifiedBy>
  <cp:revision>2</cp:revision>
  <dcterms:created xsi:type="dcterms:W3CDTF">2025-09-22T07:38:00Z</dcterms:created>
  <dcterms:modified xsi:type="dcterms:W3CDTF">2025-09-22T07:38:00Z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KSOTemplateDocerSaveRecord">
    <vt:lpwstr>eyJoZGlkIjoiZjg1ZmQ2OTgzMzJmNDU5YzdlYWU3ZjU1YzQwMjFmZTYiLCJ1c2VySWQiOiIzOTg4MTcyMzQifQ==</vt:lpwstr>
  </property>
  <property fmtid="{D5CDD505-2E9C-101B-9397-08002B2CF9AE}" pid="4" name="ICV">
    <vt:lpwstr>98467EA14C5646A1A26C7876E44C753E_12</vt:lpwstr>
  </property>
</Properties>
</file>