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rPr>
          <w:rFonts w:hint="eastAsia"/>
        </w:rPr>
      </w:pPr>
      <w:r>
        <w:rPr>
          <w:rFonts w:hint="eastAsia"/>
          <w:lang w:val="en-US"/>
        </w:rPr>
        <w:t xml:space="preserve">      杭州格林达电子材料</w:t>
      </w:r>
      <w:r>
        <w:t>股份有限公司</w:t>
      </w:r>
    </w:p>
    <w:p w14:paraId="2CD1AB76">
      <w:pPr>
        <w:pStyle w:val="2"/>
        <w:ind w:right="824"/>
        <w:jc w:val="center"/>
        <w:rPr>
          <w:rFonts w:hint="eastAsia"/>
        </w:rPr>
      </w:pPr>
      <w:r>
        <w:rPr>
          <w:rFonts w:hint="eastAsia"/>
          <w:lang w:val="en-US"/>
        </w:rPr>
        <w:t xml:space="preserve">       </w:t>
      </w:r>
      <w:r>
        <w:t>投资者关系活动记录表</w:t>
      </w:r>
    </w:p>
    <w:p w14:paraId="02AB9919">
      <w:pPr>
        <w:spacing w:before="154" w:after="32"/>
        <w:ind w:right="679"/>
        <w:jc w:val="right"/>
        <w:rPr>
          <w:rFonts w:hint="eastAsia"/>
          <w:sz w:val="28"/>
        </w:rPr>
      </w:pPr>
      <w:r>
        <w:rPr>
          <w:sz w:val="28"/>
        </w:rPr>
        <w:t>编号：</w:t>
      </w:r>
      <w:r>
        <w:rPr>
          <w:rFonts w:hint="eastAsia"/>
          <w:sz w:val="28"/>
        </w:rPr>
        <w:t>2025-005</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rFonts w:hint="eastAsia"/>
                <w:sz w:val="24"/>
              </w:rPr>
            </w:pPr>
          </w:p>
          <w:p w14:paraId="52D4324F">
            <w:pPr>
              <w:pStyle w:val="9"/>
              <w:spacing w:before="12"/>
              <w:ind w:left="0"/>
              <w:rPr>
                <w:rFonts w:hint="eastAsia"/>
                <w:sz w:val="31"/>
              </w:rPr>
            </w:pPr>
          </w:p>
          <w:p w14:paraId="319AE997">
            <w:pPr>
              <w:pStyle w:val="9"/>
              <w:rPr>
                <w:rFonts w:hint="eastAsia"/>
                <w:sz w:val="24"/>
              </w:rPr>
            </w:pPr>
            <w:r>
              <w:rPr>
                <w:sz w:val="24"/>
              </w:rPr>
              <w:t>投资者关系活动类别</w:t>
            </w:r>
          </w:p>
        </w:tc>
        <w:tc>
          <w:tcPr>
            <w:tcW w:w="6148" w:type="dxa"/>
          </w:tcPr>
          <w:p w14:paraId="1F001BCD">
            <w:pPr>
              <w:pStyle w:val="9"/>
              <w:tabs>
                <w:tab w:val="left" w:pos="2747"/>
              </w:tabs>
              <w:spacing w:before="64"/>
              <w:rPr>
                <w:rFonts w:hint="eastAsia"/>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rFonts w:hint="eastAsia"/>
                <w:sz w:val="24"/>
              </w:rPr>
            </w:pPr>
            <w:r>
              <w:rPr>
                <w:sz w:val="24"/>
              </w:rPr>
              <w:t>□媒体采访</w:t>
            </w:r>
            <w:r>
              <w:rPr>
                <w:sz w:val="24"/>
              </w:rPr>
              <w:tab/>
            </w:r>
            <w:r>
              <w:rPr>
                <w:rFonts w:hint="eastAsia"/>
                <w:sz w:val="24"/>
              </w:rPr>
              <w:t>□</w:t>
            </w:r>
            <w:r>
              <w:rPr>
                <w:sz w:val="24"/>
              </w:rPr>
              <w:t>业绩说明会</w:t>
            </w:r>
          </w:p>
          <w:p w14:paraId="7DD45750">
            <w:pPr>
              <w:pStyle w:val="9"/>
              <w:tabs>
                <w:tab w:val="left" w:pos="2747"/>
              </w:tabs>
              <w:spacing w:before="126"/>
              <w:rPr>
                <w:rFonts w:hint="eastAsia"/>
                <w:sz w:val="24"/>
              </w:rPr>
            </w:pPr>
            <w:r>
              <w:rPr>
                <w:sz w:val="24"/>
              </w:rPr>
              <w:t>□新闻发布会</w:t>
            </w:r>
            <w:r>
              <w:rPr>
                <w:sz w:val="24"/>
              </w:rPr>
              <w:tab/>
            </w:r>
            <w:r>
              <w:rPr>
                <w:sz w:val="24"/>
              </w:rPr>
              <w:t>□路演活动</w:t>
            </w:r>
          </w:p>
          <w:p w14:paraId="56269F88">
            <w:pPr>
              <w:pStyle w:val="9"/>
              <w:spacing w:before="128"/>
              <w:rPr>
                <w:rFonts w:hint="eastAsia"/>
                <w:sz w:val="24"/>
              </w:rPr>
            </w:pPr>
            <w:r>
              <w:rPr>
                <w:sz w:val="24"/>
              </w:rPr>
              <w:t>□现场参观</w:t>
            </w:r>
          </w:p>
          <w:p w14:paraId="22C30DD5">
            <w:pPr>
              <w:pStyle w:val="9"/>
              <w:spacing w:before="127"/>
              <w:rPr>
                <w:rFonts w:hint="eastAsia"/>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377" w:type="dxa"/>
          </w:tcPr>
          <w:p w14:paraId="1BD9B899">
            <w:pPr>
              <w:pStyle w:val="9"/>
              <w:spacing w:before="64"/>
              <w:rPr>
                <w:rFonts w:hint="eastAsia"/>
                <w:sz w:val="24"/>
              </w:rPr>
            </w:pPr>
            <w:r>
              <w:rPr>
                <w:sz w:val="24"/>
              </w:rPr>
              <w:t>活动参与人员</w:t>
            </w:r>
          </w:p>
        </w:tc>
        <w:tc>
          <w:tcPr>
            <w:tcW w:w="6148" w:type="dxa"/>
          </w:tcPr>
          <w:p w14:paraId="43050273">
            <w:pPr>
              <w:pStyle w:val="9"/>
              <w:rPr>
                <w:rFonts w:hint="eastAsia"/>
              </w:rPr>
            </w:pPr>
            <w:r>
              <w:rPr>
                <w:rFonts w:hint="eastAsia"/>
              </w:rPr>
              <w:t>中信建投 邓皓烛 隋冲 王曼丹</w:t>
            </w:r>
          </w:p>
          <w:p w14:paraId="05A6B39E">
            <w:pPr>
              <w:pStyle w:val="9"/>
              <w:rPr>
                <w:rFonts w:hint="eastAsia"/>
              </w:rPr>
            </w:pPr>
            <w:r>
              <w:rPr>
                <w:rFonts w:hint="eastAsia"/>
              </w:rPr>
              <w:t>煜德投资 孙佳丽</w:t>
            </w:r>
          </w:p>
          <w:p w14:paraId="0A8B9502">
            <w:pPr>
              <w:pStyle w:val="9"/>
              <w:rPr>
                <w:rFonts w:hint="eastAsia"/>
              </w:rPr>
            </w:pPr>
            <w:r>
              <w:rPr>
                <w:rFonts w:hint="eastAsia"/>
              </w:rPr>
              <w:t>湘禾投资 杨湛</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rFonts w:hint="eastAsia"/>
                <w:sz w:val="24"/>
              </w:rPr>
            </w:pPr>
            <w:r>
              <w:rPr>
                <w:sz w:val="24"/>
              </w:rPr>
              <w:t>时间</w:t>
            </w:r>
          </w:p>
        </w:tc>
        <w:tc>
          <w:tcPr>
            <w:tcW w:w="6148" w:type="dxa"/>
          </w:tcPr>
          <w:p w14:paraId="4B082C86">
            <w:pPr>
              <w:pStyle w:val="9"/>
              <w:ind w:left="0"/>
              <w:rPr>
                <w:rFonts w:hint="eastAsia" w:ascii="Times New Roman"/>
                <w:sz w:val="26"/>
              </w:rPr>
            </w:pPr>
            <w:r>
              <w:rPr>
                <w:rFonts w:hint="eastAsia" w:ascii="Times New Roman"/>
                <w:sz w:val="26"/>
              </w:rPr>
              <w:t>2025</w:t>
            </w:r>
            <w:r>
              <w:rPr>
                <w:rFonts w:hint="eastAsia" w:ascii="Times New Roman"/>
                <w:sz w:val="26"/>
                <w:lang w:val="en-US" w:eastAsia="zh-CN"/>
              </w:rPr>
              <w:t>年</w:t>
            </w:r>
            <w:r>
              <w:rPr>
                <w:rFonts w:hint="eastAsia" w:ascii="Times New Roman"/>
                <w:sz w:val="26"/>
              </w:rPr>
              <w:t>9</w:t>
            </w:r>
            <w:r>
              <w:rPr>
                <w:rFonts w:hint="eastAsia" w:ascii="Times New Roman"/>
                <w:sz w:val="26"/>
                <w:lang w:val="en-US" w:eastAsia="zh-CN"/>
              </w:rPr>
              <w:t>月</w:t>
            </w:r>
            <w:r>
              <w:rPr>
                <w:rFonts w:hint="eastAsia" w:ascii="Times New Roman"/>
                <w:sz w:val="26"/>
              </w:rPr>
              <w:t>23</w:t>
            </w:r>
            <w:r>
              <w:rPr>
                <w:rFonts w:hint="eastAsia" w:ascii="Times New Roman"/>
                <w:sz w:val="26"/>
                <w:lang w:val="en-US" w:eastAsia="zh-CN"/>
              </w:rPr>
              <w:t>日</w:t>
            </w:r>
            <w:r>
              <w:rPr>
                <w:rFonts w:hint="eastAsia" w:ascii="Times New Roman"/>
                <w:sz w:val="26"/>
              </w:rPr>
              <w:t xml:space="preserve"> </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rFonts w:hint="eastAsia"/>
                <w:sz w:val="24"/>
              </w:rPr>
            </w:pPr>
            <w:r>
              <w:rPr>
                <w:sz w:val="24"/>
              </w:rPr>
              <w:t>地点</w:t>
            </w:r>
          </w:p>
        </w:tc>
        <w:tc>
          <w:tcPr>
            <w:tcW w:w="6148" w:type="dxa"/>
          </w:tcPr>
          <w:p w14:paraId="33D50453">
            <w:pPr>
              <w:pStyle w:val="9"/>
              <w:ind w:left="0"/>
              <w:rPr>
                <w:rFonts w:hint="eastAsia" w:ascii="Times New Roman"/>
                <w:sz w:val="26"/>
              </w:rPr>
            </w:pPr>
            <w:r>
              <w:rPr>
                <w:rFonts w:hint="eastAsia" w:ascii="Times New Roman"/>
                <w:sz w:val="26"/>
              </w:rPr>
              <w:t>格林达会议室</w:t>
            </w:r>
          </w:p>
        </w:tc>
      </w:tr>
      <w:tr w14:paraId="35FC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2377" w:type="dxa"/>
          </w:tcPr>
          <w:p w14:paraId="394FAF85">
            <w:pPr>
              <w:pStyle w:val="9"/>
              <w:spacing w:before="64"/>
              <w:rPr>
                <w:rFonts w:hint="eastAsia"/>
                <w:sz w:val="24"/>
              </w:rPr>
            </w:pPr>
            <w:r>
              <w:rPr>
                <w:rFonts w:hint="eastAsia"/>
                <w:sz w:val="24"/>
              </w:rPr>
              <w:t>上市公司接待人员</w:t>
            </w:r>
          </w:p>
        </w:tc>
        <w:tc>
          <w:tcPr>
            <w:tcW w:w="6148" w:type="dxa"/>
          </w:tcPr>
          <w:p w14:paraId="223E4649">
            <w:pPr>
              <w:pStyle w:val="9"/>
              <w:ind w:left="0" w:leftChars="0" w:firstLine="0" w:firstLineChars="0"/>
              <w:rPr>
                <w:rFonts w:hint="eastAsia"/>
              </w:rPr>
            </w:pPr>
            <w:r>
              <w:rPr>
                <w:rFonts w:hint="eastAsia"/>
              </w:rPr>
              <w:t>总经理：方伟华</w:t>
            </w:r>
          </w:p>
          <w:p w14:paraId="3A60FD20">
            <w:pPr>
              <w:pStyle w:val="9"/>
              <w:ind w:left="0" w:leftChars="0" w:firstLine="0" w:firstLineChars="0"/>
              <w:rPr>
                <w:rFonts w:hint="eastAsia"/>
              </w:rPr>
            </w:pPr>
            <w:r>
              <w:rPr>
                <w:rFonts w:hint="eastAsia"/>
              </w:rPr>
              <w:t>董事会秘书：章琪</w:t>
            </w:r>
          </w:p>
          <w:p w14:paraId="410D4AD2">
            <w:pPr>
              <w:pStyle w:val="9"/>
              <w:rPr>
                <w:rFonts w:hint="eastAsia"/>
              </w:rPr>
            </w:pP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rFonts w:hint="eastAsia"/>
                <w:sz w:val="24"/>
              </w:rPr>
            </w:pPr>
            <w:r>
              <w:rPr>
                <w:sz w:val="24"/>
              </w:rPr>
              <w:t>交流内容及具体问答</w:t>
            </w:r>
          </w:p>
          <w:p w14:paraId="504BE76F">
            <w:pPr>
              <w:pStyle w:val="9"/>
              <w:spacing w:before="127"/>
              <w:rPr>
                <w:rFonts w:hint="eastAsia"/>
                <w:sz w:val="24"/>
              </w:rPr>
            </w:pPr>
            <w:r>
              <w:rPr>
                <w:sz w:val="24"/>
              </w:rPr>
              <w:t>记录</w:t>
            </w:r>
          </w:p>
        </w:tc>
        <w:tc>
          <w:tcPr>
            <w:tcW w:w="6148" w:type="dxa"/>
          </w:tcPr>
          <w:p w14:paraId="2E44C2C9">
            <w:pPr>
              <w:spacing w:line="360" w:lineRule="auto"/>
              <w:rPr>
                <w:rFonts w:hint="default" w:eastAsia="仿宋"/>
                <w:lang w:val="en-US" w:eastAsia="zh-CN"/>
              </w:rPr>
            </w:pPr>
            <w:r>
              <w:rPr>
                <w:rFonts w:hint="eastAsia"/>
              </w:rPr>
              <w:t>1、公司</w:t>
            </w:r>
            <w:r>
              <w:rPr>
                <w:rFonts w:hint="eastAsia"/>
                <w:lang w:val="en-US" w:eastAsia="zh-CN"/>
              </w:rPr>
              <w:t>承接的</w:t>
            </w:r>
            <w:r>
              <w:rPr>
                <w:rFonts w:hint="eastAsia"/>
              </w:rPr>
              <w:t>工信部项目进度</w:t>
            </w:r>
            <w:r>
              <w:rPr>
                <w:rFonts w:hint="eastAsia"/>
                <w:lang w:val="en-US" w:eastAsia="zh-CN"/>
              </w:rPr>
              <w:t>和半导体客户端的市场拓展情况</w:t>
            </w:r>
          </w:p>
          <w:p w14:paraId="1EF16599">
            <w:pPr>
              <w:spacing w:line="360" w:lineRule="auto"/>
              <w:rPr>
                <w:rFonts w:hint="eastAsia"/>
              </w:rPr>
            </w:pPr>
            <w:r>
              <w:rPr>
                <w:rFonts w:hint="eastAsia"/>
              </w:rPr>
              <w:t>A:公司承接的工信部“集成电路制造产线零部件、材料和关键设备关键材料研发及产业化验证项目”处于整体验收阶段，公司正稳步推进项目验收收尾工作，进展顺利</w:t>
            </w:r>
            <w:r>
              <w:rPr>
                <w:rFonts w:hint="eastAsia"/>
                <w:lang w:eastAsia="zh-CN"/>
              </w:rPr>
              <w:t>。</w:t>
            </w:r>
            <w:r>
              <w:rPr>
                <w:rFonts w:hint="eastAsia"/>
                <w:lang w:val="en-US" w:eastAsia="zh-CN"/>
              </w:rPr>
              <w:t>公司</w:t>
            </w:r>
            <w:r>
              <w:t>通过该项目</w:t>
            </w:r>
            <w:r>
              <w:rPr>
                <w:rFonts w:hint="eastAsia"/>
                <w:lang w:val="en-US" w:eastAsia="zh-CN"/>
              </w:rPr>
              <w:t>进一步加强</w:t>
            </w:r>
            <w:r>
              <w:rPr>
                <w:rFonts w:hint="eastAsia"/>
                <w:lang w:eastAsia="zh-CN"/>
              </w:rPr>
              <w:t>公司的研发创新能力，</w:t>
            </w:r>
            <w:r>
              <w:t>带动技术提升，与集成电路龙头企业进行品质对标，完成客户端供应商资格审查导入，推动后续在半导体集成电路企业及半导体其他领域的产线验证和量供导入</w:t>
            </w:r>
            <w:r>
              <w:rPr>
                <w:rFonts w:hint="eastAsia"/>
              </w:rPr>
              <w:t>。</w:t>
            </w:r>
          </w:p>
          <w:p w14:paraId="2DD36A7C">
            <w:pPr>
              <w:spacing w:line="360" w:lineRule="auto"/>
              <w:rPr>
                <w:rFonts w:hint="eastAsia"/>
              </w:rPr>
            </w:pPr>
          </w:p>
          <w:p w14:paraId="22A8F0F7">
            <w:pPr>
              <w:spacing w:line="360" w:lineRule="auto"/>
              <w:rPr>
                <w:rFonts w:hint="eastAsia"/>
              </w:rPr>
            </w:pPr>
            <w:r>
              <w:rPr>
                <w:rFonts w:hint="eastAsia"/>
              </w:rPr>
              <w:t>2、公司产品在显示面板领域的市占率多少？下游显示面板市场行情如何？</w:t>
            </w:r>
          </w:p>
          <w:p w14:paraId="3210983D">
            <w:pPr>
              <w:spacing w:line="360" w:lineRule="auto"/>
            </w:pPr>
            <w:r>
              <w:rPr>
                <w:rFonts w:hint="eastAsia"/>
              </w:rPr>
              <w:t>A:公司核心产品显影液的主要客户为京东方集团、韩国LG集团、华星光电、天马微电子、维信诺等国内外大型面板企业，同时公司系工信部认定的第六批制造业单项冠军示范企业，投资者可参考工信部关于单项冠军申报标准中对于产品市场占有率的相关要求。整体来看，2025年全球新型显示产业在复杂环境中持续调整。全球关税上涨推升整机厂商降本需求，终端产品成本增加，进一步压制需求。根据群智咨询（Sigmaintell）机构数据，2025年全年面板需求较预期下调2%。全球消费电子供应链格局正在动态调整，直至形成新的平衡。与此同时，技术创新仍是行业发展的重要推动力。AI算力的提升正循序渐进地影响需求增长和技术变革。显示技术的发展也为市场带来新机遇：MinLED技术的提升叠加成本及产品线优势，在中高端TV市场和车载显示市场的需求增速明显加快；OLED技术则呈现多元化发展，当前在智能手机和TV市场增速放缓，而在PC市场进入快速渗透增长阶段；车载显示市场随着规模增长逐渐降速，增加附加值成为短期关键。未来，面板技术需在性能提升与成本控制之间找到平衡，与上下游厂商协同合作，共同推动行业健康发展。</w:t>
            </w:r>
          </w:p>
          <w:p w14:paraId="1C7BC2D2">
            <w:pPr>
              <w:spacing w:line="360" w:lineRule="auto"/>
              <w:rPr>
                <w:rFonts w:hint="eastAsia"/>
              </w:rPr>
            </w:pPr>
          </w:p>
          <w:p w14:paraId="41AD2464">
            <w:pPr>
              <w:spacing w:line="360" w:lineRule="auto"/>
              <w:rPr>
                <w:rFonts w:hint="eastAsia"/>
              </w:rPr>
            </w:pPr>
            <w:r>
              <w:rPr>
                <w:rFonts w:hint="eastAsia"/>
              </w:rPr>
              <w:t>3、四川工厂产品测试进展及销售情况</w:t>
            </w:r>
          </w:p>
          <w:p w14:paraId="50F75624">
            <w:pPr>
              <w:spacing w:line="360" w:lineRule="auto"/>
              <w:rPr>
                <w:rFonts w:hint="eastAsia"/>
              </w:rPr>
            </w:pPr>
            <w:r>
              <w:rPr>
                <w:rFonts w:hint="eastAsia"/>
              </w:rPr>
              <w:t>A:四川工厂于2024年第三季度拿到安全生产许可证，并通过了体系认证，产品在下游主要客户的多个产线进行测试。今年上半年四川工厂显影液在西南体系客户中已实现单厂转产测试成功、签署框架合同并完成量供切换，其他单厂的转产测试进程也在持续推进中。四川工厂作为西南区域客户配套企业，从运输距离、客户服务、响应速度等各方面均具备其独特的竞争优势。四川格林达2025年上半年实现营收3,309.84万元，产能逐步释放。公司将通过持续拓展市场、降本增效等方式，不断提升四川工厂运营效率，持续改善盈利水平。</w:t>
            </w:r>
          </w:p>
          <w:p w14:paraId="24C4F502">
            <w:pPr>
              <w:spacing w:line="360" w:lineRule="auto"/>
            </w:pPr>
          </w:p>
          <w:p w14:paraId="28CD8602">
            <w:pPr>
              <w:spacing w:line="360" w:lineRule="auto"/>
            </w:pPr>
            <w:r>
              <w:rPr>
                <w:rFonts w:hint="eastAsia"/>
              </w:rPr>
              <w:t>4、宁波聚合公司的减持情况</w:t>
            </w:r>
          </w:p>
          <w:p w14:paraId="0AFA5B2E">
            <w:pPr>
              <w:spacing w:line="360" w:lineRule="auto"/>
              <w:rPr>
                <w:rFonts w:hint="eastAsia"/>
              </w:rPr>
            </w:pPr>
            <w:r>
              <w:rPr>
                <w:rFonts w:hint="eastAsia"/>
              </w:rPr>
              <w:t>A：宁波聚合创业投资基金合伙企业（有限合伙）的减持计划仍在实施期间内（2025年6月27日～2025年9月26日），公司将持续督促股东合法合规完成减持工作，并及时</w:t>
            </w:r>
            <w:r>
              <w:rPr>
                <w:rFonts w:hint="eastAsia"/>
                <w:lang w:val="en-US" w:eastAsia="zh-CN"/>
              </w:rPr>
              <w:t>进行信息</w:t>
            </w:r>
            <w:bookmarkStart w:id="0" w:name="_GoBack"/>
            <w:bookmarkEnd w:id="0"/>
            <w:r>
              <w:rPr>
                <w:rFonts w:hint="eastAsia"/>
              </w:rPr>
              <w:t>披露。</w:t>
            </w: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2377" w:type="dxa"/>
          </w:tcPr>
          <w:p w14:paraId="55F322A2">
            <w:pPr>
              <w:pStyle w:val="9"/>
              <w:spacing w:before="64" w:line="340" w:lineRule="auto"/>
              <w:ind w:right="97"/>
              <w:jc w:val="both"/>
              <w:rPr>
                <w:rFonts w:hint="eastAsia"/>
                <w:sz w:val="24"/>
              </w:rPr>
            </w:pPr>
            <w:r>
              <w:rPr>
                <w:sz w:val="24"/>
              </w:rPr>
              <w:t>活动过程中所使用的演示文稿、提供的文档等附件（如有，可</w:t>
            </w:r>
          </w:p>
          <w:p w14:paraId="6B84863A">
            <w:pPr>
              <w:pStyle w:val="9"/>
              <w:spacing w:line="303" w:lineRule="exact"/>
              <w:rPr>
                <w:rFonts w:hint="eastAsia"/>
                <w:sz w:val="24"/>
              </w:rPr>
            </w:pPr>
            <w:r>
              <w:rPr>
                <w:sz w:val="24"/>
              </w:rPr>
              <w:t>作为附件）</w:t>
            </w:r>
          </w:p>
        </w:tc>
        <w:tc>
          <w:tcPr>
            <w:tcW w:w="6148" w:type="dxa"/>
          </w:tcPr>
          <w:p w14:paraId="561E560E">
            <w:pPr>
              <w:pStyle w:val="9"/>
              <w:ind w:left="0"/>
              <w:rPr>
                <w:rFonts w:hint="eastAsia" w:ascii="Times New Roman"/>
                <w:sz w:val="26"/>
              </w:rPr>
            </w:pPr>
            <w:r>
              <w:rPr>
                <w:rFonts w:hint="eastAsia" w:ascii="Times New Roman"/>
                <w:sz w:val="26"/>
              </w:rPr>
              <w:t>无</w:t>
            </w:r>
          </w:p>
        </w:tc>
      </w:tr>
      <w:tr w14:paraId="39F30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377" w:type="dxa"/>
          </w:tcPr>
          <w:p w14:paraId="29976BFA">
            <w:pPr>
              <w:pStyle w:val="9"/>
              <w:spacing w:before="64" w:line="340" w:lineRule="auto"/>
              <w:ind w:right="97"/>
              <w:jc w:val="both"/>
              <w:rPr>
                <w:rFonts w:hint="eastAsia"/>
                <w:sz w:val="24"/>
              </w:rPr>
            </w:pPr>
            <w:r>
              <w:rPr>
                <w:rFonts w:hint="eastAsia"/>
                <w:sz w:val="24"/>
              </w:rPr>
              <w:t>日期</w:t>
            </w:r>
          </w:p>
        </w:tc>
        <w:tc>
          <w:tcPr>
            <w:tcW w:w="6148" w:type="dxa"/>
          </w:tcPr>
          <w:p w14:paraId="3116276B">
            <w:pPr>
              <w:pStyle w:val="9"/>
              <w:ind w:left="0"/>
              <w:rPr>
                <w:rFonts w:hint="eastAsia" w:ascii="Times New Roman"/>
                <w:sz w:val="26"/>
              </w:rPr>
            </w:pPr>
            <w:r>
              <w:rPr>
                <w:rFonts w:hint="eastAsia" w:ascii="Times New Roman"/>
                <w:sz w:val="26"/>
              </w:rPr>
              <w:t>2025年9月23日</w:t>
            </w:r>
          </w:p>
        </w:tc>
      </w:tr>
    </w:tbl>
    <w:p w14:paraId="436C18F1">
      <w:pPr>
        <w:rPr>
          <w:rFonts w:hint="eastAsia"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032E7"/>
    <w:rsid w:val="00063202"/>
    <w:rsid w:val="000D24F6"/>
    <w:rsid w:val="001305E4"/>
    <w:rsid w:val="00232B20"/>
    <w:rsid w:val="002F58B8"/>
    <w:rsid w:val="003343C7"/>
    <w:rsid w:val="00462D43"/>
    <w:rsid w:val="005156BA"/>
    <w:rsid w:val="00552E3E"/>
    <w:rsid w:val="00606E5E"/>
    <w:rsid w:val="00623297"/>
    <w:rsid w:val="00682C5D"/>
    <w:rsid w:val="00686109"/>
    <w:rsid w:val="006A0D70"/>
    <w:rsid w:val="007E3B0D"/>
    <w:rsid w:val="007F6874"/>
    <w:rsid w:val="008000A5"/>
    <w:rsid w:val="0083584F"/>
    <w:rsid w:val="00916165"/>
    <w:rsid w:val="00946532"/>
    <w:rsid w:val="00993F13"/>
    <w:rsid w:val="009A5806"/>
    <w:rsid w:val="009A6323"/>
    <w:rsid w:val="009F75B4"/>
    <w:rsid w:val="00A46419"/>
    <w:rsid w:val="00A83E0B"/>
    <w:rsid w:val="00BA688B"/>
    <w:rsid w:val="00C5219B"/>
    <w:rsid w:val="00C826FC"/>
    <w:rsid w:val="00CD3F65"/>
    <w:rsid w:val="00CF5949"/>
    <w:rsid w:val="00D42126"/>
    <w:rsid w:val="00E46F19"/>
    <w:rsid w:val="00F131DD"/>
    <w:rsid w:val="00F943F4"/>
    <w:rsid w:val="00FC48E7"/>
    <w:rsid w:val="1ED23A13"/>
    <w:rsid w:val="4254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uiPriority w:val="0"/>
    <w:rPr>
      <w:rFonts w:ascii="仿宋" w:hAnsi="仿宋" w:eastAsia="仿宋" w:cs="仿宋"/>
      <w:sz w:val="18"/>
      <w:szCs w:val="18"/>
      <w:lang w:val="zh-CN" w:bidi="zh-CN"/>
    </w:rPr>
  </w:style>
  <w:style w:type="character" w:customStyle="1" w:styleId="11">
    <w:name w:val="页脚 字符"/>
    <w:basedOn w:val="6"/>
    <w:link w:val="3"/>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1188</Words>
  <Characters>1271</Characters>
  <Lines>43</Lines>
  <Paragraphs>37</Paragraphs>
  <TotalTime>3</TotalTime>
  <ScaleCrop>false</ScaleCrop>
  <LinksUpToDate>false</LinksUpToDate>
  <CharactersWithSpaces>1293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2024-05-16T06:10:00Z</dcterms:created>
  <dc:creator>杨展</dc:creator>
  <cp:lastModifiedBy>杭州格林达</cp:lastModifiedBy>
  <dcterms:modified xsi:type="dcterms:W3CDTF">2025-09-23T07:36:01Z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2052-12.1.0.21915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C741473184CC4D4BB2FD424074D79D20_12</vt:lpwstr>
  </property>
</Properties>
</file>