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52E4" w14:textId="77777777" w:rsidR="0049278F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600717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天津港</w:t>
      </w:r>
    </w:p>
    <w:p w14:paraId="6F90E495" w14:textId="77777777" w:rsidR="0049278F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天津港股份有限公司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09D6358" w14:textId="77777777" w:rsidR="0049278F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49278F" w14:paraId="28B47251" w14:textId="77777777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EF2D" w14:textId="77777777" w:rsidR="0049278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1ADC4DF" w14:textId="77777777" w:rsidR="0049278F" w:rsidRDefault="0049278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0AD8" w14:textId="77777777" w:rsidR="0049278F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ascii="MS Mincho" w:hAnsi="MS Mincho" w:cs="MS Mincho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7A8AF23" w14:textId="77777777" w:rsidR="0049278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D5D292D" w14:textId="77777777" w:rsidR="0049278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4876B2F8" w14:textId="77777777" w:rsidR="0049278F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7C50647" w14:textId="77777777" w:rsidR="0049278F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49278F" w14:paraId="39F9C802" w14:textId="77777777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5F87" w14:textId="77777777" w:rsidR="0049278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t>及参与人员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DB83" w14:textId="77777777" w:rsidR="0049278F" w:rsidRDefault="00000000">
            <w:pPr>
              <w:spacing w:line="46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>
              <w:rPr>
                <w:rFonts w:asciiTheme="minorEastAsia" w:eastAsiaTheme="minorEastAsia" w:hAnsiTheme="minor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19</w:t>
            </w:r>
            <w:r>
              <w:rPr>
                <w:rFonts w:asciiTheme="minorEastAsia" w:eastAsiaTheme="minorEastAsia" w:hAnsiTheme="minorEastAsia"/>
                <w:sz w:val="24"/>
              </w:rPr>
              <w:t>日 (周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  <w:r>
              <w:rPr>
                <w:rFonts w:asciiTheme="minorEastAsia" w:eastAsiaTheme="minorEastAsia" w:hAnsiTheme="minorEastAsia"/>
                <w:sz w:val="24"/>
              </w:rPr>
              <w:t>) 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</w:p>
          <w:p w14:paraId="775C2530" w14:textId="77777777" w:rsidR="0049278F" w:rsidRDefault="00000000">
            <w:pPr>
              <w:spacing w:line="46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华</w:t>
            </w:r>
            <w:proofErr w:type="gramStart"/>
            <w:r>
              <w:rPr>
                <w:bCs/>
                <w:iCs/>
                <w:color w:val="000000"/>
                <w:sz w:val="24"/>
              </w:rPr>
              <w:t>源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证券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机构策略会</w:t>
            </w:r>
          </w:p>
        </w:tc>
      </w:tr>
      <w:tr w:rsidR="0049278F" w14:paraId="77B9425C" w14:textId="77777777">
        <w:trPr>
          <w:cantSplit/>
          <w:trHeight w:val="52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2AE8" w14:textId="77777777" w:rsidR="0049278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19F7" w14:textId="77777777" w:rsidR="0049278F" w:rsidRDefault="00000000">
            <w:pPr>
              <w:spacing w:beforeLines="50" w:before="156" w:afterLines="50" w:after="156"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成都</w:t>
            </w:r>
          </w:p>
        </w:tc>
      </w:tr>
      <w:tr w:rsidR="0049278F" w14:paraId="06F15C89" w14:textId="77777777">
        <w:trPr>
          <w:cantSplit/>
          <w:trHeight w:val="62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004" w14:textId="77777777" w:rsidR="0049278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B120" w14:textId="77777777" w:rsidR="0049278F" w:rsidRDefault="00000000">
            <w:pPr>
              <w:spacing w:line="46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资本运作管理经理：张伟</w:t>
            </w:r>
          </w:p>
        </w:tc>
      </w:tr>
      <w:tr w:rsidR="0049278F" w14:paraId="7614F85B" w14:textId="77777777" w:rsidTr="008C766E">
        <w:trPr>
          <w:trHeight w:val="62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D709" w14:textId="77777777" w:rsidR="0049278F" w:rsidRDefault="0049278F">
            <w:pPr>
              <w:spacing w:line="420" w:lineRule="exact"/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</w:pPr>
          </w:p>
          <w:p w14:paraId="4836F0C2" w14:textId="77777777" w:rsidR="0049278F" w:rsidRDefault="0049278F">
            <w:pPr>
              <w:spacing w:line="420" w:lineRule="exact"/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</w:pPr>
          </w:p>
          <w:p w14:paraId="548C2B4F" w14:textId="77777777" w:rsidR="0049278F" w:rsidRDefault="0049278F">
            <w:pPr>
              <w:spacing w:line="420" w:lineRule="exact"/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</w:pPr>
          </w:p>
          <w:p w14:paraId="77C4A003" w14:textId="77777777" w:rsidR="0049278F" w:rsidRDefault="0049278F">
            <w:pPr>
              <w:spacing w:line="420" w:lineRule="exact"/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</w:pPr>
          </w:p>
          <w:p w14:paraId="079BF625" w14:textId="77777777" w:rsidR="0049278F" w:rsidRDefault="0049278F">
            <w:pPr>
              <w:spacing w:line="420" w:lineRule="exact"/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</w:pPr>
          </w:p>
          <w:p w14:paraId="1FECEAE6" w14:textId="77777777" w:rsidR="0049278F" w:rsidRDefault="0049278F">
            <w:pPr>
              <w:spacing w:line="420" w:lineRule="exact"/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</w:pPr>
          </w:p>
          <w:p w14:paraId="40183793" w14:textId="77777777" w:rsidR="0049278F" w:rsidRDefault="0049278F">
            <w:pPr>
              <w:spacing w:line="420" w:lineRule="exact"/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</w:pPr>
          </w:p>
          <w:p w14:paraId="56799ADF" w14:textId="77777777" w:rsidR="0049278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672E116F" w14:textId="77777777" w:rsidR="0049278F" w:rsidRDefault="0049278F">
            <w:pPr>
              <w:spacing w:line="420" w:lineRule="exact"/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0E1C" w14:textId="77777777" w:rsidR="0049278F" w:rsidRDefault="00000000">
            <w:pPr>
              <w:spacing w:beforeLines="50" w:before="156" w:line="460" w:lineRule="exact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机构</w:t>
            </w: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4279462D" w14:textId="77777777" w:rsidR="0049278F" w:rsidRDefault="00000000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.公司货种结构</w:t>
            </w:r>
          </w:p>
          <w:p w14:paraId="18A6D679" w14:textId="77777777" w:rsidR="0049278F" w:rsidRDefault="00000000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公司货类分为集装箱、干散货、液体散货、滚装汽车、件杂货等。干散货涵盖金属矿石、煤、焦炭、非金属矿石、粮食、化肥、饲料、铝矾土等，液体散货包含原油、成品油、食用油等，件杂货主要为钢材、大型机器设备等。</w:t>
            </w:r>
          </w:p>
          <w:p w14:paraId="4ECAC443" w14:textId="77777777" w:rsidR="0049278F" w:rsidRDefault="00000000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2.2025年上半年公司的整体经营情况</w:t>
            </w:r>
          </w:p>
          <w:p w14:paraId="04CAE69D" w14:textId="77777777" w:rsidR="0049278F" w:rsidRDefault="00000000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2025年上半年，公司完成货物吞吐量2.29亿吨，同比增长0.44%；集装箱吞吐量1060.40万TEU，同比增长1.58%。实现营业收入61.78亿元，实现归属于上市公司股东的净利润5.03亿元。</w:t>
            </w:r>
          </w:p>
          <w:p w14:paraId="7AE69E39" w14:textId="77777777" w:rsidR="0049278F" w:rsidRDefault="00000000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3.公司业务主要覆盖地区</w:t>
            </w:r>
          </w:p>
          <w:p w14:paraId="17841C1F" w14:textId="77777777" w:rsidR="0049278F" w:rsidRDefault="00000000">
            <w:pPr>
              <w:spacing w:line="460" w:lineRule="exact"/>
              <w:ind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天津港的业务货量来源广泛，覆盖了多个地区和产业链的需求，同世界上180多个国家和地区的500多个港口保持贸易往来；辐射京津冀及中西部地区14个省、市、自治区，腹地面积近500万平方公里，占全国总面积的52％；70%左右的货物吞吐</w:t>
            </w: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量和50%以上的口岸进出口货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值来自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天津以外的各省、市、自治区。</w:t>
            </w:r>
          </w:p>
          <w:p w14:paraId="3D1ED1B1" w14:textId="77777777" w:rsidR="0049278F" w:rsidRDefault="00000000">
            <w:pPr>
              <w:spacing w:line="460" w:lineRule="exact"/>
              <w:ind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4.公司各业务板块情况</w:t>
            </w:r>
          </w:p>
          <w:p w14:paraId="69DECD31" w14:textId="77777777" w:rsidR="0049278F" w:rsidRDefault="00000000">
            <w:pPr>
              <w:pStyle w:val="2"/>
              <w:ind w:firstLineChars="200" w:firstLine="480"/>
            </w:pPr>
            <w:r>
              <w:rPr>
                <w:rFonts w:asciiTheme="minorEastAsia" w:eastAsiaTheme="minorEastAsia" w:hAnsiTheme="minorEastAsia" w:hint="eastAsia"/>
              </w:rPr>
              <w:t>公司有</w:t>
            </w:r>
            <w:r>
              <w:rPr>
                <w:rFonts w:asciiTheme="minorEastAsia" w:eastAsiaTheme="minorEastAsia" w:hAnsiTheme="minorEastAsia"/>
              </w:rPr>
              <w:t>装卸、销售、物流、服务及</w:t>
            </w:r>
            <w:r>
              <w:rPr>
                <w:rFonts w:asciiTheme="minorEastAsia" w:eastAsiaTheme="minorEastAsia" w:hAnsiTheme="minorEastAsia" w:hint="eastAsia"/>
              </w:rPr>
              <w:t>其他</w:t>
            </w:r>
            <w:r>
              <w:rPr>
                <w:rFonts w:asciiTheme="minorEastAsia" w:eastAsiaTheme="minorEastAsia" w:hAnsiTheme="minorEastAsia"/>
              </w:rPr>
              <w:t>业务四大业务板块，其中装卸业务是公司传统主业，</w:t>
            </w:r>
            <w:r>
              <w:rPr>
                <w:rFonts w:asciiTheme="minorEastAsia" w:eastAsiaTheme="minorEastAsia" w:hAnsiTheme="minorEastAsia" w:hint="eastAsia"/>
              </w:rPr>
              <w:t>销售</w:t>
            </w:r>
            <w:r>
              <w:rPr>
                <w:rFonts w:asciiTheme="minorEastAsia" w:eastAsiaTheme="minorEastAsia" w:hAnsiTheme="minorEastAsia"/>
              </w:rPr>
              <w:t>业务为</w:t>
            </w:r>
            <w:r>
              <w:rPr>
                <w:rFonts w:asciiTheme="minorEastAsia" w:eastAsiaTheme="minorEastAsia" w:hAnsiTheme="minorEastAsia" w:hint="eastAsia"/>
              </w:rPr>
              <w:t>煤炭</w:t>
            </w:r>
            <w:r>
              <w:rPr>
                <w:rFonts w:asciiTheme="minorEastAsia" w:eastAsiaTheme="minorEastAsia" w:hAnsiTheme="minorEastAsia"/>
              </w:rPr>
              <w:t>贸易业务，</w:t>
            </w:r>
            <w:r>
              <w:rPr>
                <w:rFonts w:asciiTheme="minorEastAsia" w:eastAsiaTheme="minorEastAsia" w:hAnsiTheme="minorEastAsia" w:hint="eastAsia"/>
              </w:rPr>
              <w:t>物流业务主要包括代理、运输、堆存和装卸辅助等业务，服务及其他业务主要是理货业务及其他服务业务。</w:t>
            </w:r>
          </w:p>
          <w:p w14:paraId="45FCFD66" w14:textId="77777777" w:rsidR="0049278F" w:rsidRDefault="00000000">
            <w:pPr>
              <w:pStyle w:val="Style6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5.“对等关税”对公司的影响</w:t>
            </w:r>
          </w:p>
          <w:p w14:paraId="7D79BD2B" w14:textId="77777777" w:rsidR="0049278F" w:rsidRDefault="00000000">
            <w:pPr>
              <w:pStyle w:val="Style6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公司散杂货与美国港口往来货物在散杂货整体货源量的占比较低，集装箱航线在外贸箱量的占比不高。公司将持续关注相关动态，积极采取提升服务效率、拓展重点航线、深挖货源潜力、强化营销推介、深化口岸协同等应对措施。</w:t>
            </w:r>
          </w:p>
          <w:p w14:paraId="6190D07F" w14:textId="77777777" w:rsidR="0049278F" w:rsidRDefault="00000000">
            <w:pPr>
              <w:pStyle w:val="Style6"/>
              <w:ind w:firstLineChars="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6.2024年资本开支的实际情况，2025年资本开支计划</w:t>
            </w:r>
          </w:p>
          <w:p w14:paraId="7AAD55A8" w14:textId="77777777" w:rsidR="0049278F" w:rsidRDefault="00000000">
            <w:pPr>
              <w:pStyle w:val="Style6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2024年公司计划投资额为14.54亿元，实际完成投资额11.08亿元。2025年预计完成固定资产投资23.74亿元，主要包括基本建设项目18.22亿元，设备投资3.66亿元，数字化建设项目1.86亿元，基本建设项目主要为所属公司堆场扩建、码头改造等项目。</w:t>
            </w:r>
          </w:p>
          <w:p w14:paraId="3FFFC2B6" w14:textId="77777777" w:rsidR="0049278F" w:rsidRDefault="00000000">
            <w:pPr>
              <w:pStyle w:val="Style6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7.公司的分红情况</w:t>
            </w:r>
          </w:p>
          <w:p w14:paraId="14A87BF9" w14:textId="77777777" w:rsidR="0049278F" w:rsidRDefault="00000000">
            <w:pPr>
              <w:pStyle w:val="Style6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公司积极响应现金分红政策导向，严格按照监管要求构建利润分配机制。通过在《公司章程》等制度中明确现金分红优先原则，建立了科学透明的决策体系，保障利润分配政策的连续性与稳定性，又统筹兼顾公司可持续发展需求与全体股东长远利益。公司自1996年上市以来始终坚持回馈投资者，已累计完成现金分红26次，分红金额达到51.42亿元。其中，2024年向全体股东每10股派发现金红利1.04元人民币（含税），现金分红金额合计3.01亿元，权益分派已于6月19日实施完毕。</w:t>
            </w:r>
          </w:p>
          <w:p w14:paraId="435D42F5" w14:textId="77777777" w:rsidR="0049278F" w:rsidRDefault="00000000">
            <w:pPr>
              <w:pStyle w:val="Style6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8.公司今年以来在市值管理方面开展的工作</w:t>
            </w:r>
          </w:p>
          <w:p w14:paraId="2A5DEB79" w14:textId="77777777" w:rsidR="0049278F" w:rsidRDefault="00000000">
            <w:pPr>
              <w:pStyle w:val="Style6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2025年以来，公司夯实市值管理顶层设计，制定了《公司市值管理制度》，发布《未来三年估值提升计划（2025年-2027年）》</w:t>
            </w:r>
            <w:r>
              <w:rPr>
                <w:rFonts w:asciiTheme="minorEastAsia" w:eastAsiaTheme="minorEastAsia" w:hAnsiTheme="minorEastAsia" w:hint="eastAsia"/>
              </w:rPr>
              <w:lastRenderedPageBreak/>
              <w:t>和《2025年度“提质增效重回报”行动方案》，制定《2025年市值管理方案》。以《制度》为保障，以《计划》和《行动方案》为抓手，以《方案》促落实，以提升估值水平为目标，推动公司进一步开展市值管理工作，持续提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振市场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信心，实现可持续发展。</w:t>
            </w:r>
          </w:p>
          <w:p w14:paraId="67638F54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73777546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60A44D58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0D82F9AF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293CADA5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59E7BF55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4ACAA100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0845B245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59BB9552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17A21901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479B8663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7BB1C2FD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6357A6A4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44CC30D4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6DDC7A12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166B3DD3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654A1F2D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136E3183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2A21547F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16D6DB7E" w14:textId="77777777" w:rsidR="0049278F" w:rsidRDefault="0049278F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0063FC5C" w14:textId="77777777" w:rsidR="0049278F" w:rsidRDefault="0049278F">
            <w:pPr>
              <w:pStyle w:val="Style6"/>
              <w:ind w:firstLineChars="0" w:firstLine="0"/>
              <w:rPr>
                <w:rFonts w:asciiTheme="minorEastAsia" w:eastAsiaTheme="minorEastAsia" w:hAnsiTheme="minorEastAsia" w:hint="eastAsia"/>
              </w:rPr>
            </w:pPr>
          </w:p>
          <w:p w14:paraId="0DB5B452" w14:textId="77777777" w:rsidR="0049278F" w:rsidRDefault="0049278F">
            <w:pPr>
              <w:spacing w:line="460" w:lineRule="exact"/>
              <w:rPr>
                <w:rFonts w:asciiTheme="minorEastAsia" w:eastAsiaTheme="minorEastAsia" w:hAnsiTheme="minorEastAsia" w:hint="eastAsia"/>
              </w:rPr>
            </w:pPr>
          </w:p>
          <w:p w14:paraId="355D26D4" w14:textId="77777777" w:rsidR="0049278F" w:rsidRDefault="0049278F">
            <w:pPr>
              <w:spacing w:line="460" w:lineRule="exact"/>
              <w:rPr>
                <w:rFonts w:asciiTheme="minorEastAsia" w:eastAsiaTheme="minorEastAsia" w:hAnsiTheme="minorEastAsia" w:hint="eastAsia"/>
              </w:rPr>
            </w:pPr>
          </w:p>
        </w:tc>
      </w:tr>
    </w:tbl>
    <w:p w14:paraId="50580E8D" w14:textId="77777777" w:rsidR="0049278F" w:rsidRDefault="0049278F"/>
    <w:sectPr w:rsidR="0049278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F1DC" w14:textId="77777777" w:rsidR="0071744C" w:rsidRDefault="0071744C">
      <w:r>
        <w:separator/>
      </w:r>
    </w:p>
  </w:endnote>
  <w:endnote w:type="continuationSeparator" w:id="0">
    <w:p w14:paraId="16BA8CD2" w14:textId="77777777" w:rsidR="0071744C" w:rsidRDefault="0071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B073" w14:textId="77777777" w:rsidR="0071744C" w:rsidRDefault="0071744C">
      <w:r>
        <w:separator/>
      </w:r>
    </w:p>
  </w:footnote>
  <w:footnote w:type="continuationSeparator" w:id="0">
    <w:p w14:paraId="03C9352D" w14:textId="77777777" w:rsidR="0071744C" w:rsidRDefault="00717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460C" w14:textId="77777777" w:rsidR="0049278F" w:rsidRDefault="0049278F">
    <w:pPr>
      <w:pStyle w:val="a7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1NzQzMzBiM2IyN2YxMjM0NjFkY2UzMzNiZDMzMjEifQ=="/>
  </w:docVars>
  <w:rsids>
    <w:rsidRoot w:val="006861C7"/>
    <w:rsid w:val="B7DDD54D"/>
    <w:rsid w:val="E3FFE6ED"/>
    <w:rsid w:val="F5DB8A63"/>
    <w:rsid w:val="F797912E"/>
    <w:rsid w:val="FE7B4896"/>
    <w:rsid w:val="0000695E"/>
    <w:rsid w:val="000268C0"/>
    <w:rsid w:val="00026A12"/>
    <w:rsid w:val="000363B5"/>
    <w:rsid w:val="00036D9D"/>
    <w:rsid w:val="000375D7"/>
    <w:rsid w:val="00043015"/>
    <w:rsid w:val="00044B01"/>
    <w:rsid w:val="00046DDE"/>
    <w:rsid w:val="000479D0"/>
    <w:rsid w:val="00047EB9"/>
    <w:rsid w:val="00053546"/>
    <w:rsid w:val="00060A74"/>
    <w:rsid w:val="00067110"/>
    <w:rsid w:val="00090C36"/>
    <w:rsid w:val="0009298A"/>
    <w:rsid w:val="000A2808"/>
    <w:rsid w:val="000A3707"/>
    <w:rsid w:val="000A3BAC"/>
    <w:rsid w:val="000C26FD"/>
    <w:rsid w:val="000C2D85"/>
    <w:rsid w:val="000C6E35"/>
    <w:rsid w:val="000D09A0"/>
    <w:rsid w:val="000E4C6C"/>
    <w:rsid w:val="000E5700"/>
    <w:rsid w:val="000F0C4B"/>
    <w:rsid w:val="000F0E22"/>
    <w:rsid w:val="000F179D"/>
    <w:rsid w:val="00105A04"/>
    <w:rsid w:val="00111E72"/>
    <w:rsid w:val="001169A9"/>
    <w:rsid w:val="00125EB2"/>
    <w:rsid w:val="00126315"/>
    <w:rsid w:val="0012749D"/>
    <w:rsid w:val="0013054E"/>
    <w:rsid w:val="00132DAF"/>
    <w:rsid w:val="00142A4C"/>
    <w:rsid w:val="00144279"/>
    <w:rsid w:val="001452FF"/>
    <w:rsid w:val="001526E8"/>
    <w:rsid w:val="0015477A"/>
    <w:rsid w:val="00154EA0"/>
    <w:rsid w:val="00161916"/>
    <w:rsid w:val="0016530E"/>
    <w:rsid w:val="0016617A"/>
    <w:rsid w:val="00167E99"/>
    <w:rsid w:val="00176B4E"/>
    <w:rsid w:val="0019658A"/>
    <w:rsid w:val="001975AB"/>
    <w:rsid w:val="001A00F5"/>
    <w:rsid w:val="001A1F65"/>
    <w:rsid w:val="001A5CE9"/>
    <w:rsid w:val="001C33DC"/>
    <w:rsid w:val="001C50AD"/>
    <w:rsid w:val="001D198C"/>
    <w:rsid w:val="001D22EE"/>
    <w:rsid w:val="001D4C89"/>
    <w:rsid w:val="001D5069"/>
    <w:rsid w:val="001E1838"/>
    <w:rsid w:val="001E3145"/>
    <w:rsid w:val="001E6509"/>
    <w:rsid w:val="001E71FF"/>
    <w:rsid w:val="001E7968"/>
    <w:rsid w:val="001F60CA"/>
    <w:rsid w:val="00220790"/>
    <w:rsid w:val="0022180A"/>
    <w:rsid w:val="00223ABC"/>
    <w:rsid w:val="002241B9"/>
    <w:rsid w:val="002264E0"/>
    <w:rsid w:val="002274D9"/>
    <w:rsid w:val="0023455A"/>
    <w:rsid w:val="00237994"/>
    <w:rsid w:val="0024470D"/>
    <w:rsid w:val="0024713E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3F50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2497"/>
    <w:rsid w:val="003030BF"/>
    <w:rsid w:val="00304F89"/>
    <w:rsid w:val="00306023"/>
    <w:rsid w:val="00311823"/>
    <w:rsid w:val="003226FD"/>
    <w:rsid w:val="00327D5D"/>
    <w:rsid w:val="00340039"/>
    <w:rsid w:val="0034372F"/>
    <w:rsid w:val="00344914"/>
    <w:rsid w:val="00345B51"/>
    <w:rsid w:val="00346917"/>
    <w:rsid w:val="0035084D"/>
    <w:rsid w:val="00354A7B"/>
    <w:rsid w:val="00360FDA"/>
    <w:rsid w:val="00363075"/>
    <w:rsid w:val="0036329C"/>
    <w:rsid w:val="00365BD1"/>
    <w:rsid w:val="00367D18"/>
    <w:rsid w:val="00372A1C"/>
    <w:rsid w:val="0037435A"/>
    <w:rsid w:val="00376CE5"/>
    <w:rsid w:val="00377D8F"/>
    <w:rsid w:val="00383679"/>
    <w:rsid w:val="003A1E68"/>
    <w:rsid w:val="003B0122"/>
    <w:rsid w:val="003B0BE5"/>
    <w:rsid w:val="003B4F6E"/>
    <w:rsid w:val="003C2D53"/>
    <w:rsid w:val="003C6E6E"/>
    <w:rsid w:val="003D18F1"/>
    <w:rsid w:val="003D205A"/>
    <w:rsid w:val="003E001E"/>
    <w:rsid w:val="003E1C22"/>
    <w:rsid w:val="003F0DEA"/>
    <w:rsid w:val="003F297A"/>
    <w:rsid w:val="003F7C4D"/>
    <w:rsid w:val="0040075F"/>
    <w:rsid w:val="00403300"/>
    <w:rsid w:val="0041012E"/>
    <w:rsid w:val="004118C0"/>
    <w:rsid w:val="00417A31"/>
    <w:rsid w:val="0042004B"/>
    <w:rsid w:val="00433384"/>
    <w:rsid w:val="0043777D"/>
    <w:rsid w:val="00441F3B"/>
    <w:rsid w:val="00441FD0"/>
    <w:rsid w:val="00444828"/>
    <w:rsid w:val="00455AC4"/>
    <w:rsid w:val="0045767F"/>
    <w:rsid w:val="00463E9B"/>
    <w:rsid w:val="00464924"/>
    <w:rsid w:val="00467414"/>
    <w:rsid w:val="00473F30"/>
    <w:rsid w:val="0048591A"/>
    <w:rsid w:val="00486D86"/>
    <w:rsid w:val="004871BB"/>
    <w:rsid w:val="0048721A"/>
    <w:rsid w:val="0049278F"/>
    <w:rsid w:val="0049352F"/>
    <w:rsid w:val="004A0BD5"/>
    <w:rsid w:val="004A1BBF"/>
    <w:rsid w:val="004A73E5"/>
    <w:rsid w:val="004A7EAE"/>
    <w:rsid w:val="004C19BF"/>
    <w:rsid w:val="004D1001"/>
    <w:rsid w:val="004D7640"/>
    <w:rsid w:val="004E1A9B"/>
    <w:rsid w:val="004E1BB3"/>
    <w:rsid w:val="004E7CCE"/>
    <w:rsid w:val="004F0E07"/>
    <w:rsid w:val="004F1E7A"/>
    <w:rsid w:val="00500AB6"/>
    <w:rsid w:val="005155FB"/>
    <w:rsid w:val="0052077F"/>
    <w:rsid w:val="00522763"/>
    <w:rsid w:val="005228A2"/>
    <w:rsid w:val="00523907"/>
    <w:rsid w:val="00535D86"/>
    <w:rsid w:val="00537C53"/>
    <w:rsid w:val="00540787"/>
    <w:rsid w:val="005438F5"/>
    <w:rsid w:val="00544901"/>
    <w:rsid w:val="00544AF0"/>
    <w:rsid w:val="005474D3"/>
    <w:rsid w:val="00550737"/>
    <w:rsid w:val="00555DD2"/>
    <w:rsid w:val="00556D03"/>
    <w:rsid w:val="00565ED9"/>
    <w:rsid w:val="005760C6"/>
    <w:rsid w:val="00585A1B"/>
    <w:rsid w:val="00587AC2"/>
    <w:rsid w:val="00591260"/>
    <w:rsid w:val="00591314"/>
    <w:rsid w:val="00593727"/>
    <w:rsid w:val="00593D40"/>
    <w:rsid w:val="00595187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5F344E"/>
    <w:rsid w:val="005F6CCF"/>
    <w:rsid w:val="006039E2"/>
    <w:rsid w:val="00607734"/>
    <w:rsid w:val="0060779A"/>
    <w:rsid w:val="00610534"/>
    <w:rsid w:val="00622F13"/>
    <w:rsid w:val="00623396"/>
    <w:rsid w:val="00625503"/>
    <w:rsid w:val="0062662D"/>
    <w:rsid w:val="00632E78"/>
    <w:rsid w:val="006344F1"/>
    <w:rsid w:val="00637186"/>
    <w:rsid w:val="0064616F"/>
    <w:rsid w:val="00646DF4"/>
    <w:rsid w:val="00651DE6"/>
    <w:rsid w:val="006523BB"/>
    <w:rsid w:val="0065347E"/>
    <w:rsid w:val="00654B49"/>
    <w:rsid w:val="00662505"/>
    <w:rsid w:val="0066433C"/>
    <w:rsid w:val="0066674C"/>
    <w:rsid w:val="00674B14"/>
    <w:rsid w:val="006760F7"/>
    <w:rsid w:val="006861C7"/>
    <w:rsid w:val="00686DDF"/>
    <w:rsid w:val="00697B12"/>
    <w:rsid w:val="006A55BB"/>
    <w:rsid w:val="006A7613"/>
    <w:rsid w:val="006B0CC1"/>
    <w:rsid w:val="006B278E"/>
    <w:rsid w:val="006B661A"/>
    <w:rsid w:val="006B7CE7"/>
    <w:rsid w:val="006B7D00"/>
    <w:rsid w:val="006C6BC5"/>
    <w:rsid w:val="006D0C68"/>
    <w:rsid w:val="006D61A2"/>
    <w:rsid w:val="006E128B"/>
    <w:rsid w:val="006E1DB4"/>
    <w:rsid w:val="00712CE1"/>
    <w:rsid w:val="007167C5"/>
    <w:rsid w:val="0071744C"/>
    <w:rsid w:val="0075113D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7F19CC"/>
    <w:rsid w:val="0080525B"/>
    <w:rsid w:val="00805F53"/>
    <w:rsid w:val="008062C5"/>
    <w:rsid w:val="00806B50"/>
    <w:rsid w:val="0080741A"/>
    <w:rsid w:val="00812E79"/>
    <w:rsid w:val="00814B5B"/>
    <w:rsid w:val="008175E6"/>
    <w:rsid w:val="00821D8F"/>
    <w:rsid w:val="00836F34"/>
    <w:rsid w:val="00843E73"/>
    <w:rsid w:val="00844EBF"/>
    <w:rsid w:val="00852842"/>
    <w:rsid w:val="00853C20"/>
    <w:rsid w:val="00854F61"/>
    <w:rsid w:val="00864202"/>
    <w:rsid w:val="00870637"/>
    <w:rsid w:val="00873B59"/>
    <w:rsid w:val="00876DC1"/>
    <w:rsid w:val="0087701F"/>
    <w:rsid w:val="0089283D"/>
    <w:rsid w:val="008949D9"/>
    <w:rsid w:val="0089627C"/>
    <w:rsid w:val="008A0ADC"/>
    <w:rsid w:val="008A1BAB"/>
    <w:rsid w:val="008A255F"/>
    <w:rsid w:val="008A30E1"/>
    <w:rsid w:val="008B38B7"/>
    <w:rsid w:val="008B458E"/>
    <w:rsid w:val="008C4D4A"/>
    <w:rsid w:val="008C766E"/>
    <w:rsid w:val="008E0A0F"/>
    <w:rsid w:val="008E11AE"/>
    <w:rsid w:val="008E1708"/>
    <w:rsid w:val="008E4844"/>
    <w:rsid w:val="008F427C"/>
    <w:rsid w:val="00904492"/>
    <w:rsid w:val="00904DFB"/>
    <w:rsid w:val="00910774"/>
    <w:rsid w:val="00912D2B"/>
    <w:rsid w:val="0091457B"/>
    <w:rsid w:val="00923763"/>
    <w:rsid w:val="00924A4B"/>
    <w:rsid w:val="00930ED6"/>
    <w:rsid w:val="0093293F"/>
    <w:rsid w:val="00933105"/>
    <w:rsid w:val="00936C19"/>
    <w:rsid w:val="009410F5"/>
    <w:rsid w:val="00946BB5"/>
    <w:rsid w:val="009474EF"/>
    <w:rsid w:val="00951C24"/>
    <w:rsid w:val="00962626"/>
    <w:rsid w:val="00975A2C"/>
    <w:rsid w:val="009767DD"/>
    <w:rsid w:val="00977AF2"/>
    <w:rsid w:val="00981759"/>
    <w:rsid w:val="00985FC5"/>
    <w:rsid w:val="00993BDD"/>
    <w:rsid w:val="00993D05"/>
    <w:rsid w:val="009A6DFB"/>
    <w:rsid w:val="009B3036"/>
    <w:rsid w:val="009B6EC0"/>
    <w:rsid w:val="009C7FAF"/>
    <w:rsid w:val="009D4199"/>
    <w:rsid w:val="009E5E6A"/>
    <w:rsid w:val="009F01A2"/>
    <w:rsid w:val="009F0DD5"/>
    <w:rsid w:val="009F1B95"/>
    <w:rsid w:val="009F6C05"/>
    <w:rsid w:val="00A13CB6"/>
    <w:rsid w:val="00A14A1A"/>
    <w:rsid w:val="00A22CDD"/>
    <w:rsid w:val="00A253AB"/>
    <w:rsid w:val="00A25AEE"/>
    <w:rsid w:val="00A31EB1"/>
    <w:rsid w:val="00A33AEA"/>
    <w:rsid w:val="00A353F9"/>
    <w:rsid w:val="00A408EF"/>
    <w:rsid w:val="00A461CD"/>
    <w:rsid w:val="00A469C5"/>
    <w:rsid w:val="00A5317D"/>
    <w:rsid w:val="00A6284E"/>
    <w:rsid w:val="00A63E81"/>
    <w:rsid w:val="00A6692E"/>
    <w:rsid w:val="00A8094C"/>
    <w:rsid w:val="00A8172A"/>
    <w:rsid w:val="00A856AB"/>
    <w:rsid w:val="00A8775A"/>
    <w:rsid w:val="00A9184E"/>
    <w:rsid w:val="00A92D96"/>
    <w:rsid w:val="00AA5998"/>
    <w:rsid w:val="00AB07E7"/>
    <w:rsid w:val="00AD1BA8"/>
    <w:rsid w:val="00AD61A3"/>
    <w:rsid w:val="00AE4078"/>
    <w:rsid w:val="00AF7C89"/>
    <w:rsid w:val="00B02A29"/>
    <w:rsid w:val="00B03522"/>
    <w:rsid w:val="00B04AD6"/>
    <w:rsid w:val="00B14CAA"/>
    <w:rsid w:val="00B228F1"/>
    <w:rsid w:val="00B257CE"/>
    <w:rsid w:val="00B350AD"/>
    <w:rsid w:val="00B350CC"/>
    <w:rsid w:val="00B4746C"/>
    <w:rsid w:val="00B54527"/>
    <w:rsid w:val="00B6265E"/>
    <w:rsid w:val="00B65354"/>
    <w:rsid w:val="00B71A0E"/>
    <w:rsid w:val="00B76D61"/>
    <w:rsid w:val="00B81765"/>
    <w:rsid w:val="00B832F5"/>
    <w:rsid w:val="00B91A0A"/>
    <w:rsid w:val="00BA1895"/>
    <w:rsid w:val="00BA2FAB"/>
    <w:rsid w:val="00BB5E28"/>
    <w:rsid w:val="00BD15F3"/>
    <w:rsid w:val="00BD53EF"/>
    <w:rsid w:val="00BD7986"/>
    <w:rsid w:val="00BD79D3"/>
    <w:rsid w:val="00BF5884"/>
    <w:rsid w:val="00C04F82"/>
    <w:rsid w:val="00C15AC0"/>
    <w:rsid w:val="00C17277"/>
    <w:rsid w:val="00C23847"/>
    <w:rsid w:val="00C26030"/>
    <w:rsid w:val="00C40681"/>
    <w:rsid w:val="00C41091"/>
    <w:rsid w:val="00C4401B"/>
    <w:rsid w:val="00C51D58"/>
    <w:rsid w:val="00C63056"/>
    <w:rsid w:val="00C661D1"/>
    <w:rsid w:val="00C71D51"/>
    <w:rsid w:val="00C7553C"/>
    <w:rsid w:val="00C775BA"/>
    <w:rsid w:val="00C85331"/>
    <w:rsid w:val="00C85500"/>
    <w:rsid w:val="00C85A50"/>
    <w:rsid w:val="00C92DFE"/>
    <w:rsid w:val="00C94D46"/>
    <w:rsid w:val="00CA1A9A"/>
    <w:rsid w:val="00CA443A"/>
    <w:rsid w:val="00CB2461"/>
    <w:rsid w:val="00CB37FD"/>
    <w:rsid w:val="00CC4D65"/>
    <w:rsid w:val="00CC61E7"/>
    <w:rsid w:val="00CD25AD"/>
    <w:rsid w:val="00CD3FFC"/>
    <w:rsid w:val="00CE61BF"/>
    <w:rsid w:val="00CF011B"/>
    <w:rsid w:val="00CF0129"/>
    <w:rsid w:val="00CF565C"/>
    <w:rsid w:val="00D016A3"/>
    <w:rsid w:val="00D0314C"/>
    <w:rsid w:val="00D14E74"/>
    <w:rsid w:val="00D251AA"/>
    <w:rsid w:val="00D512E3"/>
    <w:rsid w:val="00D525F9"/>
    <w:rsid w:val="00D573C1"/>
    <w:rsid w:val="00D602C9"/>
    <w:rsid w:val="00D807DA"/>
    <w:rsid w:val="00DA26A9"/>
    <w:rsid w:val="00DA433D"/>
    <w:rsid w:val="00DB01FF"/>
    <w:rsid w:val="00DB5AA6"/>
    <w:rsid w:val="00DC261A"/>
    <w:rsid w:val="00DC7778"/>
    <w:rsid w:val="00DD366B"/>
    <w:rsid w:val="00DE7391"/>
    <w:rsid w:val="00DF2DB5"/>
    <w:rsid w:val="00DF6560"/>
    <w:rsid w:val="00E04CC0"/>
    <w:rsid w:val="00E136FF"/>
    <w:rsid w:val="00E32528"/>
    <w:rsid w:val="00E35F26"/>
    <w:rsid w:val="00E53165"/>
    <w:rsid w:val="00E557B1"/>
    <w:rsid w:val="00E61EF7"/>
    <w:rsid w:val="00E663B4"/>
    <w:rsid w:val="00E71759"/>
    <w:rsid w:val="00E73C19"/>
    <w:rsid w:val="00E80CEB"/>
    <w:rsid w:val="00E816ED"/>
    <w:rsid w:val="00EA5103"/>
    <w:rsid w:val="00EA6FB9"/>
    <w:rsid w:val="00EB2E28"/>
    <w:rsid w:val="00EB5E6A"/>
    <w:rsid w:val="00EC2AD7"/>
    <w:rsid w:val="00ED7DE0"/>
    <w:rsid w:val="00ED7F01"/>
    <w:rsid w:val="00EE171D"/>
    <w:rsid w:val="00EE7891"/>
    <w:rsid w:val="00EF49FE"/>
    <w:rsid w:val="00EF5341"/>
    <w:rsid w:val="00EF5E71"/>
    <w:rsid w:val="00F01D38"/>
    <w:rsid w:val="00F022C1"/>
    <w:rsid w:val="00F04908"/>
    <w:rsid w:val="00F07C21"/>
    <w:rsid w:val="00F12EF6"/>
    <w:rsid w:val="00F21065"/>
    <w:rsid w:val="00F225A5"/>
    <w:rsid w:val="00F24CB4"/>
    <w:rsid w:val="00F27847"/>
    <w:rsid w:val="00F31E44"/>
    <w:rsid w:val="00F355EF"/>
    <w:rsid w:val="00F43465"/>
    <w:rsid w:val="00F45475"/>
    <w:rsid w:val="00F64E72"/>
    <w:rsid w:val="00F65424"/>
    <w:rsid w:val="00F70C7D"/>
    <w:rsid w:val="00F72042"/>
    <w:rsid w:val="00F9272E"/>
    <w:rsid w:val="00F97743"/>
    <w:rsid w:val="00FA6DAF"/>
    <w:rsid w:val="00FB56E9"/>
    <w:rsid w:val="00FC6884"/>
    <w:rsid w:val="00FE566B"/>
    <w:rsid w:val="00FE62F3"/>
    <w:rsid w:val="00FF71D2"/>
    <w:rsid w:val="018B0399"/>
    <w:rsid w:val="01E113E7"/>
    <w:rsid w:val="02B81FC4"/>
    <w:rsid w:val="041C69A4"/>
    <w:rsid w:val="05C0366A"/>
    <w:rsid w:val="05C14C3D"/>
    <w:rsid w:val="06D870D9"/>
    <w:rsid w:val="086016FD"/>
    <w:rsid w:val="08962C16"/>
    <w:rsid w:val="09293304"/>
    <w:rsid w:val="0ACE430C"/>
    <w:rsid w:val="0CEE4F60"/>
    <w:rsid w:val="0D271798"/>
    <w:rsid w:val="0DB43078"/>
    <w:rsid w:val="0F70691A"/>
    <w:rsid w:val="12B85A3D"/>
    <w:rsid w:val="12E01046"/>
    <w:rsid w:val="1329460C"/>
    <w:rsid w:val="13877630"/>
    <w:rsid w:val="140C1569"/>
    <w:rsid w:val="149E0C82"/>
    <w:rsid w:val="16257519"/>
    <w:rsid w:val="17312619"/>
    <w:rsid w:val="189F1804"/>
    <w:rsid w:val="19040FC4"/>
    <w:rsid w:val="19196E74"/>
    <w:rsid w:val="1B2418A5"/>
    <w:rsid w:val="1B750E0A"/>
    <w:rsid w:val="1B7B0307"/>
    <w:rsid w:val="1D0640F7"/>
    <w:rsid w:val="1D457829"/>
    <w:rsid w:val="1DB63878"/>
    <w:rsid w:val="1F9000F9"/>
    <w:rsid w:val="1FBFC074"/>
    <w:rsid w:val="20243BCC"/>
    <w:rsid w:val="21283172"/>
    <w:rsid w:val="22581551"/>
    <w:rsid w:val="255F2A47"/>
    <w:rsid w:val="25652EDE"/>
    <w:rsid w:val="263436B2"/>
    <w:rsid w:val="270F3FF9"/>
    <w:rsid w:val="276F4634"/>
    <w:rsid w:val="2BF337EC"/>
    <w:rsid w:val="2C9038AA"/>
    <w:rsid w:val="2CCA3553"/>
    <w:rsid w:val="31014425"/>
    <w:rsid w:val="33645A78"/>
    <w:rsid w:val="33B14BC3"/>
    <w:rsid w:val="350607E9"/>
    <w:rsid w:val="350D601C"/>
    <w:rsid w:val="35902FA2"/>
    <w:rsid w:val="361E7DB5"/>
    <w:rsid w:val="36C720A4"/>
    <w:rsid w:val="36FB9E1F"/>
    <w:rsid w:val="372431A9"/>
    <w:rsid w:val="37335AE2"/>
    <w:rsid w:val="381946E1"/>
    <w:rsid w:val="387D6DEB"/>
    <w:rsid w:val="39B003B6"/>
    <w:rsid w:val="3A50345B"/>
    <w:rsid w:val="3AE27603"/>
    <w:rsid w:val="3B9D79CE"/>
    <w:rsid w:val="3BFA2109"/>
    <w:rsid w:val="3BFA3B96"/>
    <w:rsid w:val="3CEF3472"/>
    <w:rsid w:val="3E120292"/>
    <w:rsid w:val="3EFF16E9"/>
    <w:rsid w:val="3F3370D1"/>
    <w:rsid w:val="3F7942AE"/>
    <w:rsid w:val="40B11C34"/>
    <w:rsid w:val="40E57E4D"/>
    <w:rsid w:val="420E5181"/>
    <w:rsid w:val="434A043B"/>
    <w:rsid w:val="4705676D"/>
    <w:rsid w:val="47FA75D9"/>
    <w:rsid w:val="48594C7C"/>
    <w:rsid w:val="49BE0ADB"/>
    <w:rsid w:val="4A8232F8"/>
    <w:rsid w:val="4B7C7600"/>
    <w:rsid w:val="4E2A3343"/>
    <w:rsid w:val="4E2D2E33"/>
    <w:rsid w:val="4E8D38D2"/>
    <w:rsid w:val="519A07DF"/>
    <w:rsid w:val="540C5299"/>
    <w:rsid w:val="546649A9"/>
    <w:rsid w:val="567D5022"/>
    <w:rsid w:val="578829A2"/>
    <w:rsid w:val="588E4FF6"/>
    <w:rsid w:val="5A0C5FF2"/>
    <w:rsid w:val="5A654841"/>
    <w:rsid w:val="5ADF54B5"/>
    <w:rsid w:val="5B541094"/>
    <w:rsid w:val="5B7F07AB"/>
    <w:rsid w:val="5DA14CA4"/>
    <w:rsid w:val="5EE94B54"/>
    <w:rsid w:val="604E4353"/>
    <w:rsid w:val="61BC3E5A"/>
    <w:rsid w:val="620D46B6"/>
    <w:rsid w:val="63100A20"/>
    <w:rsid w:val="635C5315"/>
    <w:rsid w:val="644A563F"/>
    <w:rsid w:val="64AA4AE5"/>
    <w:rsid w:val="66124991"/>
    <w:rsid w:val="67F02A95"/>
    <w:rsid w:val="6910200B"/>
    <w:rsid w:val="6D1A237D"/>
    <w:rsid w:val="6E8757F0"/>
    <w:rsid w:val="6FF30BB6"/>
    <w:rsid w:val="71494FDF"/>
    <w:rsid w:val="715776FB"/>
    <w:rsid w:val="71954707"/>
    <w:rsid w:val="7206621D"/>
    <w:rsid w:val="73AF2A42"/>
    <w:rsid w:val="762E1BFC"/>
    <w:rsid w:val="76676633"/>
    <w:rsid w:val="77CF73AC"/>
    <w:rsid w:val="783A2AF8"/>
    <w:rsid w:val="78FF0116"/>
    <w:rsid w:val="7B915F00"/>
    <w:rsid w:val="7BA251DD"/>
    <w:rsid w:val="7D32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2C797"/>
  <w15:docId w15:val="{315B3FEC-CB23-40A8-A701-F8863CA9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next w:val="a9"/>
    <w:qFormat/>
    <w:pPr>
      <w:spacing w:line="440" w:lineRule="exact"/>
    </w:pPr>
    <w:rPr>
      <w:rFonts w:ascii="仿宋_GB2312"/>
      <w:sz w:val="24"/>
    </w:rPr>
  </w:style>
  <w:style w:type="paragraph" w:customStyle="1" w:styleId="a9">
    <w:name w:val="标准正文"/>
    <w:basedOn w:val="a"/>
    <w:qFormat/>
    <w:rPr>
      <w:rFonts w:hAnsi="黑体"/>
      <w:szCs w:val="32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styleId="aa">
    <w:name w:val="Strong"/>
    <w:basedOn w:val="a0"/>
    <w:qFormat/>
    <w:rPr>
      <w:b/>
    </w:rPr>
  </w:style>
  <w:style w:type="paragraph" w:customStyle="1" w:styleId="Style6">
    <w:name w:val="_Style 6"/>
    <w:basedOn w:val="a"/>
    <w:autoRedefine/>
    <w:uiPriority w:val="34"/>
    <w:qFormat/>
    <w:pPr>
      <w:spacing w:line="460" w:lineRule="exact"/>
      <w:ind w:firstLineChars="200" w:firstLine="480"/>
    </w:pPr>
    <w:rPr>
      <w:rFonts w:ascii="宋体" w:hAnsi="宋体"/>
      <w:sz w:val="24"/>
    </w:rPr>
  </w:style>
  <w:style w:type="paragraph" w:customStyle="1" w:styleId="CharCharChar">
    <w:name w:val="Char Char Char"/>
    <w:basedOn w:val="a"/>
    <w:autoRedefine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qFormat/>
  </w:style>
  <w:style w:type="paragraph" w:customStyle="1" w:styleId="CharCharChar1">
    <w:name w:val="Char Char Char1"/>
    <w:basedOn w:val="a"/>
    <w:autoRedefine/>
    <w:qFormat/>
  </w:style>
  <w:style w:type="character" w:customStyle="1" w:styleId="a6">
    <w:name w:val="页脚 字符"/>
    <w:basedOn w:val="a0"/>
    <w:link w:val="a5"/>
    <w:autoRedefine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paragraph" w:styleId="ab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autoRedefine/>
    <w:uiPriority w:val="99"/>
    <w:qFormat/>
    <w:rPr>
      <w:rFonts w:ascii="宋体" w:hAnsi="宋体"/>
      <w:sz w:val="24"/>
      <w:szCs w:val="24"/>
    </w:r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B2591-143A-4414-A0D5-F569163E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756</Words>
  <Characters>840</Characters>
  <Application>Microsoft Office Word</Application>
  <DocSecurity>0</DocSecurity>
  <Lines>64</Lines>
  <Paragraphs>37</Paragraphs>
  <ScaleCrop>false</ScaleCrop>
  <Company>微软中国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镇 张</cp:lastModifiedBy>
  <cp:revision>11</cp:revision>
  <cp:lastPrinted>2025-09-23T02:53:00Z</cp:lastPrinted>
  <dcterms:created xsi:type="dcterms:W3CDTF">2024-12-25T08:28:00Z</dcterms:created>
  <dcterms:modified xsi:type="dcterms:W3CDTF">2025-09-24T07:15:00Z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65DB2EBE63634B25BE97A03AA580073D_13</vt:lpwstr>
  </property>
  <property fmtid="{D5CDD505-2E9C-101B-9397-08002B2CF9AE}" pid="4" name="KSOTemplateDocerSaveRecord">
    <vt:lpwstr>eyJoZGlkIjoiYjdhMjkxOGFmN2JlZWJiMzE0YjBmYmI0MDdkNjBhNjIiLCJ1c2VySWQiOiIxNjc1NTU1Mjc4In0=</vt:lpwstr>
  </property>
</Properties>
</file>