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A462">
      <w:pPr>
        <w:spacing w:before="156" w:beforeLines="50" w:after="156" w:afterLines="50" w:line="360" w:lineRule="auto"/>
        <w:rPr>
          <w:rFonts w:ascii="Times New Roman" w:hAnsi="Times New Roman" w:cs="Times New Roman"/>
          <w:bCs/>
          <w:iCs/>
          <w:color w:val="000000"/>
          <w:sz w:val="24"/>
        </w:rPr>
      </w:pPr>
      <w:r>
        <w:rPr>
          <w:rFonts w:ascii="Times New Roman" w:hAnsi="Times New Roman" w:cs="Times New Roman"/>
          <w:bCs/>
          <w:iCs/>
          <w:color w:val="000000"/>
          <w:sz w:val="24"/>
        </w:rPr>
        <w:t>证券代码：603040                                  证券简称：新坐标</w:t>
      </w:r>
    </w:p>
    <w:p w14:paraId="598A5B05">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编号：202</w:t>
      </w:r>
      <w:r>
        <w:rPr>
          <w:rFonts w:hint="eastAsia" w:ascii="Times New Roman" w:hAnsi="Times New Roman" w:cs="Times New Roman"/>
          <w:bCs/>
          <w:iCs/>
          <w:color w:val="000000"/>
          <w:sz w:val="24"/>
        </w:rPr>
        <w:t>5</w:t>
      </w:r>
      <w:r>
        <w:rPr>
          <w:rFonts w:ascii="Times New Roman" w:hAnsi="Times New Roman" w:cs="Times New Roman"/>
          <w:bCs/>
          <w:iCs/>
          <w:color w:val="000000"/>
          <w:sz w:val="24"/>
        </w:rPr>
        <w:t>-008</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42"/>
      </w:tblGrid>
      <w:tr w14:paraId="3817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684FD12">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color="auto" w:sz="4" w:space="0"/>
              <w:left w:val="single" w:color="auto" w:sz="4" w:space="0"/>
              <w:bottom w:val="single" w:color="auto" w:sz="4" w:space="0"/>
              <w:right w:val="single" w:color="auto" w:sz="4" w:space="0"/>
            </w:tcBorders>
          </w:tcPr>
          <w:p w14:paraId="57C2A3D2">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 xml:space="preserve">特定对象调研       </w:t>
            </w:r>
            <w:r>
              <w:rPr>
                <w:rFonts w:ascii="Times New Roman" w:hAnsi="Times New Roman" w:cs="Times New Roman"/>
                <w:bCs/>
                <w:iCs/>
                <w:color w:val="000000"/>
                <w:sz w:val="24"/>
                <w:szCs w:val="24"/>
              </w:rPr>
              <w:t>□</w:t>
            </w:r>
            <w:r>
              <w:rPr>
                <w:rFonts w:ascii="Times New Roman" w:hAnsi="Times New Roman" w:cs="Times New Roman"/>
                <w:sz w:val="24"/>
                <w:szCs w:val="24"/>
              </w:rPr>
              <w:t>分析师会议</w:t>
            </w:r>
          </w:p>
          <w:p w14:paraId="2E7D5A11">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媒体采访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新闻发布会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现场参观</w:t>
            </w:r>
          </w:p>
          <w:p w14:paraId="044E74CC">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14:paraId="1D4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980" w:type="dxa"/>
            <w:tcBorders>
              <w:top w:val="single" w:color="auto" w:sz="4" w:space="0"/>
              <w:left w:val="single" w:color="auto" w:sz="4" w:space="0"/>
              <w:bottom w:val="single" w:color="auto" w:sz="4" w:space="0"/>
              <w:right w:val="single" w:color="auto" w:sz="4" w:space="0"/>
            </w:tcBorders>
            <w:vAlign w:val="center"/>
          </w:tcPr>
          <w:p w14:paraId="7A5EC02A">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color="auto" w:sz="4" w:space="0"/>
              <w:left w:val="single" w:color="auto" w:sz="4" w:space="0"/>
              <w:bottom w:val="single" w:color="auto" w:sz="4" w:space="0"/>
              <w:right w:val="single" w:color="auto" w:sz="4" w:space="0"/>
            </w:tcBorders>
            <w:vAlign w:val="center"/>
          </w:tcPr>
          <w:p w14:paraId="5844AB44">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民生证券、长江证券、东兴证券、国金证券、中泰证券、永赢基金、致合资产、源弈资产、和穹投资、俊腾投资。</w:t>
            </w:r>
          </w:p>
        </w:tc>
      </w:tr>
      <w:tr w14:paraId="526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80" w:type="dxa"/>
            <w:tcBorders>
              <w:top w:val="single" w:color="auto" w:sz="4" w:space="0"/>
              <w:left w:val="single" w:color="auto" w:sz="4" w:space="0"/>
              <w:bottom w:val="single" w:color="auto" w:sz="4" w:space="0"/>
              <w:right w:val="single" w:color="auto" w:sz="4" w:space="0"/>
            </w:tcBorders>
            <w:vAlign w:val="center"/>
          </w:tcPr>
          <w:p w14:paraId="72FB6270">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color="auto" w:sz="4" w:space="0"/>
              <w:left w:val="single" w:color="auto" w:sz="4" w:space="0"/>
              <w:bottom w:val="single" w:color="auto" w:sz="4" w:space="0"/>
              <w:right w:val="single" w:color="auto" w:sz="4" w:space="0"/>
            </w:tcBorders>
          </w:tcPr>
          <w:p w14:paraId="59A75BFB">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w:t>
            </w:r>
            <w:r>
              <w:rPr>
                <w:rFonts w:hint="eastAsia" w:ascii="Times New Roman" w:hAnsi="Times New Roman" w:cs="Times New Roman"/>
                <w:bCs/>
                <w:iCs/>
                <w:color w:val="000000"/>
                <w:sz w:val="24"/>
                <w:szCs w:val="24"/>
              </w:rPr>
              <w:t>5</w:t>
            </w:r>
            <w:r>
              <w:rPr>
                <w:rFonts w:ascii="Times New Roman" w:hAnsi="Times New Roman" w:cs="Times New Roman"/>
                <w:bCs/>
                <w:iCs/>
                <w:color w:val="000000"/>
                <w:sz w:val="24"/>
                <w:szCs w:val="24"/>
              </w:rPr>
              <w:t>年9</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24</w:t>
            </w:r>
            <w:r>
              <w:rPr>
                <w:rFonts w:hint="eastAsia" w:ascii="Times New Roman" w:hAnsi="Times New Roman" w:cs="Times New Roman"/>
                <w:bCs/>
                <w:iCs/>
                <w:color w:val="000000"/>
                <w:sz w:val="24"/>
                <w:szCs w:val="24"/>
              </w:rPr>
              <w:t>日</w:t>
            </w:r>
          </w:p>
        </w:tc>
      </w:tr>
      <w:tr w14:paraId="744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C3FF37E">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color="auto" w:sz="4" w:space="0"/>
              <w:left w:val="single" w:color="auto" w:sz="4" w:space="0"/>
              <w:bottom w:val="single" w:color="auto" w:sz="4" w:space="0"/>
              <w:right w:val="single" w:color="auto" w:sz="4" w:space="0"/>
            </w:tcBorders>
            <w:vAlign w:val="center"/>
          </w:tcPr>
          <w:p w14:paraId="58E3BFCD">
            <w:pPr>
              <w:spacing w:line="276" w:lineRule="auto"/>
              <w:jc w:val="left"/>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副总经理兼董事会秘书：郑晓玲</w:t>
            </w:r>
          </w:p>
          <w:p w14:paraId="437E5ADC">
            <w:pPr>
              <w:spacing w:line="276" w:lineRule="auto"/>
              <w:jc w:val="left"/>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证券事务代表:孟宇婷</w:t>
            </w:r>
          </w:p>
        </w:tc>
      </w:tr>
      <w:tr w14:paraId="0E4B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1EDAD895">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相关情况说明</w:t>
            </w:r>
          </w:p>
          <w:p w14:paraId="0C2CF06D">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风险提示</w:t>
            </w:r>
          </w:p>
        </w:tc>
        <w:tc>
          <w:tcPr>
            <w:tcW w:w="6542" w:type="dxa"/>
            <w:tcBorders>
              <w:top w:val="single" w:color="auto" w:sz="4" w:space="0"/>
              <w:left w:val="single" w:color="auto" w:sz="4" w:space="0"/>
              <w:bottom w:val="single" w:color="auto" w:sz="4" w:space="0"/>
              <w:right w:val="single" w:color="auto" w:sz="4" w:space="0"/>
            </w:tcBorders>
            <w:vAlign w:val="center"/>
          </w:tcPr>
          <w:p w14:paraId="21B216DD">
            <w:pPr>
              <w:spacing w:line="360" w:lineRule="auto"/>
              <w:ind w:firstLine="480" w:firstLineChars="200"/>
              <w:jc w:val="left"/>
              <w:rPr>
                <w:rFonts w:cs="Times New Roman" w:asciiTheme="minorEastAsia" w:hAnsiTheme="minorEastAsia"/>
                <w:bCs/>
                <w:iCs/>
                <w:color w:val="000000"/>
                <w:sz w:val="24"/>
                <w:szCs w:val="24"/>
              </w:rPr>
            </w:pPr>
            <w:r>
              <w:rPr>
                <w:rFonts w:hint="eastAsia" w:cs="Times New Roman" w:asciiTheme="minorEastAsia" w:hAnsiTheme="minorEastAsia"/>
                <w:bCs/>
                <w:iCs/>
                <w:color w:val="000000"/>
                <w:sz w:val="24"/>
                <w:szCs w:val="24"/>
              </w:rPr>
              <w:t>投资者关系活动不涉及应当披露而未披露的重大信息。</w:t>
            </w:r>
            <w:r>
              <w:rPr>
                <w:rFonts w:hint="eastAsia" w:cs="Times New Roman" w:asciiTheme="minorEastAsia" w:hAnsiTheme="minorEastAsia"/>
                <w:sz w:val="24"/>
                <w:szCs w:val="24"/>
              </w:rPr>
              <w:t>投资者关系活动涉及公司未来发展展望、预计及目标等均不构成本公司的实质承诺，投资者及相关人士等均应对此保持足够的风险认识。</w:t>
            </w:r>
          </w:p>
          <w:p w14:paraId="149DA0F3">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公司于202</w:t>
            </w:r>
            <w:r>
              <w:rPr>
                <w:rFonts w:cs="Times New Roman" w:asciiTheme="minorEastAsia" w:hAnsiTheme="minorEastAsia"/>
                <w:sz w:val="24"/>
                <w:szCs w:val="24"/>
              </w:rPr>
              <w:t>5</w:t>
            </w:r>
            <w:r>
              <w:rPr>
                <w:rFonts w:hint="eastAsia" w:cs="Times New Roman" w:asciiTheme="minorEastAsia" w:hAnsiTheme="minorEastAsia"/>
                <w:sz w:val="24"/>
                <w:szCs w:val="24"/>
              </w:rPr>
              <w:t>年</w:t>
            </w:r>
            <w:r>
              <w:rPr>
                <w:rFonts w:cs="Times New Roman" w:asciiTheme="minorEastAsia" w:hAnsiTheme="minorEastAsia"/>
                <w:sz w:val="24"/>
                <w:szCs w:val="24"/>
              </w:rPr>
              <w:t>4</w:t>
            </w:r>
            <w:r>
              <w:rPr>
                <w:rFonts w:hint="eastAsia" w:cs="Times New Roman" w:asciiTheme="minorEastAsia" w:hAnsiTheme="minorEastAsia"/>
                <w:sz w:val="24"/>
                <w:szCs w:val="24"/>
              </w:rPr>
              <w:t>月公告设立控股子公司研发、生产和销售滚柱丝杠、滚珠丝杠等精密传动零部件，拓展公司技术在不同行业的运用，从而提升公司的综合竞争力。新行业、新产品的成长通常会经历相对较长的发展周期，尚面临较大的不确定性，存在较大的投资风险。</w:t>
            </w:r>
          </w:p>
          <w:p w14:paraId="33102AEA">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特此提醒广大投资者注意投资风险</w:t>
            </w:r>
          </w:p>
        </w:tc>
      </w:tr>
      <w:tr w14:paraId="55E3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80" w:type="dxa"/>
            <w:tcBorders>
              <w:top w:val="single" w:color="auto" w:sz="4" w:space="0"/>
              <w:left w:val="single" w:color="auto" w:sz="4" w:space="0"/>
              <w:bottom w:val="single" w:color="auto" w:sz="4" w:space="0"/>
              <w:right w:val="single" w:color="auto" w:sz="4" w:space="0"/>
            </w:tcBorders>
            <w:vAlign w:val="center"/>
          </w:tcPr>
          <w:p w14:paraId="4C71A741">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pPr>
              <w:spacing w:line="360" w:lineRule="auto"/>
              <w:rPr>
                <w:rFonts w:ascii="Times New Roman" w:hAnsi="Times New Roman" w:cs="Times New Roman"/>
                <w:bCs/>
                <w:iCs/>
                <w:color w:val="000000"/>
                <w:sz w:val="24"/>
                <w:szCs w:val="24"/>
              </w:rPr>
            </w:pPr>
          </w:p>
        </w:tc>
        <w:tc>
          <w:tcPr>
            <w:tcW w:w="6542" w:type="dxa"/>
            <w:tcBorders>
              <w:top w:val="single" w:color="auto" w:sz="4" w:space="0"/>
              <w:left w:val="single" w:color="auto" w:sz="4" w:space="0"/>
              <w:bottom w:val="single" w:color="auto" w:sz="4" w:space="0"/>
              <w:right w:val="single" w:color="auto" w:sz="4" w:space="0"/>
            </w:tcBorders>
          </w:tcPr>
          <w:p w14:paraId="4395A4BD">
            <w:pPr>
              <w:numPr>
                <w:ilvl w:val="255"/>
                <w:numId w:val="0"/>
              </w:numPr>
              <w:spacing w:line="360" w:lineRule="auto"/>
              <w:rPr>
                <w:rFonts w:ascii="Times New Roman" w:hAnsi="Times New Roman" w:eastAsia="宋体" w:cs="Times New Roman"/>
                <w:sz w:val="24"/>
                <w:szCs w:val="24"/>
              </w:rPr>
            </w:pPr>
          </w:p>
          <w:p w14:paraId="0D74EA12">
            <w:pPr>
              <w:numPr>
                <w:ilvl w:val="255"/>
                <w:numId w:val="0"/>
              </w:numPr>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先做公司介绍，后进行问答环节。</w:t>
            </w:r>
          </w:p>
          <w:p w14:paraId="4F4604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以高质量发展为首要任务，着力于高科技、高效能、高质量特征的生产力，积极促进业务高端化、智能化、绿色化。公司坚持从实际出发，根据现有的资源禀赋和创新基础等条件，积极应对市场变化，保持业绩稳定增长。2025年上半年，公司实现营业收入39,002.54万元，较上年同期增长18.85%，实现归属于上市公司股东的净利润14,184.47万元，同比增长27.42%。</w:t>
            </w:r>
          </w:p>
          <w:p w14:paraId="717A6DC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公司与浙江陀曼智能科技股份有限公司、孙立松先生共同出资设立控股子公司杭州玖月捌传动科技有限公司，实现多方的战略合作及优势互补。陀曼智能专注于高端数控机床、自动生产线和智能制造软件的研发、生产和销售，主要面向齿轮、丝杠及轴承制造领域客户提供智能制造解决方案；孙立松先生在相关行业领域有较为丰富的经验。目前已完成了滚珠丝杠、大承载反向式行星滚柱丝杆和微型循环式行星滚柱丝杠的全流程开发，包括产品设计，工艺过程开发，内部试验验证等，接下去将根据客户的需求，针对性设计开发送样。</w:t>
            </w:r>
          </w:p>
          <w:p w14:paraId="0D67B9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szCs w:val="24"/>
              </w:rPr>
              <w:t>截至2025年8月28日，玖月捌传动实缴注册资本3</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000.00万元，其中公司实缴投资额2,310.00万元，其他股东也均以持股比例相应认缴。后续会根据项目的实际进展逐步实缴注册资本。截至2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年9月2</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日，丝杠类领域的核心专利共申报1</w:t>
            </w:r>
            <w:r>
              <w:rPr>
                <w:rFonts w:ascii="Times New Roman" w:hAnsi="Times New Roman" w:eastAsia="宋体" w:cs="Times New Roman"/>
                <w:sz w:val="24"/>
                <w:szCs w:val="24"/>
              </w:rPr>
              <w:t>5</w:t>
            </w:r>
            <w:r>
              <w:rPr>
                <w:rFonts w:hint="eastAsia" w:ascii="Times New Roman" w:hAnsi="Times New Roman" w:eastAsia="宋体" w:cs="Times New Roman"/>
                <w:sz w:val="24"/>
                <w:szCs w:val="24"/>
              </w:rPr>
              <w:t>项，其中发明专利8项，实用新型</w:t>
            </w:r>
            <w:r>
              <w:rPr>
                <w:rFonts w:ascii="Times New Roman" w:hAnsi="Times New Roman" w:eastAsia="宋体" w:cs="Times New Roman"/>
                <w:sz w:val="24"/>
                <w:szCs w:val="24"/>
              </w:rPr>
              <w:t>7</w:t>
            </w:r>
            <w:r>
              <w:rPr>
                <w:rFonts w:hint="eastAsia" w:ascii="Times New Roman" w:hAnsi="Times New Roman" w:eastAsia="宋体" w:cs="Times New Roman"/>
                <w:sz w:val="24"/>
                <w:szCs w:val="24"/>
              </w:rPr>
              <w:t>项。</w:t>
            </w:r>
          </w:p>
          <w:p w14:paraId="7EC78D38">
            <w:pPr>
              <w:spacing w:line="360" w:lineRule="auto"/>
              <w:ind w:firstLine="480" w:firstLineChars="200"/>
              <w:rPr>
                <w:rFonts w:ascii="Times New Roman" w:hAnsi="Times New Roman" w:eastAsia="宋体" w:cs="Times New Roman"/>
                <w:bCs/>
                <w:sz w:val="24"/>
                <w:szCs w:val="24"/>
              </w:rPr>
            </w:pPr>
          </w:p>
          <w:p w14:paraId="5E39C247">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公司为什么要切入丝杠产品？</w:t>
            </w:r>
          </w:p>
          <w:p w14:paraId="7667817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答：公司一直根深于金属</w:t>
            </w:r>
            <w:r>
              <w:rPr>
                <w:rFonts w:ascii="Times New Roman" w:hAnsi="Times New Roman" w:eastAsia="宋体" w:cs="Times New Roman"/>
                <w:bCs/>
                <w:sz w:val="24"/>
                <w:szCs w:val="24"/>
              </w:rPr>
              <w:t>塑性加工</w:t>
            </w:r>
            <w:r>
              <w:rPr>
                <w:rFonts w:hint="eastAsia" w:ascii="Times New Roman" w:hAnsi="Times New Roman" w:eastAsia="宋体" w:cs="Times New Roman"/>
                <w:bCs/>
                <w:sz w:val="24"/>
                <w:szCs w:val="24"/>
              </w:rPr>
              <w:t>中的冷精密成形板块，</w:t>
            </w:r>
            <w:r>
              <w:rPr>
                <w:rFonts w:ascii="Times New Roman" w:hAnsi="Times New Roman" w:eastAsia="宋体" w:cs="Times New Roman"/>
                <w:bCs/>
                <w:sz w:val="24"/>
                <w:szCs w:val="24"/>
              </w:rPr>
              <w:t>包含冷锻、冷冲、冷轧、冷拉、滚压和滚轧等多种加工工艺。</w:t>
            </w:r>
            <w:r>
              <w:rPr>
                <w:rFonts w:hint="eastAsia" w:ascii="Times New Roman" w:hAnsi="Times New Roman" w:eastAsia="宋体" w:cs="Times New Roman"/>
                <w:bCs/>
                <w:sz w:val="24"/>
                <w:szCs w:val="24"/>
              </w:rPr>
              <w:t>冷精密成形是金属零件制造的重要方法，成形精度、综合机械性能与材料利用率高，部分甚至完全省却了切削加工。</w:t>
            </w:r>
          </w:p>
          <w:p w14:paraId="1F13D77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不断拓展冷成形技术的运用领域：丝杠精密零部件目前应用广泛，可实现电机的旋转运动变为直线运动。公司以精密制造为核心竞争力，同时整合行业优质资源，持续优化产品性能和生产工艺，为客户提供高精度、高可靠性、高荷载、小（微）型化的传动解决方案。</w:t>
            </w:r>
          </w:p>
          <w:p w14:paraId="6A0D7655">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公司开发丝杠产品的核心竞争力是什么？</w:t>
            </w:r>
          </w:p>
          <w:p w14:paraId="2A94D1F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答：公司是覆盖材料、产品、模具、设备的全产业技术研发。丝杠产品的工艺主要系材料二次加工、冷成形工艺、热处理工艺、自动化装配，均为自研，无需外协。</w:t>
            </w:r>
          </w:p>
          <w:p w14:paraId="5CA85872">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请介绍一下公司内螺纹滚压机？</w:t>
            </w:r>
          </w:p>
          <w:p w14:paraId="6217DD9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答：公司自研的滚柱丝杠螺母螺纹内滚压机具备牙型更优、包缝更浅、精度更高、效率更快、加工范围更广的优势。</w:t>
            </w:r>
          </w:p>
          <w:p w14:paraId="71FBF378">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公司行星滚柱丝杠产品的产能规划？</w:t>
            </w:r>
          </w:p>
          <w:p w14:paraId="16EDFEC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答：为确保市场供应并匹配公司战略发展节奏，公司计划在2</w:t>
            </w:r>
            <w:r>
              <w:rPr>
                <w:rFonts w:ascii="Times New Roman" w:hAnsi="Times New Roman" w:eastAsia="宋体" w:cs="Times New Roman"/>
                <w:bCs/>
                <w:sz w:val="24"/>
                <w:szCs w:val="24"/>
              </w:rPr>
              <w:t>025</w:t>
            </w:r>
            <w:r>
              <w:rPr>
                <w:rFonts w:hint="eastAsia" w:ascii="Times New Roman" w:hAnsi="Times New Roman" w:eastAsia="宋体" w:cs="Times New Roman"/>
                <w:bCs/>
                <w:sz w:val="24"/>
                <w:szCs w:val="24"/>
              </w:rPr>
              <w:t>年1</w:t>
            </w:r>
            <w:r>
              <w:rPr>
                <w:rFonts w:ascii="Times New Roman" w:hAnsi="Times New Roman" w:eastAsia="宋体" w:cs="Times New Roman"/>
                <w:bCs/>
                <w:sz w:val="24"/>
                <w:szCs w:val="24"/>
              </w:rPr>
              <w:t>0</w:t>
            </w:r>
            <w:r>
              <w:rPr>
                <w:rFonts w:hint="eastAsia" w:ascii="Times New Roman" w:hAnsi="Times New Roman" w:eastAsia="宋体" w:cs="Times New Roman"/>
                <w:bCs/>
                <w:sz w:val="24"/>
                <w:szCs w:val="24"/>
              </w:rPr>
              <w:t>月底建成月产</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万套行星滚柱丝杠的产线。后续公司会优化产线，提高效率，根据市场需求爬坡投产，预计2</w:t>
            </w:r>
            <w:r>
              <w:rPr>
                <w:rFonts w:ascii="Times New Roman" w:hAnsi="Times New Roman" w:eastAsia="宋体" w:cs="Times New Roman"/>
                <w:bCs/>
                <w:sz w:val="24"/>
                <w:szCs w:val="24"/>
              </w:rPr>
              <w:t>0</w:t>
            </w: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年3月底可达月产3万台套，2</w:t>
            </w:r>
            <w:r>
              <w:rPr>
                <w:rFonts w:ascii="Times New Roman" w:hAnsi="Times New Roman" w:eastAsia="宋体" w:cs="Times New Roman"/>
                <w:bCs/>
                <w:sz w:val="24"/>
                <w:szCs w:val="24"/>
              </w:rPr>
              <w:t>0</w:t>
            </w: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6</w:t>
            </w:r>
            <w:r>
              <w:rPr>
                <w:rFonts w:hint="eastAsia" w:ascii="Times New Roman" w:hAnsi="Times New Roman" w:eastAsia="宋体" w:cs="Times New Roman"/>
                <w:bCs/>
                <w:sz w:val="24"/>
                <w:szCs w:val="24"/>
              </w:rPr>
              <w:t>年1</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月底达月产</w:t>
            </w:r>
            <w:r>
              <w:rPr>
                <w:rFonts w:ascii="Times New Roman" w:hAnsi="Times New Roman" w:eastAsia="宋体" w:cs="Times New Roman"/>
                <w:bCs/>
                <w:sz w:val="24"/>
                <w:szCs w:val="24"/>
              </w:rPr>
              <w:t>4</w:t>
            </w:r>
            <w:r>
              <w:rPr>
                <w:rFonts w:hint="eastAsia" w:ascii="Times New Roman" w:hAnsi="Times New Roman" w:eastAsia="宋体" w:cs="Times New Roman"/>
                <w:bCs/>
                <w:sz w:val="24"/>
                <w:szCs w:val="24"/>
              </w:rPr>
              <w:t>万台套，根据客户需求扩产能周期为3个月。产能规划也将根据市场需求及实际运营情况有所调整。</w:t>
            </w:r>
          </w:p>
          <w:p w14:paraId="2CCB3103">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公司是否考虑做集成商？</w:t>
            </w:r>
          </w:p>
          <w:p w14:paraId="5FC22A9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答：公司目前专注于做精密丝杠的优质供应商，不做集成。</w:t>
            </w:r>
          </w:p>
          <w:p w14:paraId="48F7DBE4">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公司上半年毛利率提升的原因？</w:t>
            </w:r>
          </w:p>
          <w:p w14:paraId="59FF39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单季度的毛利率会因为市场结构、产品结构、客户结构等多种因素的不同有所波动。整体上，公司不断强化精益管理，深化内部挖潜，持续优化成本结构。通过多种举措全面提升管理水平：持续优化内部管控体系，建立健全现代化企业管理制度；完善责任追溯与绩效考核机制，强化执行落实；深入推进精益生产管理，提升现场管理水平；加速数字化转型，运用信息化手段提升全球化生产布局的管理效能。</w:t>
            </w:r>
          </w:p>
          <w:p w14:paraId="28AF8E72">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公司如何规划现有业务在不同动力类型汽车市场中的发展方向，以保持业务的稳定性和增长性？</w:t>
            </w:r>
          </w:p>
          <w:p w14:paraId="71F8777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公司主营业务为精密零部件的研发、生产和销售。气门组精密零部件、气门传动组精密零部件适配燃油车、混合动力车、柴油车、摩托车等。公司已构建全球化的制造、销售服务体系，商用车、乘用车海外市场同步发力，更为未来的业绩增长打下坚实的基础。 公司也不断拓展冷成形技术在汽车精密电磁阀、电驱动传动系统、动力电池系统壳体、滚珠丝杠、行星滚柱丝杠等精密冷成形件的多领域延伸运用。积极拓展精密零件在各类动力类型汽车中的运用。</w:t>
            </w:r>
          </w:p>
          <w:p w14:paraId="1EBA3B50">
            <w:pPr>
              <w:numPr>
                <w:ilvl w:val="0"/>
                <w:numId w:val="1"/>
              </w:num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湖州新坐标的进展？</w:t>
            </w:r>
          </w:p>
          <w:p w14:paraId="26E8533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公司成功开发了无酸洗除锈、环保无渣磷化等专利技术，自主开发集成的生产线；创新研制的液体喷砂机，开创了线材表面无酸洗除磷新工艺。新坐标新技术，突破了冷镦线材的精制质量不稳定，易受环保措施影响而停产或限产等行业痛点。公司另辟蹊径，专利技术不锈钢线材表面磷化工艺，适用于奥氏体、马氏体、铁素体等不锈钢线材。公司用磷化代替不锈钢草酸处理和镀铜，用冷锻代替温锻，让作业环境得到改善，减少环境污染，让更复杂的不锈钢零件冷锻成为可能。为公司拓展精密零件的多领域运用奠定了坚实的材料技术基础。</w:t>
            </w:r>
          </w:p>
          <w:p w14:paraId="773D4BA0">
            <w:pPr>
              <w:spacing w:line="360" w:lineRule="auto"/>
              <w:ind w:firstLine="480" w:firstLineChars="200"/>
            </w:pPr>
            <w:r>
              <w:rPr>
                <w:rFonts w:hint="eastAsia" w:ascii="Times New Roman" w:hAnsi="Times New Roman" w:eastAsia="宋体" w:cs="Times New Roman"/>
                <w:sz w:val="24"/>
                <w:szCs w:val="24"/>
              </w:rPr>
              <w:t>公司已取得汽车热管理系统阀座、阀芯柱等多个不锈钢精密冷锻件新项目定点。通过公司的设计优化与工艺改进，推动了新产品实现安全可靠、轻量化及成本优势，我们相信冷镦线材以及公司开发的精密零部件未来在国内市场能得到更广泛的运用。</w:t>
            </w:r>
          </w:p>
        </w:tc>
      </w:tr>
      <w:tr w14:paraId="6C5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tcBorders>
              <w:top w:val="single" w:color="auto" w:sz="4" w:space="0"/>
              <w:left w:val="single" w:color="auto" w:sz="4" w:space="0"/>
              <w:bottom w:val="single" w:color="auto" w:sz="4" w:space="0"/>
              <w:right w:val="single" w:color="auto" w:sz="4" w:space="0"/>
            </w:tcBorders>
            <w:vAlign w:val="center"/>
          </w:tcPr>
          <w:p w14:paraId="29DCE54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附件清单（如有） </w:t>
            </w:r>
          </w:p>
        </w:tc>
        <w:tc>
          <w:tcPr>
            <w:tcW w:w="6542" w:type="dxa"/>
            <w:tcBorders>
              <w:top w:val="single" w:color="auto" w:sz="4" w:space="0"/>
              <w:left w:val="single" w:color="auto" w:sz="4" w:space="0"/>
              <w:bottom w:val="single" w:color="auto" w:sz="4" w:space="0"/>
              <w:right w:val="single" w:color="auto" w:sz="4" w:space="0"/>
            </w:tcBorders>
            <w:vAlign w:val="center"/>
          </w:tcPr>
          <w:p w14:paraId="72A60A5B">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无</w:t>
            </w:r>
          </w:p>
        </w:tc>
      </w:tr>
    </w:tbl>
    <w:p w14:paraId="376054F6">
      <w:pPr>
        <w:widowControl/>
        <w:jc w:val="left"/>
        <w:rPr>
          <w:rFonts w:ascii="Times New Roman" w:hAnsi="Times New Roman" w:cs="Times New Roman"/>
        </w:rPr>
      </w:pPr>
    </w:p>
    <w:p w14:paraId="782765D4">
      <w:pPr>
        <w:widowControl/>
        <w:jc w:val="left"/>
        <w:rPr>
          <w:rFonts w:ascii="Times New Roman" w:hAnsi="Times New Roman" w:cs="Times New Roman"/>
        </w:rPr>
      </w:pPr>
      <w:bookmarkStart w:id="0" w:name="_GoBack"/>
      <w:bookmarkEnd w:id="0"/>
    </w:p>
    <w:p w14:paraId="10753DF5">
      <w:pPr>
        <w:widowControl/>
        <w:jc w:val="left"/>
        <w:rPr>
          <w:rFonts w:ascii="Times New Roman" w:hAnsi="Times New Roman" w:cs="Times New Roman"/>
          <w:bCs/>
          <w:iCs/>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88AD9"/>
    <w:multiLevelType w:val="singleLevel"/>
    <w:tmpl w:val="82688AD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7F07"/>
    <w:rsid w:val="0001143F"/>
    <w:rsid w:val="000153DF"/>
    <w:rsid w:val="00021483"/>
    <w:rsid w:val="000217E0"/>
    <w:rsid w:val="00021FC6"/>
    <w:rsid w:val="00023999"/>
    <w:rsid w:val="000258AD"/>
    <w:rsid w:val="000263FE"/>
    <w:rsid w:val="00027CFC"/>
    <w:rsid w:val="000307A6"/>
    <w:rsid w:val="00030864"/>
    <w:rsid w:val="00031634"/>
    <w:rsid w:val="000319BB"/>
    <w:rsid w:val="00033148"/>
    <w:rsid w:val="00033AD9"/>
    <w:rsid w:val="00034283"/>
    <w:rsid w:val="00035545"/>
    <w:rsid w:val="00035D2C"/>
    <w:rsid w:val="00035EBA"/>
    <w:rsid w:val="00036A0E"/>
    <w:rsid w:val="00040D27"/>
    <w:rsid w:val="00041D46"/>
    <w:rsid w:val="00047F4C"/>
    <w:rsid w:val="00047FAE"/>
    <w:rsid w:val="0005056C"/>
    <w:rsid w:val="00050B77"/>
    <w:rsid w:val="00051D8D"/>
    <w:rsid w:val="00054467"/>
    <w:rsid w:val="0006150A"/>
    <w:rsid w:val="00061CBD"/>
    <w:rsid w:val="00062355"/>
    <w:rsid w:val="00062481"/>
    <w:rsid w:val="00063391"/>
    <w:rsid w:val="000635F3"/>
    <w:rsid w:val="000654C0"/>
    <w:rsid w:val="0006573D"/>
    <w:rsid w:val="00070F41"/>
    <w:rsid w:val="0007152B"/>
    <w:rsid w:val="00071942"/>
    <w:rsid w:val="00072516"/>
    <w:rsid w:val="00072CED"/>
    <w:rsid w:val="0007481B"/>
    <w:rsid w:val="00074893"/>
    <w:rsid w:val="00077353"/>
    <w:rsid w:val="000777C9"/>
    <w:rsid w:val="00080D79"/>
    <w:rsid w:val="00081366"/>
    <w:rsid w:val="000813CF"/>
    <w:rsid w:val="00082BC9"/>
    <w:rsid w:val="000834D4"/>
    <w:rsid w:val="00083A5C"/>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34A4"/>
    <w:rsid w:val="000F3B0C"/>
    <w:rsid w:val="000F4D5F"/>
    <w:rsid w:val="000F57C0"/>
    <w:rsid w:val="001019E6"/>
    <w:rsid w:val="001021EF"/>
    <w:rsid w:val="00102773"/>
    <w:rsid w:val="00103AE9"/>
    <w:rsid w:val="001057DB"/>
    <w:rsid w:val="0010694D"/>
    <w:rsid w:val="00110928"/>
    <w:rsid w:val="00111610"/>
    <w:rsid w:val="00111952"/>
    <w:rsid w:val="00113F42"/>
    <w:rsid w:val="00115673"/>
    <w:rsid w:val="00117017"/>
    <w:rsid w:val="001207D9"/>
    <w:rsid w:val="00121777"/>
    <w:rsid w:val="001232B6"/>
    <w:rsid w:val="00124BFC"/>
    <w:rsid w:val="00124C9C"/>
    <w:rsid w:val="00126A21"/>
    <w:rsid w:val="00126B9C"/>
    <w:rsid w:val="00126DD5"/>
    <w:rsid w:val="00130888"/>
    <w:rsid w:val="00132476"/>
    <w:rsid w:val="00133B96"/>
    <w:rsid w:val="00137EDC"/>
    <w:rsid w:val="0014042D"/>
    <w:rsid w:val="00141004"/>
    <w:rsid w:val="00141FDD"/>
    <w:rsid w:val="00142E1C"/>
    <w:rsid w:val="0014338D"/>
    <w:rsid w:val="00143A25"/>
    <w:rsid w:val="001449D0"/>
    <w:rsid w:val="00146E38"/>
    <w:rsid w:val="001502D9"/>
    <w:rsid w:val="001507B9"/>
    <w:rsid w:val="00150BB1"/>
    <w:rsid w:val="00152AF8"/>
    <w:rsid w:val="00153D01"/>
    <w:rsid w:val="001543AB"/>
    <w:rsid w:val="0015481C"/>
    <w:rsid w:val="00156687"/>
    <w:rsid w:val="0016141B"/>
    <w:rsid w:val="00161CEC"/>
    <w:rsid w:val="00162510"/>
    <w:rsid w:val="0016659B"/>
    <w:rsid w:val="001673A2"/>
    <w:rsid w:val="001677C3"/>
    <w:rsid w:val="001705A2"/>
    <w:rsid w:val="00171A69"/>
    <w:rsid w:val="0017303C"/>
    <w:rsid w:val="001736A0"/>
    <w:rsid w:val="00174704"/>
    <w:rsid w:val="00174F0F"/>
    <w:rsid w:val="00175F5B"/>
    <w:rsid w:val="00180975"/>
    <w:rsid w:val="001818CA"/>
    <w:rsid w:val="001819C9"/>
    <w:rsid w:val="00183E49"/>
    <w:rsid w:val="00184BCF"/>
    <w:rsid w:val="00184BFE"/>
    <w:rsid w:val="00186D97"/>
    <w:rsid w:val="00187147"/>
    <w:rsid w:val="00187D11"/>
    <w:rsid w:val="00190913"/>
    <w:rsid w:val="001916F9"/>
    <w:rsid w:val="00192259"/>
    <w:rsid w:val="00192EE1"/>
    <w:rsid w:val="001940DF"/>
    <w:rsid w:val="001A15A8"/>
    <w:rsid w:val="001A4E14"/>
    <w:rsid w:val="001A5050"/>
    <w:rsid w:val="001A5385"/>
    <w:rsid w:val="001A5AE4"/>
    <w:rsid w:val="001B142E"/>
    <w:rsid w:val="001B1472"/>
    <w:rsid w:val="001B1803"/>
    <w:rsid w:val="001B2253"/>
    <w:rsid w:val="001B2262"/>
    <w:rsid w:val="001B27F1"/>
    <w:rsid w:val="001B4B7D"/>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7F03"/>
    <w:rsid w:val="001E0A38"/>
    <w:rsid w:val="001E173D"/>
    <w:rsid w:val="001E1850"/>
    <w:rsid w:val="001E1B9B"/>
    <w:rsid w:val="001E2AA7"/>
    <w:rsid w:val="001E3D33"/>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57F5"/>
    <w:rsid w:val="002563B5"/>
    <w:rsid w:val="0026003E"/>
    <w:rsid w:val="002613ED"/>
    <w:rsid w:val="0026219F"/>
    <w:rsid w:val="002622CD"/>
    <w:rsid w:val="00262A5C"/>
    <w:rsid w:val="002639BD"/>
    <w:rsid w:val="00263CB9"/>
    <w:rsid w:val="00265760"/>
    <w:rsid w:val="0026763C"/>
    <w:rsid w:val="00270394"/>
    <w:rsid w:val="002706A8"/>
    <w:rsid w:val="002709F1"/>
    <w:rsid w:val="00271EA3"/>
    <w:rsid w:val="00273089"/>
    <w:rsid w:val="0027403A"/>
    <w:rsid w:val="00274852"/>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1BD8"/>
    <w:rsid w:val="002B534D"/>
    <w:rsid w:val="002B56E5"/>
    <w:rsid w:val="002B6D3C"/>
    <w:rsid w:val="002B75A9"/>
    <w:rsid w:val="002B7C92"/>
    <w:rsid w:val="002C08C9"/>
    <w:rsid w:val="002C42A9"/>
    <w:rsid w:val="002C6DBE"/>
    <w:rsid w:val="002D128A"/>
    <w:rsid w:val="002D252E"/>
    <w:rsid w:val="002D2747"/>
    <w:rsid w:val="002D2921"/>
    <w:rsid w:val="002D6C7D"/>
    <w:rsid w:val="002E229F"/>
    <w:rsid w:val="002E5EA3"/>
    <w:rsid w:val="002E7524"/>
    <w:rsid w:val="002F1384"/>
    <w:rsid w:val="002F2C0D"/>
    <w:rsid w:val="002F34AC"/>
    <w:rsid w:val="002F370C"/>
    <w:rsid w:val="002F3AC3"/>
    <w:rsid w:val="002F44C6"/>
    <w:rsid w:val="002F64A1"/>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A34"/>
    <w:rsid w:val="003246F5"/>
    <w:rsid w:val="00324789"/>
    <w:rsid w:val="0032576D"/>
    <w:rsid w:val="00331A5C"/>
    <w:rsid w:val="003321FC"/>
    <w:rsid w:val="003344A6"/>
    <w:rsid w:val="003357AF"/>
    <w:rsid w:val="00335A0F"/>
    <w:rsid w:val="0033773F"/>
    <w:rsid w:val="00341052"/>
    <w:rsid w:val="0034132B"/>
    <w:rsid w:val="00342DC7"/>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91860"/>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913"/>
    <w:rsid w:val="003C573C"/>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65E7"/>
    <w:rsid w:val="004217D8"/>
    <w:rsid w:val="00421DC8"/>
    <w:rsid w:val="004225C3"/>
    <w:rsid w:val="00423E6B"/>
    <w:rsid w:val="00424A53"/>
    <w:rsid w:val="004263AF"/>
    <w:rsid w:val="0042724F"/>
    <w:rsid w:val="00427D58"/>
    <w:rsid w:val="00430931"/>
    <w:rsid w:val="004311D8"/>
    <w:rsid w:val="00431729"/>
    <w:rsid w:val="00431AB5"/>
    <w:rsid w:val="00432A8E"/>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14A2"/>
    <w:rsid w:val="00462591"/>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50095D"/>
    <w:rsid w:val="00503275"/>
    <w:rsid w:val="00504F6C"/>
    <w:rsid w:val="00506587"/>
    <w:rsid w:val="00507025"/>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49EB"/>
    <w:rsid w:val="00525EC0"/>
    <w:rsid w:val="00527B8D"/>
    <w:rsid w:val="00530475"/>
    <w:rsid w:val="00533045"/>
    <w:rsid w:val="00534867"/>
    <w:rsid w:val="00535E1C"/>
    <w:rsid w:val="00537974"/>
    <w:rsid w:val="00541B43"/>
    <w:rsid w:val="00541F86"/>
    <w:rsid w:val="00547A95"/>
    <w:rsid w:val="0055244E"/>
    <w:rsid w:val="005553EB"/>
    <w:rsid w:val="005559D9"/>
    <w:rsid w:val="005562E9"/>
    <w:rsid w:val="00557314"/>
    <w:rsid w:val="00557696"/>
    <w:rsid w:val="005601D3"/>
    <w:rsid w:val="00562D74"/>
    <w:rsid w:val="005641A5"/>
    <w:rsid w:val="00564BD7"/>
    <w:rsid w:val="00565CBB"/>
    <w:rsid w:val="00566702"/>
    <w:rsid w:val="0056752E"/>
    <w:rsid w:val="00570900"/>
    <w:rsid w:val="00572448"/>
    <w:rsid w:val="005770CC"/>
    <w:rsid w:val="00580819"/>
    <w:rsid w:val="00583A85"/>
    <w:rsid w:val="00585222"/>
    <w:rsid w:val="005853A4"/>
    <w:rsid w:val="00585AE4"/>
    <w:rsid w:val="00586473"/>
    <w:rsid w:val="0059306F"/>
    <w:rsid w:val="00593D27"/>
    <w:rsid w:val="005944F6"/>
    <w:rsid w:val="005A0A57"/>
    <w:rsid w:val="005A0F28"/>
    <w:rsid w:val="005A1CDB"/>
    <w:rsid w:val="005A2973"/>
    <w:rsid w:val="005A517C"/>
    <w:rsid w:val="005A627A"/>
    <w:rsid w:val="005A6674"/>
    <w:rsid w:val="005A6EFC"/>
    <w:rsid w:val="005B00FA"/>
    <w:rsid w:val="005B1EE2"/>
    <w:rsid w:val="005B2541"/>
    <w:rsid w:val="005B3298"/>
    <w:rsid w:val="005B39BF"/>
    <w:rsid w:val="005B7715"/>
    <w:rsid w:val="005B7D02"/>
    <w:rsid w:val="005C042A"/>
    <w:rsid w:val="005C08DC"/>
    <w:rsid w:val="005C1A8A"/>
    <w:rsid w:val="005C3260"/>
    <w:rsid w:val="005C3B58"/>
    <w:rsid w:val="005C555A"/>
    <w:rsid w:val="005C7B7F"/>
    <w:rsid w:val="005D14B5"/>
    <w:rsid w:val="005D1510"/>
    <w:rsid w:val="005D2D5E"/>
    <w:rsid w:val="005D4B27"/>
    <w:rsid w:val="005D7B09"/>
    <w:rsid w:val="005D7B59"/>
    <w:rsid w:val="005E0F0A"/>
    <w:rsid w:val="005E111F"/>
    <w:rsid w:val="005E3135"/>
    <w:rsid w:val="005E3E00"/>
    <w:rsid w:val="005E3F9F"/>
    <w:rsid w:val="005E459F"/>
    <w:rsid w:val="005E46F2"/>
    <w:rsid w:val="005E5257"/>
    <w:rsid w:val="005E5C32"/>
    <w:rsid w:val="005E6394"/>
    <w:rsid w:val="005E7811"/>
    <w:rsid w:val="005F0EEE"/>
    <w:rsid w:val="005F1972"/>
    <w:rsid w:val="005F4D7D"/>
    <w:rsid w:val="00600BF2"/>
    <w:rsid w:val="00601301"/>
    <w:rsid w:val="006018FC"/>
    <w:rsid w:val="00601C22"/>
    <w:rsid w:val="00601F4A"/>
    <w:rsid w:val="00602419"/>
    <w:rsid w:val="00604F83"/>
    <w:rsid w:val="00605D5E"/>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D1A8F"/>
    <w:rsid w:val="006D28D6"/>
    <w:rsid w:val="006D3EF5"/>
    <w:rsid w:val="006D428E"/>
    <w:rsid w:val="006D5984"/>
    <w:rsid w:val="006D5EAA"/>
    <w:rsid w:val="006E0255"/>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6380"/>
    <w:rsid w:val="007069B8"/>
    <w:rsid w:val="0070752C"/>
    <w:rsid w:val="007110FD"/>
    <w:rsid w:val="0071286E"/>
    <w:rsid w:val="00713ABD"/>
    <w:rsid w:val="00714C14"/>
    <w:rsid w:val="00716102"/>
    <w:rsid w:val="007162E0"/>
    <w:rsid w:val="007172ED"/>
    <w:rsid w:val="00717496"/>
    <w:rsid w:val="007201AD"/>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60A8A"/>
    <w:rsid w:val="00762217"/>
    <w:rsid w:val="00764C55"/>
    <w:rsid w:val="00766942"/>
    <w:rsid w:val="0077012D"/>
    <w:rsid w:val="007705BD"/>
    <w:rsid w:val="0077318D"/>
    <w:rsid w:val="00774192"/>
    <w:rsid w:val="00775F14"/>
    <w:rsid w:val="00781F4A"/>
    <w:rsid w:val="00782B67"/>
    <w:rsid w:val="00783AAF"/>
    <w:rsid w:val="007845C2"/>
    <w:rsid w:val="0078509C"/>
    <w:rsid w:val="0078554E"/>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42A"/>
    <w:rsid w:val="00803511"/>
    <w:rsid w:val="00803617"/>
    <w:rsid w:val="008044DF"/>
    <w:rsid w:val="00804C00"/>
    <w:rsid w:val="00805926"/>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93FE2"/>
    <w:rsid w:val="00896AA9"/>
    <w:rsid w:val="00896ADE"/>
    <w:rsid w:val="008A05E8"/>
    <w:rsid w:val="008A0A22"/>
    <w:rsid w:val="008A4626"/>
    <w:rsid w:val="008A6411"/>
    <w:rsid w:val="008B15C1"/>
    <w:rsid w:val="008B5D62"/>
    <w:rsid w:val="008B6D3B"/>
    <w:rsid w:val="008C2135"/>
    <w:rsid w:val="008C5360"/>
    <w:rsid w:val="008C6AD9"/>
    <w:rsid w:val="008D20B3"/>
    <w:rsid w:val="008D3212"/>
    <w:rsid w:val="008D5968"/>
    <w:rsid w:val="008D684A"/>
    <w:rsid w:val="008D6DB6"/>
    <w:rsid w:val="008D7376"/>
    <w:rsid w:val="008D760E"/>
    <w:rsid w:val="008D7C75"/>
    <w:rsid w:val="008E03EB"/>
    <w:rsid w:val="008E07F9"/>
    <w:rsid w:val="008E0C87"/>
    <w:rsid w:val="008E3127"/>
    <w:rsid w:val="008E3F3F"/>
    <w:rsid w:val="008E402E"/>
    <w:rsid w:val="008E4FE7"/>
    <w:rsid w:val="008E57C6"/>
    <w:rsid w:val="008F029A"/>
    <w:rsid w:val="008F1D6E"/>
    <w:rsid w:val="008F2A1B"/>
    <w:rsid w:val="008F3F99"/>
    <w:rsid w:val="008F3FEE"/>
    <w:rsid w:val="008F61E4"/>
    <w:rsid w:val="008F7788"/>
    <w:rsid w:val="008F7E43"/>
    <w:rsid w:val="00903E90"/>
    <w:rsid w:val="00905606"/>
    <w:rsid w:val="00905FF3"/>
    <w:rsid w:val="009061A4"/>
    <w:rsid w:val="00907AA5"/>
    <w:rsid w:val="0091042C"/>
    <w:rsid w:val="009105CE"/>
    <w:rsid w:val="00910ADC"/>
    <w:rsid w:val="00910D72"/>
    <w:rsid w:val="00912E76"/>
    <w:rsid w:val="00914677"/>
    <w:rsid w:val="00916729"/>
    <w:rsid w:val="009171BB"/>
    <w:rsid w:val="0092359A"/>
    <w:rsid w:val="00923D47"/>
    <w:rsid w:val="00923E99"/>
    <w:rsid w:val="00923F42"/>
    <w:rsid w:val="0092574F"/>
    <w:rsid w:val="00925C45"/>
    <w:rsid w:val="00926659"/>
    <w:rsid w:val="009273CA"/>
    <w:rsid w:val="00930500"/>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BCC"/>
    <w:rsid w:val="00AE2EF7"/>
    <w:rsid w:val="00AE3701"/>
    <w:rsid w:val="00AE5DFC"/>
    <w:rsid w:val="00AE5E48"/>
    <w:rsid w:val="00AF0189"/>
    <w:rsid w:val="00AF03BD"/>
    <w:rsid w:val="00AF045C"/>
    <w:rsid w:val="00AF0FDE"/>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E9A"/>
    <w:rsid w:val="00B105A9"/>
    <w:rsid w:val="00B1229E"/>
    <w:rsid w:val="00B15CEB"/>
    <w:rsid w:val="00B16539"/>
    <w:rsid w:val="00B226AF"/>
    <w:rsid w:val="00B22FF3"/>
    <w:rsid w:val="00B237B2"/>
    <w:rsid w:val="00B25BE8"/>
    <w:rsid w:val="00B2614E"/>
    <w:rsid w:val="00B27883"/>
    <w:rsid w:val="00B306C1"/>
    <w:rsid w:val="00B314B5"/>
    <w:rsid w:val="00B31CBD"/>
    <w:rsid w:val="00B32582"/>
    <w:rsid w:val="00B352F8"/>
    <w:rsid w:val="00B35323"/>
    <w:rsid w:val="00B36AD2"/>
    <w:rsid w:val="00B40F69"/>
    <w:rsid w:val="00B42D3C"/>
    <w:rsid w:val="00B4496D"/>
    <w:rsid w:val="00B4754A"/>
    <w:rsid w:val="00B50A00"/>
    <w:rsid w:val="00B50A94"/>
    <w:rsid w:val="00B50C2C"/>
    <w:rsid w:val="00B51CD2"/>
    <w:rsid w:val="00B53657"/>
    <w:rsid w:val="00B5537B"/>
    <w:rsid w:val="00B55568"/>
    <w:rsid w:val="00B55A5F"/>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31D4"/>
    <w:rsid w:val="00B850A1"/>
    <w:rsid w:val="00B86C58"/>
    <w:rsid w:val="00B8769C"/>
    <w:rsid w:val="00B90707"/>
    <w:rsid w:val="00B911D6"/>
    <w:rsid w:val="00B91873"/>
    <w:rsid w:val="00B9428E"/>
    <w:rsid w:val="00B945FB"/>
    <w:rsid w:val="00B9668A"/>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487A"/>
    <w:rsid w:val="00C24900"/>
    <w:rsid w:val="00C253CC"/>
    <w:rsid w:val="00C25E94"/>
    <w:rsid w:val="00C275FD"/>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718D"/>
    <w:rsid w:val="00C47894"/>
    <w:rsid w:val="00C514D2"/>
    <w:rsid w:val="00C52248"/>
    <w:rsid w:val="00C526CA"/>
    <w:rsid w:val="00C53E01"/>
    <w:rsid w:val="00C563CE"/>
    <w:rsid w:val="00C579ED"/>
    <w:rsid w:val="00C57E38"/>
    <w:rsid w:val="00C6096E"/>
    <w:rsid w:val="00C60B00"/>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8B5"/>
    <w:rsid w:val="00CD410C"/>
    <w:rsid w:val="00CD4F4D"/>
    <w:rsid w:val="00CD6418"/>
    <w:rsid w:val="00CD7C09"/>
    <w:rsid w:val="00CD7E4A"/>
    <w:rsid w:val="00CE06BA"/>
    <w:rsid w:val="00CE46CB"/>
    <w:rsid w:val="00CE61DE"/>
    <w:rsid w:val="00CF161C"/>
    <w:rsid w:val="00CF230F"/>
    <w:rsid w:val="00CF3220"/>
    <w:rsid w:val="00CF64D8"/>
    <w:rsid w:val="00CF68C5"/>
    <w:rsid w:val="00CF7655"/>
    <w:rsid w:val="00D00F86"/>
    <w:rsid w:val="00D017C5"/>
    <w:rsid w:val="00D01851"/>
    <w:rsid w:val="00D02511"/>
    <w:rsid w:val="00D02863"/>
    <w:rsid w:val="00D02A20"/>
    <w:rsid w:val="00D02B6C"/>
    <w:rsid w:val="00D02CCB"/>
    <w:rsid w:val="00D109BC"/>
    <w:rsid w:val="00D11273"/>
    <w:rsid w:val="00D12A59"/>
    <w:rsid w:val="00D139D8"/>
    <w:rsid w:val="00D13C3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3B4F"/>
    <w:rsid w:val="00D64E29"/>
    <w:rsid w:val="00D664F3"/>
    <w:rsid w:val="00D702C3"/>
    <w:rsid w:val="00D71369"/>
    <w:rsid w:val="00D72FBC"/>
    <w:rsid w:val="00D74459"/>
    <w:rsid w:val="00D74973"/>
    <w:rsid w:val="00D75493"/>
    <w:rsid w:val="00D75618"/>
    <w:rsid w:val="00D76BB7"/>
    <w:rsid w:val="00D76E0A"/>
    <w:rsid w:val="00D779EC"/>
    <w:rsid w:val="00D81903"/>
    <w:rsid w:val="00D81B3B"/>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4F8C"/>
    <w:rsid w:val="00DA7716"/>
    <w:rsid w:val="00DA7AF6"/>
    <w:rsid w:val="00DB147D"/>
    <w:rsid w:val="00DB2896"/>
    <w:rsid w:val="00DB385E"/>
    <w:rsid w:val="00DB7BB2"/>
    <w:rsid w:val="00DB7EBD"/>
    <w:rsid w:val="00DC39B0"/>
    <w:rsid w:val="00DC3EBA"/>
    <w:rsid w:val="00DD09BB"/>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C03"/>
    <w:rsid w:val="00DF1C86"/>
    <w:rsid w:val="00DF27B2"/>
    <w:rsid w:val="00DF3DE7"/>
    <w:rsid w:val="00DF5014"/>
    <w:rsid w:val="00DF55A7"/>
    <w:rsid w:val="00DF632D"/>
    <w:rsid w:val="00E00F18"/>
    <w:rsid w:val="00E01985"/>
    <w:rsid w:val="00E02931"/>
    <w:rsid w:val="00E05146"/>
    <w:rsid w:val="00E06524"/>
    <w:rsid w:val="00E1156D"/>
    <w:rsid w:val="00E1344D"/>
    <w:rsid w:val="00E1408C"/>
    <w:rsid w:val="00E167F6"/>
    <w:rsid w:val="00E16B78"/>
    <w:rsid w:val="00E173DC"/>
    <w:rsid w:val="00E20535"/>
    <w:rsid w:val="00E21F6B"/>
    <w:rsid w:val="00E22EA9"/>
    <w:rsid w:val="00E2453C"/>
    <w:rsid w:val="00E25790"/>
    <w:rsid w:val="00E26CC9"/>
    <w:rsid w:val="00E341DF"/>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66E"/>
    <w:rsid w:val="00E50391"/>
    <w:rsid w:val="00E50CB5"/>
    <w:rsid w:val="00E51A48"/>
    <w:rsid w:val="00E52D05"/>
    <w:rsid w:val="00E5387B"/>
    <w:rsid w:val="00E53BCA"/>
    <w:rsid w:val="00E55598"/>
    <w:rsid w:val="00E55BBA"/>
    <w:rsid w:val="00E56024"/>
    <w:rsid w:val="00E5766B"/>
    <w:rsid w:val="00E57B94"/>
    <w:rsid w:val="00E61663"/>
    <w:rsid w:val="00E61D01"/>
    <w:rsid w:val="00E63597"/>
    <w:rsid w:val="00E63D60"/>
    <w:rsid w:val="00E657E0"/>
    <w:rsid w:val="00E66C1E"/>
    <w:rsid w:val="00E724CC"/>
    <w:rsid w:val="00E72643"/>
    <w:rsid w:val="00E73E82"/>
    <w:rsid w:val="00E74157"/>
    <w:rsid w:val="00E75E62"/>
    <w:rsid w:val="00E7665C"/>
    <w:rsid w:val="00E76D2D"/>
    <w:rsid w:val="00E803AA"/>
    <w:rsid w:val="00E80499"/>
    <w:rsid w:val="00E80FD8"/>
    <w:rsid w:val="00E82D17"/>
    <w:rsid w:val="00E83DB3"/>
    <w:rsid w:val="00E8433E"/>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D048B"/>
    <w:rsid w:val="00ED0B4A"/>
    <w:rsid w:val="00ED11FF"/>
    <w:rsid w:val="00ED4BF7"/>
    <w:rsid w:val="00ED6652"/>
    <w:rsid w:val="00ED7302"/>
    <w:rsid w:val="00EE09A9"/>
    <w:rsid w:val="00EE25C3"/>
    <w:rsid w:val="00EE3E1C"/>
    <w:rsid w:val="00EE5AD7"/>
    <w:rsid w:val="00EE5E05"/>
    <w:rsid w:val="00EE693A"/>
    <w:rsid w:val="00EE6C1D"/>
    <w:rsid w:val="00EF5583"/>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22D1"/>
    <w:rsid w:val="00F22E71"/>
    <w:rsid w:val="00F22ED1"/>
    <w:rsid w:val="00F2561F"/>
    <w:rsid w:val="00F26421"/>
    <w:rsid w:val="00F264CE"/>
    <w:rsid w:val="00F300F5"/>
    <w:rsid w:val="00F30AD0"/>
    <w:rsid w:val="00F31619"/>
    <w:rsid w:val="00F31764"/>
    <w:rsid w:val="00F31D0F"/>
    <w:rsid w:val="00F31F24"/>
    <w:rsid w:val="00F326F2"/>
    <w:rsid w:val="00F32D03"/>
    <w:rsid w:val="00F34D15"/>
    <w:rsid w:val="00F40CFC"/>
    <w:rsid w:val="00F4138D"/>
    <w:rsid w:val="00F41FF6"/>
    <w:rsid w:val="00F42937"/>
    <w:rsid w:val="00F42E92"/>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B1C"/>
    <w:rsid w:val="00F823BA"/>
    <w:rsid w:val="00F82826"/>
    <w:rsid w:val="00F865B8"/>
    <w:rsid w:val="00F8706C"/>
    <w:rsid w:val="00F90D19"/>
    <w:rsid w:val="00F93B79"/>
    <w:rsid w:val="00F95043"/>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328A"/>
    <w:rsid w:val="00FE48C5"/>
    <w:rsid w:val="00FE4D35"/>
    <w:rsid w:val="00FE5214"/>
    <w:rsid w:val="00FE6F08"/>
    <w:rsid w:val="00FE72D9"/>
    <w:rsid w:val="00FE753E"/>
    <w:rsid w:val="00FF1441"/>
    <w:rsid w:val="00FF15DE"/>
    <w:rsid w:val="00FF1E35"/>
    <w:rsid w:val="00FF279D"/>
    <w:rsid w:val="00FF28BC"/>
    <w:rsid w:val="00FF2B29"/>
    <w:rsid w:val="00FF2E1D"/>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5EC5CFE"/>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5D5881"/>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C251D0F"/>
    <w:rsid w:val="4C8A7AFA"/>
    <w:rsid w:val="4CB30039"/>
    <w:rsid w:val="4CD64AED"/>
    <w:rsid w:val="4CEF795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43D62C1"/>
    <w:rsid w:val="553774BF"/>
    <w:rsid w:val="55673A9D"/>
    <w:rsid w:val="55F63C41"/>
    <w:rsid w:val="560C07DA"/>
    <w:rsid w:val="563D374E"/>
    <w:rsid w:val="56702844"/>
    <w:rsid w:val="56C360E3"/>
    <w:rsid w:val="56FC7846"/>
    <w:rsid w:val="571903F8"/>
    <w:rsid w:val="57227344"/>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autoRedefine/>
    <w:semiHidden/>
    <w:unhideWhenUsed/>
    <w:qFormat/>
    <w:uiPriority w:val="99"/>
    <w:rPr>
      <w:rFonts w:ascii="宋体" w:eastAsia="宋体"/>
      <w:sz w:val="18"/>
      <w:szCs w:val="18"/>
    </w:rPr>
  </w:style>
  <w:style w:type="paragraph" w:styleId="3">
    <w:name w:val="annotation text"/>
    <w:basedOn w:val="1"/>
    <w:link w:val="23"/>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autoRedefine/>
    <w:semiHidden/>
    <w:unhideWhenUsed/>
    <w:qFormat/>
    <w:uiPriority w:val="99"/>
    <w:pPr>
      <w:snapToGrid w:val="0"/>
      <w:jc w:val="left"/>
    </w:pPr>
    <w:rPr>
      <w:rFonts w:eastAsia="华文楷体"/>
      <w:sz w:val="18"/>
      <w:szCs w:val="18"/>
    </w:rPr>
  </w:style>
  <w:style w:type="paragraph" w:styleId="8">
    <w:name w:val="Normal (Web)"/>
    <w:basedOn w:val="1"/>
    <w:autoRedefine/>
    <w:semiHidden/>
    <w:unhideWhenUsed/>
    <w:qFormat/>
    <w:uiPriority w:val="99"/>
    <w:rPr>
      <w:sz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styleId="14">
    <w:name w:val="footnote reference"/>
    <w:autoRedefine/>
    <w:semiHidden/>
    <w:unhideWhenUsed/>
    <w:qFormat/>
    <w:uiPriority w:val="99"/>
    <w:rPr>
      <w:vertAlign w:val="superscript"/>
    </w:rPr>
  </w:style>
  <w:style w:type="character" w:customStyle="1" w:styleId="15">
    <w:name w:val="页眉 字符"/>
    <w:basedOn w:val="12"/>
    <w:link w:val="6"/>
    <w:autoRedefine/>
    <w:qFormat/>
    <w:uiPriority w:val="99"/>
    <w:rPr>
      <w:sz w:val="18"/>
      <w:szCs w:val="18"/>
    </w:rPr>
  </w:style>
  <w:style w:type="character" w:customStyle="1" w:styleId="16">
    <w:name w:val="页脚 字符"/>
    <w:basedOn w:val="12"/>
    <w:link w:val="5"/>
    <w:autoRedefine/>
    <w:qFormat/>
    <w:uiPriority w:val="99"/>
    <w:rPr>
      <w:sz w:val="18"/>
      <w:szCs w:val="18"/>
    </w:rPr>
  </w:style>
  <w:style w:type="character" w:customStyle="1" w:styleId="17">
    <w:name w:val="文档结构图 字符"/>
    <w:basedOn w:val="12"/>
    <w:link w:val="2"/>
    <w:autoRedefine/>
    <w:semiHidden/>
    <w:qFormat/>
    <w:uiPriority w:val="99"/>
    <w:rPr>
      <w:rFonts w:ascii="宋体" w:eastAsia="宋体"/>
      <w:sz w:val="18"/>
      <w:szCs w:val="18"/>
    </w:rPr>
  </w:style>
  <w:style w:type="character" w:customStyle="1" w:styleId="18">
    <w:name w:val="批注框文本 字符"/>
    <w:basedOn w:val="12"/>
    <w:link w:val="4"/>
    <w:autoRedefine/>
    <w:semiHidden/>
    <w:qFormat/>
    <w:uiPriority w:val="99"/>
    <w:rPr>
      <w:sz w:val="18"/>
      <w:szCs w:val="18"/>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脚注文本 字符"/>
    <w:link w:val="7"/>
    <w:autoRedefine/>
    <w:semiHidden/>
    <w:qFormat/>
    <w:uiPriority w:val="99"/>
    <w:rPr>
      <w:rFonts w:eastAsia="华文楷体"/>
      <w:sz w:val="18"/>
      <w:szCs w:val="18"/>
    </w:rPr>
  </w:style>
  <w:style w:type="character" w:customStyle="1" w:styleId="21">
    <w:name w:val="脚注文本 Char1"/>
    <w:basedOn w:val="12"/>
    <w:autoRedefine/>
    <w:semiHidden/>
    <w:qFormat/>
    <w:uiPriority w:val="99"/>
    <w:rPr>
      <w:sz w:val="18"/>
      <w:szCs w:val="18"/>
    </w:rPr>
  </w:style>
  <w:style w:type="paragraph" w:styleId="22">
    <w:name w:val="List Paragraph"/>
    <w:basedOn w:val="1"/>
    <w:autoRedefine/>
    <w:qFormat/>
    <w:uiPriority w:val="34"/>
    <w:pPr>
      <w:spacing w:line="360" w:lineRule="auto"/>
      <w:ind w:left="400"/>
    </w:pPr>
    <w:rPr>
      <w:rFonts w:ascii="Times New Roman" w:hAnsi="Times New Roman" w:eastAsia="宋体" w:cs="Times New Roman"/>
      <w:bCs/>
      <w:sz w:val="24"/>
      <w:szCs w:val="24"/>
    </w:rPr>
  </w:style>
  <w:style w:type="character" w:customStyle="1" w:styleId="23">
    <w:name w:val="批注文字 字符"/>
    <w:basedOn w:val="12"/>
    <w:link w:val="3"/>
    <w:autoRedefine/>
    <w:semiHidden/>
    <w:qFormat/>
    <w:uiPriority w:val="99"/>
  </w:style>
  <w:style w:type="character" w:customStyle="1" w:styleId="24">
    <w:name w:val="批注主题 字符"/>
    <w:basedOn w:val="23"/>
    <w:link w:val="9"/>
    <w:autoRedefine/>
    <w:semiHidden/>
    <w:qFormat/>
    <w:uiPriority w:val="99"/>
    <w:rPr>
      <w:b/>
      <w:bCs/>
    </w:rPr>
  </w:style>
  <w:style w:type="paragraph" w:customStyle="1" w:styleId="25">
    <w:name w:val="正文标题1"/>
    <w:basedOn w:val="1"/>
    <w:link w:val="26"/>
    <w:autoRedefine/>
    <w:qFormat/>
    <w:uiPriority w:val="0"/>
    <w:pPr>
      <w:spacing w:line="360" w:lineRule="auto"/>
      <w:ind w:firstLine="420" w:firstLineChars="200"/>
    </w:pPr>
    <w:rPr>
      <w:rFonts w:hint="eastAsia" w:ascii="Times New Roman" w:hAnsi="Times New Roman" w:cs="Times New Roman"/>
      <w:b/>
      <w:bCs/>
      <w:szCs w:val="21"/>
    </w:rPr>
  </w:style>
  <w:style w:type="character" w:customStyle="1" w:styleId="26">
    <w:name w:val="正文标题1 Char"/>
    <w:link w:val="25"/>
    <w:autoRedefine/>
    <w:qFormat/>
    <w:uiPriority w:val="0"/>
    <w:rPr>
      <w:rFonts w:hint="eastAsia" w:ascii="Times New Roman" w:hAnsi="Times New Roman" w:cs="Times New Roman" w:eastAsiaTheme="minorEastAsia"/>
      <w:b/>
      <w:bCs/>
      <w:szCs w:val="21"/>
    </w:rPr>
  </w:style>
  <w:style w:type="paragraph" w:customStyle="1" w:styleId="27">
    <w:name w:val="自用正文二"/>
    <w:basedOn w:val="1"/>
    <w:autoRedefine/>
    <w:qFormat/>
    <w:uiPriority w:val="0"/>
    <w:pPr>
      <w:spacing w:line="360" w:lineRule="auto"/>
      <w:ind w:firstLine="482" w:firstLineChars="200"/>
    </w:pPr>
    <w:rPr>
      <w:rFonts w:hint="eastAsia" w:ascii="宋体" w:hAnsi="宋体" w:eastAsia="宋体" w:cs="Times New Roman"/>
      <w:b/>
      <w:bCs/>
      <w:szCs w:val="21"/>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highlight"/>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3F32-B979-4EE4-9549-AA66F68F088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2340</Words>
  <Characters>2421</Characters>
  <Lines>18</Lines>
  <Paragraphs>5</Paragraphs>
  <TotalTime>1473</TotalTime>
  <ScaleCrop>false</ScaleCrop>
  <LinksUpToDate>false</LinksUpToDate>
  <CharactersWithSpaces>2550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2025-09-23T02:35:00Z</dcterms:created>
  <dc:creator>fangz</dc:creator>
  <cp:lastModifiedBy>DiamondHeart</cp:lastModifiedBy>
  <cp:lastPrinted>2024-04-29T01:04:00Z</cp:lastPrinted>
  <dcterms:modified xsi:type="dcterms:W3CDTF">2025-09-24T08:24:20Z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332B382F29B342CD974937180C8F26E6_13</vt:lpwstr>
  </property>
  <property fmtid="{D5CDD505-2E9C-101B-9397-08002B2CF9AE}" pid="4" name="KSOTemplateDocerSaveRecord">
    <vt:lpwstr>eyJoZGlkIjoiYjM4ZDBkNWExNjY0ZmU4NGJiYjYzNGFjMTUwMDgyZGUiLCJ1c2VySWQiOiI1MDQ4Nzk1NjAifQ==</vt:lpwstr>
  </property>
</Properties>
</file>