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6696F">
      <w:pPr>
        <w:spacing w:before="156" w:beforeLines="50" w:after="156" w:afterLines="50" w:line="400" w:lineRule="exact"/>
        <w:rPr>
          <w:rFonts w:hint="eastAsia" w:asciiTheme="minorEastAsia" w:hAnsiTheme="minorEastAsia" w:eastAsiaTheme="minorEastAsia"/>
          <w:bCs/>
          <w:iCs/>
          <w:sz w:val="24"/>
        </w:rPr>
      </w:pPr>
      <w:r>
        <w:rPr>
          <w:rFonts w:hint="eastAsia" w:asciiTheme="minorEastAsia" w:hAnsiTheme="minorEastAsia" w:eastAsiaTheme="minorEastAsia"/>
          <w:bCs/>
          <w:iCs/>
          <w:sz w:val="24"/>
        </w:rPr>
        <w:t>证券代码：</w:t>
      </w:r>
      <w:r>
        <w:rPr>
          <w:rFonts w:cs="宋体" w:asciiTheme="minorEastAsia" w:hAnsiTheme="minorEastAsia" w:eastAsiaTheme="minorEastAsia"/>
          <w:sz w:val="24"/>
        </w:rPr>
        <w:t>603700</w:t>
      </w:r>
      <w:r>
        <w:rPr>
          <w:rFonts w:hint="eastAsia" w:asciiTheme="minorEastAsia" w:hAnsiTheme="minorEastAsia" w:eastAsiaTheme="minorEastAsia"/>
          <w:bCs/>
          <w:iCs/>
          <w:sz w:val="24"/>
        </w:rPr>
        <w:t xml:space="preserve">                                   证券简称：</w:t>
      </w:r>
      <w:r>
        <w:rPr>
          <w:rFonts w:hint="eastAsia" w:cs="宋体" w:asciiTheme="minorEastAsia" w:hAnsiTheme="minorEastAsia" w:eastAsiaTheme="minorEastAsia"/>
          <w:sz w:val="24"/>
        </w:rPr>
        <w:t>宁水集团</w:t>
      </w:r>
    </w:p>
    <w:p w14:paraId="5E27B1B9">
      <w:pPr>
        <w:spacing w:before="156" w:beforeLines="50" w:after="156" w:afterLines="50" w:line="400" w:lineRule="exact"/>
        <w:jc w:val="center"/>
        <w:rPr>
          <w:rFonts w:hint="eastAsia" w:cs="宋体" w:asciiTheme="minorEastAsia" w:hAnsiTheme="minorEastAsia" w:eastAsiaTheme="minorEastAsia"/>
          <w:b/>
          <w:sz w:val="32"/>
        </w:rPr>
      </w:pPr>
      <w:r>
        <w:rPr>
          <w:rFonts w:cs="宋体" w:asciiTheme="minorEastAsia" w:hAnsiTheme="minorEastAsia" w:eastAsiaTheme="minorEastAsia"/>
          <w:b/>
          <w:sz w:val="32"/>
        </w:rPr>
        <w:t>宁波水表</w:t>
      </w:r>
      <w:r>
        <w:rPr>
          <w:rFonts w:hint="eastAsia" w:cs="宋体" w:asciiTheme="minorEastAsia" w:hAnsiTheme="minorEastAsia" w:eastAsiaTheme="minorEastAsia"/>
          <w:b/>
          <w:sz w:val="32"/>
        </w:rPr>
        <w:t>（集团）股份有限公司</w:t>
      </w:r>
    </w:p>
    <w:p w14:paraId="33D9DD5A">
      <w:pPr>
        <w:spacing w:before="156" w:beforeLines="50" w:after="156" w:afterLines="50" w:line="400" w:lineRule="exact"/>
        <w:jc w:val="center"/>
        <w:rPr>
          <w:rFonts w:hint="eastAsia" w:asciiTheme="minorEastAsia" w:hAnsiTheme="minorEastAsia" w:eastAsiaTheme="minorEastAsia"/>
          <w:b/>
          <w:bCs/>
          <w:iCs/>
          <w:sz w:val="30"/>
          <w:szCs w:val="30"/>
        </w:rPr>
      </w:pPr>
      <w:r>
        <w:rPr>
          <w:rFonts w:hint="eastAsia" w:asciiTheme="minorEastAsia" w:hAnsiTheme="minorEastAsia" w:eastAsiaTheme="minorEastAsia"/>
          <w:b/>
          <w:bCs/>
          <w:iCs/>
          <w:sz w:val="30"/>
          <w:szCs w:val="30"/>
        </w:rPr>
        <w:t>投资者关系活动记录表</w:t>
      </w:r>
    </w:p>
    <w:p w14:paraId="480D82B0">
      <w:pPr>
        <w:spacing w:line="400" w:lineRule="exact"/>
        <w:rPr>
          <w:rFonts w:hint="eastAsia" w:asciiTheme="minorEastAsia" w:hAnsiTheme="minorEastAsia" w:eastAsiaTheme="minorEastAsia"/>
          <w:bCs/>
          <w:iCs/>
          <w:sz w:val="24"/>
          <w:lang w:val="en-US" w:eastAsia="zh-CN"/>
        </w:rPr>
      </w:pPr>
      <w:r>
        <w:rPr>
          <w:rFonts w:hint="eastAsia" w:asciiTheme="minorEastAsia" w:hAnsiTheme="minorEastAsia" w:eastAsiaTheme="minorEastAsia"/>
          <w:bCs/>
          <w:iCs/>
          <w:sz w:val="24"/>
        </w:rPr>
        <w:t xml:space="preserve">                                                  编号：202</w:t>
      </w:r>
      <w:r>
        <w:rPr>
          <w:rFonts w:hint="eastAsia" w:asciiTheme="minorEastAsia" w:hAnsiTheme="minorEastAsia" w:eastAsiaTheme="minorEastAsia"/>
          <w:bCs/>
          <w:iCs/>
          <w:sz w:val="24"/>
          <w:lang w:val="en-US" w:eastAsia="zh-CN"/>
        </w:rPr>
        <w:t>5</w:t>
      </w:r>
      <w:r>
        <w:rPr>
          <w:rFonts w:hint="eastAsia" w:asciiTheme="minorEastAsia" w:hAnsiTheme="minorEastAsia" w:eastAsiaTheme="minorEastAsia"/>
          <w:bCs/>
          <w:iCs/>
          <w:sz w:val="24"/>
        </w:rPr>
        <w:t>-00</w:t>
      </w:r>
      <w:r>
        <w:rPr>
          <w:rFonts w:hint="eastAsia" w:asciiTheme="minorEastAsia" w:hAnsiTheme="minorEastAsia" w:eastAsiaTheme="minorEastAsia"/>
          <w:bCs/>
          <w:iCs/>
          <w:sz w:val="24"/>
          <w:lang w:val="en-US" w:eastAsia="zh-CN"/>
        </w:rPr>
        <w:t>3</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588"/>
      </w:tblGrid>
      <w:tr w14:paraId="4A3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495B6E3B">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投资者关系活动类别</w:t>
            </w:r>
          </w:p>
        </w:tc>
        <w:tc>
          <w:tcPr>
            <w:tcW w:w="6588" w:type="dxa"/>
            <w:tcBorders>
              <w:top w:val="single" w:color="auto" w:sz="4" w:space="0"/>
              <w:left w:val="single" w:color="auto" w:sz="4" w:space="0"/>
              <w:bottom w:val="single" w:color="auto" w:sz="4" w:space="0"/>
              <w:right w:val="single" w:color="auto" w:sz="4" w:space="0"/>
            </w:tcBorders>
          </w:tcPr>
          <w:p w14:paraId="53A0B489">
            <w:pPr>
              <w:spacing w:line="480" w:lineRule="atLeast"/>
              <w:rPr>
                <w:rFonts w:hint="eastAsia" w:asciiTheme="minorEastAsia" w:hAnsiTheme="minorEastAsia" w:eastAsiaTheme="minorEastAsia"/>
                <w:bCs/>
                <w:iCs/>
                <w:sz w:val="24"/>
              </w:rPr>
            </w:pPr>
            <w:r>
              <w:rPr>
                <w:rFonts w:hint="eastAsia" w:cs="宋体" w:asciiTheme="minorEastAsia" w:hAnsiTheme="minorEastAsia" w:eastAsiaTheme="minorEastAsia"/>
                <w:sz w:val="24"/>
                <w:lang w:eastAsia="zh-CN"/>
              </w:rPr>
              <w:t>□</w:t>
            </w:r>
            <w:r>
              <w:rPr>
                <w:rFonts w:hint="eastAsia" w:asciiTheme="minorEastAsia" w:hAnsiTheme="minorEastAsia" w:eastAsiaTheme="minorEastAsia"/>
                <w:sz w:val="24"/>
              </w:rPr>
              <w:t xml:space="preserve">特定对象调研        </w:t>
            </w:r>
            <w:r>
              <w:rPr>
                <w:rFonts w:cs="宋体" w:asciiTheme="minorEastAsia" w:hAnsiTheme="minorEastAsia" w:eastAsiaTheme="minorEastAsia"/>
                <w:sz w:val="24"/>
              </w:rPr>
              <w:t>□</w:t>
            </w:r>
            <w:r>
              <w:rPr>
                <w:rFonts w:hint="eastAsia" w:asciiTheme="minorEastAsia" w:hAnsiTheme="minorEastAsia" w:eastAsiaTheme="minorEastAsia"/>
                <w:sz w:val="24"/>
              </w:rPr>
              <w:t>分析师会议</w:t>
            </w:r>
          </w:p>
          <w:p w14:paraId="573AC336">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lang w:val="en-US"/>
              </w:rPr>
              <w:t>□</w:t>
            </w:r>
            <w:r>
              <w:rPr>
                <w:rFonts w:hint="eastAsia" w:asciiTheme="minorEastAsia" w:hAnsiTheme="minorEastAsia" w:eastAsiaTheme="minorEastAsia"/>
                <w:sz w:val="24"/>
              </w:rPr>
              <w:t xml:space="preserve">媒体采访            </w:t>
            </w:r>
            <w:r>
              <w:rPr>
                <w:rFonts w:cs="宋体" w:asciiTheme="minorEastAsia" w:hAnsiTheme="minorEastAsia" w:eastAsiaTheme="minorEastAsia"/>
                <w:sz w:val="24"/>
              </w:rPr>
              <w:sym w:font="Wingdings 2" w:char="0052"/>
            </w:r>
            <w:r>
              <w:rPr>
                <w:rFonts w:hint="eastAsia" w:asciiTheme="minorEastAsia" w:hAnsiTheme="minorEastAsia" w:eastAsiaTheme="minorEastAsia"/>
                <w:sz w:val="24"/>
              </w:rPr>
              <w:t>业绩说明会</w:t>
            </w:r>
          </w:p>
          <w:p w14:paraId="045FC77C">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w:t>
            </w:r>
            <w:r>
              <w:rPr>
                <w:rFonts w:hint="eastAsia" w:asciiTheme="minorEastAsia" w:hAnsiTheme="minorEastAsia" w:eastAsiaTheme="minorEastAsia"/>
                <w:sz w:val="24"/>
              </w:rPr>
              <w:t xml:space="preserve">新闻发布会          </w:t>
            </w:r>
            <w:r>
              <w:rPr>
                <w:rFonts w:cs="宋体" w:asciiTheme="minorEastAsia" w:hAnsiTheme="minorEastAsia" w:eastAsiaTheme="minorEastAsia"/>
                <w:sz w:val="24"/>
              </w:rPr>
              <w:t>□</w:t>
            </w:r>
            <w:r>
              <w:rPr>
                <w:rFonts w:hint="eastAsia" w:asciiTheme="minorEastAsia" w:hAnsiTheme="minorEastAsia" w:eastAsiaTheme="minorEastAsia"/>
                <w:sz w:val="24"/>
              </w:rPr>
              <w:t>路演活动</w:t>
            </w:r>
          </w:p>
          <w:p w14:paraId="6974A3DB">
            <w:pPr>
              <w:tabs>
                <w:tab w:val="left" w:pos="3045"/>
                <w:tab w:val="center" w:pos="3199"/>
              </w:tabs>
              <w:spacing w:line="480" w:lineRule="atLeast"/>
              <w:rPr>
                <w:rFonts w:hint="eastAsia" w:asciiTheme="minorEastAsia" w:hAnsiTheme="minorEastAsia" w:eastAsiaTheme="minorEastAsia"/>
                <w:bCs/>
                <w:iCs/>
                <w:sz w:val="24"/>
              </w:rPr>
            </w:pPr>
            <w:r>
              <w:rPr>
                <w:rFonts w:hint="eastAsia" w:cs="宋体" w:asciiTheme="minorEastAsia" w:hAnsiTheme="minorEastAsia" w:eastAsiaTheme="minorEastAsia"/>
                <w:sz w:val="24"/>
                <w:lang w:eastAsia="zh-CN"/>
              </w:rPr>
              <w:t>□</w:t>
            </w:r>
            <w:r>
              <w:rPr>
                <w:rFonts w:hint="eastAsia" w:asciiTheme="minorEastAsia" w:hAnsiTheme="minorEastAsia" w:eastAsiaTheme="minorEastAsia"/>
                <w:sz w:val="24"/>
              </w:rPr>
              <w:t xml:space="preserve">现场参观            </w:t>
            </w:r>
            <w:r>
              <w:rPr>
                <w:rFonts w:cs="宋体" w:asciiTheme="minorEastAsia" w:hAnsiTheme="minorEastAsia" w:eastAsiaTheme="minorEastAsia"/>
                <w:sz w:val="24"/>
              </w:rPr>
              <w:t>□</w:t>
            </w:r>
            <w:r>
              <w:rPr>
                <w:rFonts w:hint="eastAsia" w:asciiTheme="minorEastAsia" w:hAnsiTheme="minorEastAsia" w:eastAsiaTheme="minorEastAsia"/>
                <w:sz w:val="24"/>
              </w:rPr>
              <w:t>电话通讯</w:t>
            </w:r>
          </w:p>
          <w:p w14:paraId="3ABEF129">
            <w:pPr>
              <w:tabs>
                <w:tab w:val="center" w:pos="3199"/>
              </w:tabs>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w:t>
            </w:r>
            <w:r>
              <w:rPr>
                <w:rFonts w:hint="eastAsia" w:asciiTheme="minorEastAsia" w:hAnsiTheme="minorEastAsia" w:eastAsiaTheme="minorEastAsia"/>
                <w:sz w:val="24"/>
              </w:rPr>
              <w:t xml:space="preserve">其他 </w:t>
            </w:r>
            <w:r>
              <w:rPr>
                <w:rFonts w:cs="宋体" w:asciiTheme="minorEastAsia" w:hAnsiTheme="minorEastAsia" w:eastAsiaTheme="minorEastAsia"/>
                <w:sz w:val="24"/>
              </w:rPr>
              <w:t>（请文字说明其他活动内容）</w:t>
            </w:r>
          </w:p>
        </w:tc>
      </w:tr>
      <w:tr w14:paraId="0CC7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2723196C">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时间</w:t>
            </w:r>
          </w:p>
        </w:tc>
        <w:tc>
          <w:tcPr>
            <w:tcW w:w="6588" w:type="dxa"/>
            <w:tcBorders>
              <w:top w:val="single" w:color="auto" w:sz="4" w:space="0"/>
              <w:left w:val="single" w:color="auto" w:sz="4" w:space="0"/>
              <w:bottom w:val="single" w:color="auto" w:sz="4" w:space="0"/>
              <w:right w:val="single" w:color="auto" w:sz="4" w:space="0"/>
            </w:tcBorders>
            <w:vAlign w:val="center"/>
          </w:tcPr>
          <w:p w14:paraId="08930F8B">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20</w:t>
            </w: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en-US" w:eastAsia="zh-CN"/>
              </w:rPr>
              <w:t>5</w:t>
            </w:r>
            <w:r>
              <w:rPr>
                <w:rFonts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9</w:t>
            </w:r>
            <w:r>
              <w:rPr>
                <w:rFonts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24</w:t>
            </w:r>
            <w:r>
              <w:rPr>
                <w:rFonts w:cs="宋体" w:asciiTheme="minorEastAsia" w:hAnsiTheme="minorEastAsia" w:eastAsiaTheme="minorEastAsia"/>
                <w:sz w:val="24"/>
              </w:rPr>
              <w:t>日</w:t>
            </w:r>
            <w:r>
              <w:rPr>
                <w:rFonts w:hint="eastAsia" w:cs="宋体" w:asciiTheme="minorEastAsia" w:hAnsiTheme="minorEastAsia" w:eastAsiaTheme="minorEastAsia"/>
                <w:sz w:val="24"/>
              </w:rPr>
              <w:t xml:space="preserve">  1</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00</w:t>
            </w:r>
            <w:r>
              <w:rPr>
                <w:rFonts w:hint="eastAsia" w:cs="宋体" w:asciiTheme="minorEastAsia" w:hAnsiTheme="minorEastAsia" w:eastAsiaTheme="minorEastAsia"/>
                <w:sz w:val="24"/>
              </w:rPr>
              <w:t>至</w:t>
            </w:r>
            <w:r>
              <w:rPr>
                <w:rFonts w:cs="宋体" w:asciiTheme="minorEastAsia" w:hAnsiTheme="minorEastAsia" w:eastAsiaTheme="minorEastAsia"/>
                <w:sz w:val="24"/>
              </w:rPr>
              <w:t>1</w:t>
            </w:r>
            <w:r>
              <w:rPr>
                <w:rFonts w:hint="eastAsia" w:cs="宋体" w:asciiTheme="minorEastAsia" w:hAnsiTheme="minorEastAsia" w:eastAsiaTheme="minorEastAsia"/>
                <w:sz w:val="24"/>
                <w:lang w:val="en-US" w:eastAsia="zh-CN"/>
              </w:rPr>
              <w:t>5</w:t>
            </w:r>
            <w:r>
              <w:rPr>
                <w:rFonts w:cs="宋体" w:asciiTheme="minorEastAsia" w:hAnsiTheme="minorEastAsia" w:eastAsiaTheme="minorEastAsia"/>
                <w:sz w:val="24"/>
              </w:rPr>
              <w:t>:</w:t>
            </w:r>
            <w:r>
              <w:rPr>
                <w:rFonts w:hint="eastAsia" w:cs="宋体" w:asciiTheme="minorEastAsia" w:hAnsiTheme="minorEastAsia" w:eastAsiaTheme="minorEastAsia"/>
                <w:sz w:val="24"/>
                <w:lang w:val="en-US" w:eastAsia="zh-CN"/>
              </w:rPr>
              <w:t>0</w:t>
            </w:r>
            <w:r>
              <w:rPr>
                <w:rFonts w:cs="宋体" w:asciiTheme="minorEastAsia" w:hAnsiTheme="minorEastAsia" w:eastAsiaTheme="minorEastAsia"/>
                <w:sz w:val="24"/>
              </w:rPr>
              <w:t>0</w:t>
            </w:r>
          </w:p>
        </w:tc>
      </w:tr>
      <w:tr w14:paraId="5F86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6C5BF200">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地点</w:t>
            </w:r>
          </w:p>
        </w:tc>
        <w:tc>
          <w:tcPr>
            <w:tcW w:w="6588" w:type="dxa"/>
            <w:tcBorders>
              <w:top w:val="single" w:color="auto" w:sz="4" w:space="0"/>
              <w:left w:val="single" w:color="auto" w:sz="4" w:space="0"/>
              <w:bottom w:val="single" w:color="auto" w:sz="4" w:space="0"/>
              <w:right w:val="single" w:color="auto" w:sz="4" w:space="0"/>
            </w:tcBorders>
            <w:vAlign w:val="center"/>
          </w:tcPr>
          <w:p w14:paraId="1E5FE2A3">
            <w:pPr>
              <w:spacing w:line="480" w:lineRule="atLeast"/>
              <w:rPr>
                <w:rFonts w:hint="default" w:asciiTheme="minorEastAsia" w:hAnsiTheme="minorEastAsia" w:eastAsiaTheme="minorEastAsia"/>
                <w:bCs/>
                <w:iCs/>
                <w:sz w:val="24"/>
                <w:lang w:val="en-US" w:eastAsia="zh-CN"/>
              </w:rPr>
            </w:pPr>
            <w:r>
              <w:rPr>
                <w:rFonts w:hint="eastAsia" w:asciiTheme="minorEastAsia" w:hAnsiTheme="minorEastAsia" w:eastAsiaTheme="minorEastAsia"/>
                <w:bCs/>
                <w:iCs/>
                <w:sz w:val="24"/>
                <w:lang w:val="en-US" w:eastAsia="zh-CN"/>
              </w:rPr>
              <w:t>网络互动</w:t>
            </w:r>
          </w:p>
        </w:tc>
      </w:tr>
      <w:tr w14:paraId="4C67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E15CC7D">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上市公司接待人员姓名</w:t>
            </w:r>
          </w:p>
        </w:tc>
        <w:tc>
          <w:tcPr>
            <w:tcW w:w="6588" w:type="dxa"/>
            <w:tcBorders>
              <w:top w:val="single" w:color="auto" w:sz="4" w:space="0"/>
              <w:left w:val="single" w:color="auto" w:sz="4" w:space="0"/>
              <w:bottom w:val="single" w:color="auto" w:sz="4" w:space="0"/>
              <w:right w:val="single" w:color="auto" w:sz="4" w:space="0"/>
            </w:tcBorders>
            <w:vAlign w:val="center"/>
          </w:tcPr>
          <w:p w14:paraId="2D81174A">
            <w:pPr>
              <w:spacing w:line="480" w:lineRule="atLeast"/>
              <w:rPr>
                <w:rFonts w:hint="default" w:asciiTheme="minorEastAsia" w:hAnsiTheme="minorEastAsia" w:eastAsiaTheme="minorEastAsia"/>
                <w:bCs/>
                <w:iCs/>
                <w:sz w:val="24"/>
                <w:lang w:val="en-US" w:eastAsia="zh-CN"/>
              </w:rPr>
            </w:pPr>
            <w:r>
              <w:rPr>
                <w:rFonts w:hint="default" w:asciiTheme="minorEastAsia" w:hAnsiTheme="minorEastAsia" w:eastAsiaTheme="minorEastAsia"/>
                <w:bCs/>
                <w:iCs/>
                <w:sz w:val="24"/>
                <w:lang w:val="en-US" w:eastAsia="zh-CN"/>
              </w:rPr>
              <w:t xml:space="preserve">董事长 张琳女士 总经理 陈翔先生 独立董事 </w:t>
            </w:r>
            <w:r>
              <w:rPr>
                <w:rFonts w:hint="eastAsia" w:asciiTheme="minorEastAsia" w:hAnsiTheme="minorEastAsia" w:eastAsiaTheme="minorEastAsia"/>
                <w:bCs/>
                <w:iCs/>
                <w:sz w:val="24"/>
                <w:lang w:val="en-US" w:eastAsia="zh-CN"/>
              </w:rPr>
              <w:t>马思甜先生</w:t>
            </w:r>
            <w:r>
              <w:rPr>
                <w:rFonts w:hint="default" w:asciiTheme="minorEastAsia" w:hAnsiTheme="minorEastAsia" w:eastAsiaTheme="minorEastAsia"/>
                <w:bCs/>
                <w:iCs/>
                <w:sz w:val="24"/>
                <w:lang w:val="en-US" w:eastAsia="zh-CN"/>
              </w:rPr>
              <w:t xml:space="preserve"> 董事会秘书、副总经理</w:t>
            </w:r>
            <w:r>
              <w:rPr>
                <w:rFonts w:hint="eastAsia" w:asciiTheme="minorEastAsia" w:hAnsiTheme="minorEastAsia" w:eastAsiaTheme="minorEastAsia"/>
                <w:bCs/>
                <w:iCs/>
                <w:sz w:val="24"/>
                <w:lang w:val="en-US" w:eastAsia="zh-CN"/>
              </w:rPr>
              <w:t xml:space="preserve"> </w:t>
            </w:r>
            <w:r>
              <w:rPr>
                <w:rFonts w:hint="default" w:asciiTheme="minorEastAsia" w:hAnsiTheme="minorEastAsia" w:eastAsiaTheme="minorEastAsia"/>
                <w:bCs/>
                <w:iCs/>
                <w:sz w:val="24"/>
                <w:lang w:val="en-US" w:eastAsia="zh-CN"/>
              </w:rPr>
              <w:t xml:space="preserve"> 马溯嵘先生 </w:t>
            </w:r>
            <w:r>
              <w:rPr>
                <w:rFonts w:hint="eastAsia" w:asciiTheme="minorEastAsia" w:hAnsiTheme="minorEastAsia" w:eastAsiaTheme="minorEastAsia"/>
                <w:bCs/>
                <w:iCs/>
                <w:sz w:val="24"/>
                <w:lang w:val="en-US" w:eastAsia="zh-CN"/>
              </w:rPr>
              <w:t xml:space="preserve"> </w:t>
            </w:r>
            <w:r>
              <w:rPr>
                <w:rFonts w:hint="default" w:asciiTheme="minorEastAsia" w:hAnsiTheme="minorEastAsia" w:eastAsiaTheme="minorEastAsia"/>
                <w:bCs/>
                <w:iCs/>
                <w:sz w:val="24"/>
                <w:lang w:val="en-US" w:eastAsia="zh-CN"/>
              </w:rPr>
              <w:t>财务总监 王哲斌先生</w:t>
            </w:r>
          </w:p>
        </w:tc>
      </w:tr>
      <w:tr w14:paraId="58E8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28" w:type="dxa"/>
            <w:tcBorders>
              <w:top w:val="single" w:color="auto" w:sz="4" w:space="0"/>
              <w:left w:val="single" w:color="auto" w:sz="4" w:space="0"/>
              <w:bottom w:val="single" w:color="auto" w:sz="4" w:space="0"/>
              <w:right w:val="single" w:color="auto" w:sz="4" w:space="0"/>
            </w:tcBorders>
            <w:vAlign w:val="center"/>
          </w:tcPr>
          <w:p w14:paraId="301BDD8A">
            <w:pPr>
              <w:spacing w:line="360" w:lineRule="auto"/>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投资者关系活动主要内容介绍</w:t>
            </w:r>
          </w:p>
        </w:tc>
        <w:tc>
          <w:tcPr>
            <w:tcW w:w="6588" w:type="dxa"/>
            <w:tcBorders>
              <w:top w:val="single" w:color="auto" w:sz="4" w:space="0"/>
              <w:left w:val="single" w:color="auto" w:sz="4" w:space="0"/>
              <w:bottom w:val="single" w:color="auto" w:sz="4" w:space="0"/>
              <w:right w:val="single" w:color="auto" w:sz="4" w:space="0"/>
            </w:tcBorders>
          </w:tcPr>
          <w:p w14:paraId="50FD10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1、董事长您好，2025年中报显示归母净利润同比大增76.83%，但扣非净利润下滑52.49%，主要因非经常性损益（如：子公司股权转让）贡献显著。请问：① 公司未来如何平衡非经常性损益与主营业务增长？② 在智能水表行业渗透率提升的背景下，是否有计划通过内生增长（如：技术升级、市场拓展）或外延并购（如：产业链整合）进一步提升核心业务竞争力？③ 针对应收账款占净利润比例高达1606%的风险，管理层将采取哪些战略措施优化现金流和资产质量？</w:t>
            </w:r>
          </w:p>
          <w:p w14:paraId="3448E9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尊敬的投资者您好！①公司始终坚持“一业为主，做精做强”的经营方针，多年来深度聚焦客户痛点与价值创造，以智慧计量与营运为切入点，深耕智慧供水领域，同时将业务延伸布局至智慧水务全业务链的解决方案。公司将始终坚持做大做强主业，主要通过推动主营业务增长持续推动公司业绩增长。②公司始终重视技术创新和研发投入，重视通过技术升级和市场开拓增强公司核心竞争力，推动公司业绩增长。对于外延并购，公司也始终持开放态度，积极寻找合适的投资标的，未来若存在合适的项目机会，公司也将严格遵照相关法律法规履行信息披露义务。③公司已积极采取多维度应对措施，通过强化全面预算与成本控制、持续推进降本增效、严格应收账款管控、加大应收账款清收力度等措施积极应对，同时坚持以创新驱动发展，加快研发成果转化，提升产品附加值，为公司盈利能力争取更多空间，不断巩固核心竞争力。感谢您的关注！</w:t>
            </w:r>
          </w:p>
          <w:p w14:paraId="33D595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val="0"/>
                <w:sz w:val="24"/>
                <w:lang w:val="en-US" w:eastAsia="zh-CN"/>
              </w:rPr>
            </w:pPr>
            <w:r>
              <w:rPr>
                <w:rFonts w:hint="eastAsia" w:ascii="宋体" w:hAnsi="宋体" w:eastAsia="宋体" w:cs="宋体"/>
                <w:b/>
                <w:bCs w:val="0"/>
                <w:kern w:val="2"/>
                <w:sz w:val="24"/>
                <w:szCs w:val="24"/>
                <w:lang w:val="en-US" w:eastAsia="zh-CN" w:bidi="ar-SA"/>
              </w:rPr>
              <w:t>2、</w:t>
            </w:r>
            <w:r>
              <w:rPr>
                <w:rFonts w:hint="eastAsia" w:ascii="宋体" w:hAnsi="宋体" w:cs="宋体"/>
                <w:b/>
                <w:bCs w:val="0"/>
                <w:sz w:val="24"/>
                <w:lang w:val="en-US" w:eastAsia="zh-CN"/>
              </w:rPr>
              <w:t>董事长，您好！公司海外营收同比增长超25%，亚太地区增长超115%。请问：① 未来全球化战略的具体路径是什么？是否会加大在“一带一路”沿线或新兴市场的本地化产能布局？② 如何应对海外市场的地缘政治风险、汇率波动及本地化竞争？③ 针对国内“智慧水务”、“老旧小区改造”等政策红利，公司如何将政策优势转化为可持续的订单增长？</w:t>
            </w:r>
          </w:p>
          <w:p w14:paraId="3FC92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sz w:val="24"/>
                <w:lang w:val="en-US" w:eastAsia="zh-CN"/>
              </w:rPr>
            </w:pPr>
            <w:r>
              <w:rPr>
                <w:rFonts w:hint="eastAsia" w:ascii="宋体" w:hAnsi="宋体" w:cs="宋体"/>
                <w:b w:val="0"/>
                <w:bCs/>
                <w:sz w:val="24"/>
                <w:lang w:val="en-US" w:eastAsia="zh-CN"/>
              </w:rPr>
              <w:t>尊敬的投资者您好！当前公司正加速构建全球化营销网络与标准化服务体系，通过数字化赋能推动内外贸业务深度融合，实现内外贸一体化发展全新态势。</w:t>
            </w:r>
          </w:p>
          <w:p w14:paraId="50D982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sz w:val="24"/>
                <w:lang w:val="en-US" w:eastAsia="zh-CN"/>
              </w:rPr>
            </w:pPr>
            <w:r>
              <w:rPr>
                <w:rFonts w:hint="eastAsia" w:ascii="宋体" w:hAnsi="宋体" w:cs="宋体"/>
                <w:b w:val="0"/>
                <w:bCs/>
                <w:sz w:val="24"/>
                <w:lang w:val="en-US" w:eastAsia="zh-CN"/>
              </w:rPr>
              <w:t>从海外市场整体需求来看，东南亚、拉美等新兴市场在城市供水、基础设施升级方面的需求旺盛，当地投资持续增加，为相关产品创造了广阔的市场空间，同时欧美国家智能化项目的推进也带来了新的增长机会，海外市场正迎来良好的发展机遇。未来，公司将持续关注并积极把握国际市场发展机遇，包括对于“一带一路”沿线及相关新兴市场等，对海外局势保持高度关注，持续推出创新产品与智慧水务综合解决方案，探索兼具潜力与韧性的海外拓展路径。</w:t>
            </w:r>
          </w:p>
          <w:p w14:paraId="097648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sz w:val="24"/>
                <w:lang w:val="en-US" w:eastAsia="zh-CN"/>
              </w:rPr>
            </w:pPr>
            <w:r>
              <w:rPr>
                <w:rFonts w:hint="eastAsia" w:ascii="宋体" w:hAnsi="宋体" w:cs="宋体"/>
                <w:b w:val="0"/>
                <w:bCs/>
                <w:sz w:val="24"/>
                <w:lang w:val="en-US" w:eastAsia="zh-CN"/>
              </w:rPr>
              <w:t>针对国内市场，国家近年来持续加大对水利、水务等基础设施领域的政策支持，从水网体系构建、农村供水统管，到城市更新、节水环保等多个方向不断出台利好举措。公司将密切关注相关政策动态，及时把握市场机遇，抓住宏观契机进行有力的市场开拓。感谢您的关注！</w:t>
            </w:r>
          </w:p>
          <w:p w14:paraId="4B7DBB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val="0"/>
                <w:sz w:val="24"/>
                <w:lang w:val="en-US" w:eastAsia="zh-CN"/>
              </w:rPr>
            </w:pPr>
            <w:r>
              <w:rPr>
                <w:rFonts w:hint="default" w:ascii="宋体" w:hAnsi="宋体" w:eastAsia="宋体" w:cs="宋体"/>
                <w:b/>
                <w:bCs w:val="0"/>
                <w:kern w:val="2"/>
                <w:sz w:val="24"/>
                <w:szCs w:val="24"/>
                <w:lang w:val="en-US" w:eastAsia="zh-CN" w:bidi="ar-SA"/>
              </w:rPr>
              <w:t>3、</w:t>
            </w:r>
            <w:r>
              <w:rPr>
                <w:rFonts w:hint="eastAsia" w:ascii="宋体" w:hAnsi="宋体" w:cs="宋体"/>
                <w:b/>
                <w:bCs w:val="0"/>
                <w:sz w:val="24"/>
                <w:lang w:val="en-US" w:eastAsia="zh-CN"/>
              </w:rPr>
              <w:t>董事长您好，请问一下公司上半年海外市场业务开展情况如何？是否有新突破？</w:t>
            </w:r>
          </w:p>
          <w:p w14:paraId="23DAEB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sz w:val="24"/>
                <w:lang w:eastAsia="zh-CN"/>
              </w:rPr>
            </w:pPr>
            <w:r>
              <w:rPr>
                <w:rFonts w:hint="eastAsia" w:ascii="宋体" w:hAnsi="宋体" w:cs="宋体"/>
                <w:b w:val="0"/>
                <w:bCs/>
                <w:sz w:val="24"/>
                <w:lang w:eastAsia="zh-CN"/>
              </w:rPr>
              <w:t>尊敬的投资者您好！公司深耕全球市场，长期以来产品出口八十多个国家和地区。2025年，公司继续推进“线下深耕+数字赋能”双轨制全球化战略布局，依托丰富的产品线及技术制造经验，积极开拓海外市场。上半年，公司在国际市场上持续取得显著突破，海外业务营收同比增长超过25%。尤其在亚太地区增长迅猛，营收同比增幅超115%；美洲与非洲市场营收均保持15%以上的稳健增长。战略突破方面，2025上半年公司智能表海外营收同比增长超过200%。从海外市场整体需求来看，东南亚、拉美等新兴市场在城市供水、基础设施升级方面的需求旺盛，当地投资持续增加，为相关产品创造了广阔的市场空间，同时欧美国家智能化项目的推进也带来了新的增长机会，海外市场正迎来良好的发展机遇。未来，公司将持续关注并积极把握国际市场发展机遇，探索兼具潜力与韧性的海外拓展路径。感谢您的关注！</w:t>
            </w:r>
          </w:p>
          <w:p w14:paraId="5062B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val="0"/>
                <w:sz w:val="24"/>
                <w:highlight w:val="none"/>
                <w:lang w:val="en-US" w:eastAsia="zh-CN"/>
              </w:rPr>
            </w:pPr>
            <w:r>
              <w:rPr>
                <w:rFonts w:hint="eastAsia" w:ascii="宋体" w:hAnsi="宋体" w:cs="宋体"/>
                <w:b/>
                <w:bCs w:val="0"/>
                <w:kern w:val="2"/>
                <w:sz w:val="24"/>
                <w:szCs w:val="24"/>
                <w:highlight w:val="none"/>
                <w:lang w:val="en-US" w:eastAsia="zh-CN" w:bidi="ar-SA"/>
              </w:rPr>
              <w:t>4</w:t>
            </w:r>
            <w:r>
              <w:rPr>
                <w:rFonts w:hint="eastAsia" w:ascii="宋体" w:hAnsi="宋体" w:eastAsia="宋体" w:cs="宋体"/>
                <w:b/>
                <w:bCs w:val="0"/>
                <w:kern w:val="2"/>
                <w:sz w:val="24"/>
                <w:szCs w:val="24"/>
                <w:highlight w:val="none"/>
                <w:lang w:val="en-US" w:eastAsia="zh-CN" w:bidi="ar-SA"/>
              </w:rPr>
              <w:t>、董秘您好，中报中应收账款高企和现金流为负的问题较为突出。请问：① 公司是否会在定期报告中增加应收账款账龄结构、主要欠款方信用评级等细化信息？② 针对现金流压力，是否会通过供应链金融、资产证券化等方式创新融资渠道？③ 未来是否计划建立投资者沟通的常态化机制（如：季度业绩电话会、线上路演），增强中小投资者参与感？</w:t>
            </w:r>
          </w:p>
          <w:p w14:paraId="042921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sz w:val="24"/>
                <w:lang w:val="en-US" w:eastAsia="zh-CN"/>
              </w:rPr>
            </w:pPr>
            <w:r>
              <w:rPr>
                <w:rFonts w:hint="eastAsia" w:ascii="宋体" w:hAnsi="宋体" w:cs="宋体"/>
                <w:b w:val="0"/>
                <w:bCs/>
                <w:sz w:val="24"/>
                <w:lang w:val="en-US" w:eastAsia="zh-CN"/>
              </w:rPr>
              <w:t>尊敬的投资者您好！①公司严格按照法律法规及相关规定披露定期报告，应收账款账龄结构等相关信息可参考公司最新披露的定期报告；②目前公司经营性现金流主要受周期性影响，不存在较大压力，同时，当前公司也有较为通畅的融资渠道，如有必要也会考虑其他的创新融资渠道；③公司目前拥有多元化的投资者沟通渠道，如定期召开业绩说明会、召开电话会议、接待现场调研、24小时保持投资者咨询电话畅通等，欢迎各中小投资者随时与公司沟通交流。感谢您的关注！</w:t>
            </w:r>
          </w:p>
          <w:p w14:paraId="2010FD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val="0"/>
                <w:bCs/>
                <w:sz w:val="24"/>
                <w:lang w:val="en-US" w:eastAsia="zh-CN"/>
              </w:rPr>
            </w:pPr>
            <w:r>
              <w:rPr>
                <w:rFonts w:hint="eastAsia" w:ascii="宋体" w:hAnsi="宋体" w:cs="宋体"/>
                <w:b/>
                <w:bCs w:val="0"/>
                <w:kern w:val="2"/>
                <w:sz w:val="24"/>
                <w:szCs w:val="24"/>
                <w:lang w:val="en-US" w:eastAsia="zh-CN" w:bidi="ar-SA"/>
              </w:rPr>
              <w:t>5</w:t>
            </w:r>
            <w:r>
              <w:rPr>
                <w:rFonts w:hint="eastAsia" w:ascii="宋体" w:hAnsi="宋体" w:eastAsia="宋体" w:cs="宋体"/>
                <w:b/>
                <w:bCs w:val="0"/>
                <w:kern w:val="2"/>
                <w:sz w:val="24"/>
                <w:szCs w:val="24"/>
                <w:lang w:val="en-US" w:eastAsia="zh-CN" w:bidi="ar-SA"/>
              </w:rPr>
              <w:t>、</w:t>
            </w:r>
            <w:r>
              <w:rPr>
                <w:rFonts w:hint="eastAsia" w:ascii="宋体" w:hAnsi="宋体" w:cs="宋体"/>
                <w:b/>
                <w:bCs w:val="0"/>
                <w:kern w:val="2"/>
                <w:sz w:val="24"/>
                <w:szCs w:val="24"/>
                <w:lang w:val="en-US" w:eastAsia="zh-CN" w:bidi="ar-SA"/>
              </w:rPr>
              <w:t>中报显示工程业务收入占比仅0.45%且毛利率为-7.66%。请问总经理：① 工程业务亏损是否反映项目执行效率或定价策略问题？未来是否会调整该板块战略（如：聚焦高毛利项目或剥离低效业务）？② 如何协同硬件销售与工程服务，形成“产品+服务”的盈利闭环？</w:t>
            </w:r>
          </w:p>
          <w:p w14:paraId="5D1C16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尊敬的投资者您好！①公司工程业务目前规模仍在起步阶段，部分项目对整体盈利能力会有较大影响，主要受市场价格波动、项目复杂程度等因素影响。公司始终积极推进项目成本管控，包括原材料方面优化采购成本，施工过程中对人力、设备等资源开展合理调配等。未来，公司将进一步加强项目前期的筛选与评估，建立更为严格的项目准入机制，综合考虑项目规模、复杂程度、市场竞争状况以及预期收益等因素，优先承接那些具有较高毛利率、风险可控的项目，以提高工程业务的整体盈利水平。通过进一步优化业务结构，提升整体运营效率和盈利能力。②公司近些年不断完善优化产品与服务体系，已构建起“智能感知+数据驱动+工程闭环”的智慧水务生态体系，形成覆盖供水管网全生命周期的数字化服务闭环。公司除传统的水务计量核心业务外，通过管网DMA分区计量和漏损控制、管道在线监测和预警、管道不停运带压检测、管道非开挖修复等方面对供水管网核心问题进行全方位赋能，重点跟进管网精细化管理修复及漏损控制领域，实现相关工程与服务解决方案的落地与实施，朝着针对城市地下供水管网运行优化的各类软硬件及工程类整体解决方案服务业务迈进。感谢您的关注！</w:t>
            </w:r>
          </w:p>
          <w:p w14:paraId="78DE6A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kern w:val="2"/>
                <w:sz w:val="24"/>
                <w:szCs w:val="24"/>
                <w:lang w:val="en-US" w:eastAsia="zh-CN" w:bidi="ar-SA"/>
              </w:rPr>
            </w:pPr>
            <w:r>
              <w:rPr>
                <w:rFonts w:hint="eastAsia" w:ascii="宋体" w:hAnsi="宋体" w:cs="宋体"/>
                <w:b/>
                <w:bCs w:val="0"/>
                <w:kern w:val="2"/>
                <w:sz w:val="24"/>
                <w:szCs w:val="24"/>
                <w:lang w:val="en-US" w:eastAsia="zh-CN" w:bidi="ar-SA"/>
              </w:rPr>
              <w:t>6</w:t>
            </w:r>
            <w:r>
              <w:rPr>
                <w:rFonts w:hint="eastAsia" w:ascii="宋体" w:hAnsi="宋体" w:eastAsia="宋体" w:cs="宋体"/>
                <w:b/>
                <w:bCs w:val="0"/>
                <w:kern w:val="2"/>
                <w:sz w:val="24"/>
                <w:szCs w:val="24"/>
                <w:lang w:val="en-US" w:eastAsia="zh-CN" w:bidi="ar-SA"/>
              </w:rPr>
              <w:t>、近年来对地下管网的漏控管理问题日益重视，公司智慧水务业务在这一领域有什么布局？</w:t>
            </w:r>
          </w:p>
          <w:p w14:paraId="0D839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lang w:val="en-US" w:eastAsia="zh-CN"/>
              </w:rPr>
            </w:pPr>
            <w:r>
              <w:rPr>
                <w:rFonts w:hint="default" w:ascii="宋体" w:hAnsi="宋体" w:cs="宋体"/>
                <w:sz w:val="24"/>
                <w:lang w:val="en-US" w:eastAsia="zh-CN"/>
              </w:rPr>
              <w:t>尊敬的投资者您好！公司持续完善“智能感知+数据驱动+工程闭环”三位一体的智慧水务服务体系，形成覆盖供水管网全生命周期的价值闭环，业务矩阵包含硬件终端制造、大数据平台服务及管道检测修复工程三大核心模块。公司硬件产品涵盖噪声相关仪、水声相关仪等管网相关设备及传感器，能运用于管网漏损的检测和监测等场景，及时捕捉管网运行中的潜在异常。此外，公司推出“压力调控-泄漏预警-精确定位”解决方案及DMA分区计量解决方案，助力水务企业更好解决管网漏损控制。平台服务部分涵盖管网在线监测平台、漏损控制系统、管网GIS系统等多个核心模块，可实现对地下管网的运行状态的实时监测，优化管网漏损管控，提升管网运行安全与应急响应能力。工程部分则围绕城市供排水和集中供热管网提供检测、评估及非开挖修复更新等一站式专业解决方案，形成从监测、诊断到修复的完整服务闭环，具体包括管道非开挖修复、管道带压检测、CCTV检测等技术服务。感谢您的关注！</w:t>
            </w:r>
          </w:p>
          <w:p w14:paraId="040D49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val="0"/>
                <w:kern w:val="2"/>
                <w:sz w:val="24"/>
                <w:szCs w:val="24"/>
                <w:lang w:val="en-US" w:eastAsia="zh-CN" w:bidi="ar-SA"/>
              </w:rPr>
            </w:pPr>
            <w:r>
              <w:rPr>
                <w:rFonts w:hint="eastAsia" w:ascii="宋体" w:hAnsi="宋体" w:cs="宋体"/>
                <w:b/>
                <w:bCs w:val="0"/>
                <w:kern w:val="2"/>
                <w:sz w:val="24"/>
                <w:szCs w:val="24"/>
                <w:lang w:val="en-US" w:eastAsia="zh-CN" w:bidi="ar-SA"/>
              </w:rPr>
              <w:t>7</w:t>
            </w:r>
            <w:r>
              <w:rPr>
                <w:rFonts w:hint="eastAsia" w:ascii="宋体" w:hAnsi="宋体" w:eastAsia="宋体" w:cs="宋体"/>
                <w:b/>
                <w:bCs w:val="0"/>
                <w:kern w:val="2"/>
                <w:sz w:val="24"/>
                <w:szCs w:val="24"/>
                <w:lang w:val="en-US" w:eastAsia="zh-CN" w:bidi="ar-SA"/>
              </w:rPr>
              <w:t>、财务总监您好，中报经营活动现金流净额为-1.46亿元，但同比改善4.55%。请问：① 未来将通过哪些具体措施（如缩短账期、加大催收、优化订单筛选）扭转现金流负增长？② 应收账款中政府或地方水务公司的占比多少？是否已建立坏账拨备或信用保险机制？③ 在财政资金释放进度放缓的背景下，如何评估下半年回款压力？</w:t>
            </w:r>
          </w:p>
          <w:p w14:paraId="4C106A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尊敬的投资者您好！①公司回款周期通常受季节性影响，前三季度净额通常为负，四季度将会加大催收力度，从往年数据来看，四季度均能实现经营性现金流回正；② 公司下游客户绝大部分为水务公司。公司严格实施应收账款管控，建立常态化管控机制，强化风险意识。通过加大应收账款清收力度，动态评估应收账款风险，分类施策，针对性采取发送催款函、上门催收、通过司法程序催收等措施，全力维护公司合法权益；③ 2025年，国务院审议通过的《加快加力清理拖欠企业账款行动方案》以及新修订的《保障中小企业款项支付条例》明确了国家和地方部门职责，加大治理拖欠企业账款的力度；最高人民法院发布《关于贯彻落实〈中华人民共和国民营经济促进法〉的指导意见》，要求严格落实民营经济促进法关于账款支付的刚性条款。上述相关措施的推进有望改善行业账期状况，提升行业账款管理质量，降低财务风险。感谢您的关注！</w:t>
            </w:r>
          </w:p>
          <w:p w14:paraId="351565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val="0"/>
                <w:kern w:val="2"/>
                <w:sz w:val="24"/>
                <w:szCs w:val="24"/>
                <w:lang w:val="en-US" w:eastAsia="zh-CN" w:bidi="ar-SA"/>
              </w:rPr>
            </w:pPr>
            <w:r>
              <w:rPr>
                <w:rFonts w:hint="eastAsia" w:ascii="宋体" w:hAnsi="宋体" w:cs="宋体"/>
                <w:b/>
                <w:bCs w:val="0"/>
                <w:kern w:val="2"/>
                <w:sz w:val="24"/>
                <w:szCs w:val="24"/>
                <w:lang w:val="en-US" w:eastAsia="zh-CN" w:bidi="ar-SA"/>
              </w:rPr>
              <w:t>8</w:t>
            </w:r>
            <w:r>
              <w:rPr>
                <w:rFonts w:hint="eastAsia" w:ascii="宋体" w:hAnsi="宋体" w:eastAsia="宋体" w:cs="宋体"/>
                <w:b/>
                <w:bCs w:val="0"/>
                <w:kern w:val="2"/>
                <w:sz w:val="24"/>
                <w:szCs w:val="24"/>
                <w:lang w:val="en-US" w:eastAsia="zh-CN" w:bidi="ar-SA"/>
              </w:rPr>
              <w:t>、公司2024年推出员工持股计划，但当前市值较历史高点有差距。请问：① 未来是否会推出更市场化的股权激励方案（如：与净利润增长挂钩的解锁条件）？② 在扣非净利润下滑的背景下，如何平衡分红（如：2025年中报未提及分红）与再投资需求？是否有明确的股东回报规划（如：分红率目标）？</w:t>
            </w:r>
          </w:p>
          <w:p w14:paraId="57F8E4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lang w:val="en-US" w:eastAsia="zh-CN"/>
              </w:rPr>
            </w:pPr>
            <w:r>
              <w:rPr>
                <w:rFonts w:hint="default" w:ascii="宋体" w:hAnsi="宋体" w:cs="宋体"/>
                <w:sz w:val="24"/>
                <w:lang w:val="en-US" w:eastAsia="zh-CN"/>
              </w:rPr>
              <w:t>尊敬的投资者您好！①公司目前已落地实施的首期员工持股计划（2022年），以及2024年员工持股计划和2024年股票期权激励计划，这几期激励计划的业绩考核目标均与公司业绩直接挂钩，且均设置了具有一定挑战性的业绩考核目标。未来公司也将在合适的时机推出更为合理的股权激励方案，以期助力推动公司业绩增长。②公司在发展过程中始终重视投资者权益保护，努力提升公司价值，优化经营策略，推动公司持续稳健发展。公司上市以来始终坚持回馈股东，始终努力保障利润分配政策的连续性和稳定性，同时兼顾公司的长远利益、全体股东的整体利益和公司发展的可持续性，致力于实现投资者与公司的长期共赢。感谢您的关注！</w:t>
            </w:r>
          </w:p>
          <w:p w14:paraId="2F7EC1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lang w:val="en-US" w:eastAsia="zh-CN"/>
              </w:rPr>
            </w:pPr>
            <w:r>
              <w:rPr>
                <w:rFonts w:hint="eastAsia" w:ascii="宋体" w:hAnsi="宋体" w:eastAsia="宋体" w:cs="宋体"/>
                <w:b/>
                <w:bCs/>
                <w:kern w:val="2"/>
                <w:sz w:val="24"/>
                <w:szCs w:val="24"/>
                <w:lang w:val="en-US" w:eastAsia="zh-CN" w:bidi="ar-SA"/>
              </w:rPr>
              <w:t>9、</w:t>
            </w:r>
            <w:r>
              <w:rPr>
                <w:rFonts w:hint="eastAsia" w:ascii="宋体" w:hAnsi="宋体" w:cs="宋体"/>
                <w:b/>
                <w:bCs/>
                <w:sz w:val="24"/>
                <w:lang w:val="en-US" w:eastAsia="zh-CN"/>
              </w:rPr>
              <w:t>公司有息负债大幅下降61.59%，但货币资金仅2.21亿元。请问：① 当前低负债率下，是否考虑通过适度举债支持产能扩张或海外并购？② 针对短期偿债能力（如：货币资金/流动负债=69.5%），是否有应急预案（如：银团授信、股权融资）应对突发流动性需求？</w:t>
            </w:r>
          </w:p>
          <w:p w14:paraId="0D234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尊敬的投资者您好！①公司如有合适的相关标的或项目，将通过多元化融资方式推进项目实施；②目前公司银行授信充足，能够随时应对突发流动性需求。感谢您的关注！</w:t>
            </w:r>
          </w:p>
          <w:p w14:paraId="1A830C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10、</w:t>
            </w:r>
            <w:r>
              <w:rPr>
                <w:rFonts w:hint="default" w:ascii="宋体" w:hAnsi="宋体" w:eastAsia="宋体" w:cs="宋体"/>
                <w:b/>
                <w:bCs/>
                <w:kern w:val="2"/>
                <w:sz w:val="24"/>
                <w:szCs w:val="24"/>
                <w:lang w:val="en-US" w:eastAsia="zh-CN" w:bidi="ar-SA"/>
              </w:rPr>
              <w:t>请教马总，面对市场竞争激烈、盈利压力大的现状，公司如何应对？如何看待公司的长期发展、如何保持发展信心？</w:t>
            </w:r>
          </w:p>
          <w:p w14:paraId="19AFE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尊敬的投资者您好！短期来看，市场发展环境复杂多变，市场竞争加剧、产品单价下滑严重，回款周期变长等因素给行业及公司带来较大盈利压力。但针对当前挑战，公司已积极采取多维度应对措施，通过强化全面预算与成本控制、持续推进降本增效、严格应收账款管控、加大应收账款清收力度等措施积极应对，同时坚持以创新驱动发展，加快研发成果转化，提升产品附加值，为公司盈利能力争取更多空间，不断巩固核心竞争力。</w:t>
            </w:r>
          </w:p>
          <w:p w14:paraId="493E40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长远来看，水务行业作为民生保障领域的重要组成部分，发展面的基本逻辑未发生根本性改变。伴随国家对农村供水、城镇基础设施改造、高品质供水、智慧水务等领域政策支持的不断加强，行业高质量发展趋势持续深化，将带来发展新机遇。而公司深耕供水计量与测量领域60余年，在品牌影响力、营销服务能力、技术研发创新、业务体系完善性以及生产管控精细化水平等多个维度，均构建了自身独特优势与核心竞争力。从2025年上半年经营情况来看，公司营收维持了增长态势，采购、生产、运营等各环节均保持良好稳定运转，综合来看公司发展基本面坚实稳固，作为行业龙头企业对未来长远发展依然保持坚定信心。感谢您的关注！</w:t>
            </w:r>
          </w:p>
          <w:p w14:paraId="08D7D1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w:t>
            </w:r>
            <w:r>
              <w:rPr>
                <w:rFonts w:hint="default" w:ascii="宋体" w:hAnsi="宋体" w:eastAsia="宋体" w:cs="宋体"/>
                <w:b/>
                <w:bCs/>
                <w:kern w:val="2"/>
                <w:sz w:val="24"/>
                <w:szCs w:val="24"/>
                <w:lang w:val="en-US" w:eastAsia="zh-CN" w:bidi="ar-SA"/>
              </w:rPr>
              <w:t>独立董事您好，您作为独立监督者，请问：① 如何确保子公司股权转让等非经常性损益交易的公允性？ ② 在应收账款中是否存在关联方欠款？如何评估其回收风险及对公司独立性的影响？ ③ 针对智能水表行业可能存在的招投标合规风险，公司是否建立了内部审计与风控流程？</w:t>
            </w:r>
          </w:p>
          <w:p w14:paraId="250316CA">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尊敬的投资者您好！①公司目前已经建立了较为完善的内部控制制度，相关交易严格遵守相关法律法规及监管规定。②公司目前不存在关联方欠款。③公司目前已经建立了较为完善的内部审计制度。感谢您的关注！</w:t>
            </w:r>
          </w:p>
          <w:p w14:paraId="129C92BC">
            <w:pPr>
              <w:keepNext w:val="0"/>
              <w:keepLines w:val="0"/>
              <w:pageBreakBefore w:val="0"/>
              <w:widowControl w:val="0"/>
              <w:numPr>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lang w:val="en-US" w:eastAsia="zh-CN"/>
              </w:rPr>
            </w:pPr>
            <w:r>
              <w:rPr>
                <w:rFonts w:hint="eastAsia" w:ascii="宋体" w:hAnsi="宋体" w:eastAsia="宋体" w:cs="宋体"/>
                <w:b/>
                <w:bCs/>
                <w:sz w:val="24"/>
                <w:lang w:val="en-US" w:eastAsia="zh-CN"/>
              </w:rPr>
              <w:t>12、</w:t>
            </w:r>
            <w:r>
              <w:rPr>
                <w:rFonts w:hint="default" w:ascii="宋体" w:hAnsi="宋体" w:eastAsia="宋体" w:cs="宋体"/>
                <w:b/>
                <w:bCs/>
                <w:sz w:val="24"/>
                <w:lang w:val="en-US" w:eastAsia="zh-CN"/>
              </w:rPr>
              <w:t>您好，想问下总经理，行业发展趋势如何？下半年需求怎么样？</w:t>
            </w:r>
          </w:p>
          <w:p w14:paraId="06B59CE6">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尊敬的投资者您好！从2025年上半年市场情况来看，在基建加速推进与政策导向性驱动下，招投标市场活力有所恢复，终端客户订单需求也逐步增长，行业需求进一步恢复。短期内政策托底效应正在逐步显现，存量改造、重大水利工程项目建设以及智慧水务等新兴需求开始释放，海外市场机遇也正在逐步打开，但地方债务、房地产去库存等因素仍在一定程度上制约着行业发展。长期来看行业发展的基本面依旧稳健，在政策引导、技术进步和需求升级的共同推动下，国内外市场仍具备广阔发展空间。与此同时，水资源安全、城市更新以及行业的数字化、智能化转型的趋势不会改变，行业正处于从价格竞争向技术驱动与综合解决方案转型的阶段。具备智能监测设备、管网运维服务、数据整合分析等综合解决方案的企业，有望凭借技术与服务优势脱颖而出，帮助水司提升供水效率、保障用水安全，并有效降低管理成本。感谢您的关注！</w:t>
            </w:r>
          </w:p>
          <w:p w14:paraId="233417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kern w:val="2"/>
                <w:sz w:val="24"/>
                <w:szCs w:val="24"/>
                <w:lang w:val="en-US" w:eastAsia="zh-CN" w:bidi="ar-SA"/>
              </w:rPr>
              <w:t>13、</w:t>
            </w:r>
            <w:r>
              <w:rPr>
                <w:rFonts w:hint="eastAsia" w:ascii="宋体" w:hAnsi="宋体" w:eastAsia="宋体" w:cs="宋体"/>
                <w:b/>
                <w:bCs/>
                <w:sz w:val="24"/>
                <w:lang w:val="en-US" w:eastAsia="zh-CN"/>
              </w:rPr>
              <w:t>总经理您好，中报显示毛利率同比下降7.5%至21.39%，但三费占比下降7.11个百分点。请问：① 毛利率下滑的主要原因是什么（如：原材料成本、产品结构变化）？未来如何通过技术升级或供应链优化提升盈利能力？② 在智能水表单价可能下降的行业趋势下，公司如何通过高附加值产品（如：超声水表、电磁水表）或增值服务（如：智慧水务平台）维持利润空间？</w:t>
            </w:r>
          </w:p>
          <w:p w14:paraId="47638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尊敬的投资者您好！①近几年表计市场竞争较为激烈，产品价格下降是影响毛利率的主要原因。但是在国家反内卷的趋势下我们判断，未来行业的竞争环境将有所改善，价格战不会是主流趋势。公司也将不断通过各类措施进行降本增效：一是通过提升公司产品技术水平、优化生产制造工艺等进一步降低生产制造成本；二是公司进一步加强与上游供应商的合作，降低相关材料的采购成本。② 公司认为水表行业未来还是会回归良性竞争。公司将继续开展各项降本增效措施，持续推进产品结构优化以提升</w:t>
            </w:r>
            <w:bookmarkStart w:id="0" w:name="_GoBack"/>
            <w:bookmarkEnd w:id="0"/>
            <w:r>
              <w:rPr>
                <w:rFonts w:hint="default" w:ascii="宋体" w:hAnsi="宋体" w:eastAsia="宋体" w:cs="宋体"/>
                <w:sz w:val="24"/>
                <w:lang w:val="en-US" w:eastAsia="zh-CN"/>
              </w:rPr>
              <w:t>盈利能力。同时公司将积极布局新业务领域，加强在智慧水务等高附加值领域的研发投入，进一步扩大相应的市场份额，提升公司的核心盈利能力。感谢您的关注！</w:t>
            </w:r>
          </w:p>
        </w:tc>
      </w:tr>
      <w:tr w14:paraId="4DD3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28" w:type="dxa"/>
            <w:tcBorders>
              <w:top w:val="single" w:color="auto" w:sz="4" w:space="0"/>
              <w:left w:val="single" w:color="auto" w:sz="4" w:space="0"/>
              <w:bottom w:val="single" w:color="auto" w:sz="4" w:space="0"/>
              <w:right w:val="single" w:color="auto" w:sz="4" w:space="0"/>
            </w:tcBorders>
            <w:vAlign w:val="center"/>
          </w:tcPr>
          <w:p w14:paraId="5BA07F39">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附件清单</w:t>
            </w:r>
          </w:p>
        </w:tc>
        <w:tc>
          <w:tcPr>
            <w:tcW w:w="6588" w:type="dxa"/>
            <w:tcBorders>
              <w:top w:val="single" w:color="auto" w:sz="4" w:space="0"/>
              <w:left w:val="single" w:color="auto" w:sz="4" w:space="0"/>
              <w:bottom w:val="single" w:color="auto" w:sz="4" w:space="0"/>
              <w:right w:val="single" w:color="auto" w:sz="4" w:space="0"/>
            </w:tcBorders>
          </w:tcPr>
          <w:p w14:paraId="373D82E7">
            <w:pPr>
              <w:spacing w:line="480" w:lineRule="atLeast"/>
              <w:rPr>
                <w:rFonts w:hint="eastAsia" w:asciiTheme="minorEastAsia" w:hAnsiTheme="minorEastAsia" w:eastAsiaTheme="minorEastAsia"/>
                <w:bCs/>
                <w:iCs/>
                <w:sz w:val="24"/>
              </w:rPr>
            </w:pPr>
            <w:r>
              <w:rPr>
                <w:rFonts w:hint="eastAsia" w:asciiTheme="minorEastAsia" w:hAnsiTheme="minorEastAsia" w:eastAsiaTheme="minorEastAsia"/>
                <w:bCs/>
                <w:iCs/>
                <w:sz w:val="24"/>
              </w:rPr>
              <w:t>无</w:t>
            </w:r>
          </w:p>
        </w:tc>
      </w:tr>
      <w:tr w14:paraId="37A5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4A9CB093">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日期</w:t>
            </w:r>
          </w:p>
        </w:tc>
        <w:tc>
          <w:tcPr>
            <w:tcW w:w="6588" w:type="dxa"/>
            <w:tcBorders>
              <w:top w:val="single" w:color="auto" w:sz="4" w:space="0"/>
              <w:left w:val="single" w:color="auto" w:sz="4" w:space="0"/>
              <w:bottom w:val="single" w:color="auto" w:sz="4" w:space="0"/>
              <w:right w:val="single" w:color="auto" w:sz="4" w:space="0"/>
            </w:tcBorders>
          </w:tcPr>
          <w:p w14:paraId="782ED4C3">
            <w:pPr>
              <w:spacing w:line="480" w:lineRule="atLeast"/>
              <w:rPr>
                <w:rFonts w:hint="eastAsia" w:asciiTheme="minorEastAsia" w:hAnsiTheme="minorEastAsia" w:eastAsiaTheme="minorEastAsia"/>
                <w:bCs/>
                <w:iCs/>
                <w:sz w:val="24"/>
              </w:rPr>
            </w:pPr>
            <w:r>
              <w:rPr>
                <w:rFonts w:hint="eastAsia" w:asciiTheme="minorEastAsia" w:hAnsiTheme="minorEastAsia" w:eastAsiaTheme="minorEastAsia"/>
                <w:bCs/>
                <w:iCs/>
                <w:sz w:val="24"/>
              </w:rPr>
              <w:t>202</w:t>
            </w:r>
            <w:r>
              <w:rPr>
                <w:rFonts w:hint="eastAsia" w:asciiTheme="minorEastAsia" w:hAnsiTheme="minorEastAsia" w:eastAsiaTheme="minorEastAsia"/>
                <w:bCs/>
                <w:iCs/>
                <w:sz w:val="24"/>
                <w:lang w:val="en-US" w:eastAsia="zh-CN"/>
              </w:rPr>
              <w:t>5</w:t>
            </w:r>
            <w:r>
              <w:rPr>
                <w:rFonts w:hint="eastAsia" w:asciiTheme="minorEastAsia" w:hAnsiTheme="minorEastAsia" w:eastAsiaTheme="minorEastAsia"/>
                <w:bCs/>
                <w:iCs/>
                <w:sz w:val="24"/>
              </w:rPr>
              <w:t>年</w:t>
            </w:r>
            <w:r>
              <w:rPr>
                <w:rFonts w:hint="eastAsia" w:asciiTheme="minorEastAsia" w:hAnsiTheme="minorEastAsia" w:eastAsiaTheme="minorEastAsia"/>
                <w:bCs/>
                <w:iCs/>
                <w:sz w:val="24"/>
                <w:lang w:val="en-US" w:eastAsia="zh-CN"/>
              </w:rPr>
              <w:t>9</w:t>
            </w:r>
            <w:r>
              <w:rPr>
                <w:rFonts w:hint="eastAsia" w:asciiTheme="minorEastAsia" w:hAnsiTheme="minorEastAsia" w:eastAsiaTheme="minorEastAsia"/>
                <w:bCs/>
                <w:iCs/>
                <w:sz w:val="24"/>
              </w:rPr>
              <w:t>月</w:t>
            </w:r>
            <w:r>
              <w:rPr>
                <w:rFonts w:hint="eastAsia" w:asciiTheme="minorEastAsia" w:hAnsiTheme="minorEastAsia" w:eastAsiaTheme="minorEastAsia"/>
                <w:bCs/>
                <w:iCs/>
                <w:sz w:val="24"/>
                <w:lang w:val="en-US" w:eastAsia="zh-CN"/>
              </w:rPr>
              <w:t>24</w:t>
            </w:r>
            <w:r>
              <w:rPr>
                <w:rFonts w:hint="eastAsia" w:asciiTheme="minorEastAsia" w:hAnsiTheme="minorEastAsia" w:eastAsiaTheme="minorEastAsia"/>
                <w:bCs/>
                <w:iCs/>
                <w:sz w:val="24"/>
              </w:rPr>
              <w:t>日</w:t>
            </w:r>
          </w:p>
        </w:tc>
      </w:tr>
    </w:tbl>
    <w:p w14:paraId="3E602FF9">
      <w:pPr>
        <w:widowControl/>
        <w:jc w:val="left"/>
        <w:rPr>
          <w:rFonts w:hint="eastAsia" w:asciiTheme="minorEastAsia" w:hAnsiTheme="minorEastAsia" w:eastAsiaTheme="minorEastAsia"/>
        </w:rPr>
      </w:pPr>
    </w:p>
    <w:sectPr>
      <w:pgSz w:w="11906" w:h="16838"/>
      <w:pgMar w:top="1440" w:right="1800" w:bottom="1440" w:left="1800"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1F"/>
    <w:rsid w:val="00003360"/>
    <w:rsid w:val="00005DB8"/>
    <w:rsid w:val="00007ADF"/>
    <w:rsid w:val="00015F15"/>
    <w:rsid w:val="00033206"/>
    <w:rsid w:val="0005513E"/>
    <w:rsid w:val="000634CF"/>
    <w:rsid w:val="00090EEB"/>
    <w:rsid w:val="000C5C89"/>
    <w:rsid w:val="000E6A06"/>
    <w:rsid w:val="000F15FD"/>
    <w:rsid w:val="0010295A"/>
    <w:rsid w:val="001232E4"/>
    <w:rsid w:val="001262CB"/>
    <w:rsid w:val="00135331"/>
    <w:rsid w:val="00137F59"/>
    <w:rsid w:val="00160D97"/>
    <w:rsid w:val="001616E3"/>
    <w:rsid w:val="00162214"/>
    <w:rsid w:val="00163A12"/>
    <w:rsid w:val="001649AC"/>
    <w:rsid w:val="00175AD3"/>
    <w:rsid w:val="00192EE3"/>
    <w:rsid w:val="001A1D23"/>
    <w:rsid w:val="001A2D31"/>
    <w:rsid w:val="001D27BC"/>
    <w:rsid w:val="001D33DA"/>
    <w:rsid w:val="001E13F9"/>
    <w:rsid w:val="002100AF"/>
    <w:rsid w:val="00215F92"/>
    <w:rsid w:val="0023106F"/>
    <w:rsid w:val="00236157"/>
    <w:rsid w:val="00246F81"/>
    <w:rsid w:val="00247A8D"/>
    <w:rsid w:val="00251347"/>
    <w:rsid w:val="0025468A"/>
    <w:rsid w:val="002923C4"/>
    <w:rsid w:val="002A3855"/>
    <w:rsid w:val="002A4872"/>
    <w:rsid w:val="002A610E"/>
    <w:rsid w:val="002A61BD"/>
    <w:rsid w:val="002A7F3F"/>
    <w:rsid w:val="002B1073"/>
    <w:rsid w:val="002E7776"/>
    <w:rsid w:val="002F3C66"/>
    <w:rsid w:val="002F7DD5"/>
    <w:rsid w:val="003248B9"/>
    <w:rsid w:val="00331EBE"/>
    <w:rsid w:val="0034152A"/>
    <w:rsid w:val="003642D7"/>
    <w:rsid w:val="003669FB"/>
    <w:rsid w:val="0037019B"/>
    <w:rsid w:val="0038542B"/>
    <w:rsid w:val="003A4BE0"/>
    <w:rsid w:val="003C47C3"/>
    <w:rsid w:val="003D00C0"/>
    <w:rsid w:val="003D07FC"/>
    <w:rsid w:val="003E453A"/>
    <w:rsid w:val="003F6632"/>
    <w:rsid w:val="00401DC1"/>
    <w:rsid w:val="004161F2"/>
    <w:rsid w:val="00421F6D"/>
    <w:rsid w:val="004244FB"/>
    <w:rsid w:val="0043251C"/>
    <w:rsid w:val="00476765"/>
    <w:rsid w:val="004868B6"/>
    <w:rsid w:val="00492F3C"/>
    <w:rsid w:val="004A56B1"/>
    <w:rsid w:val="004A57D0"/>
    <w:rsid w:val="004B023B"/>
    <w:rsid w:val="004D6D74"/>
    <w:rsid w:val="004F7AE4"/>
    <w:rsid w:val="0050009D"/>
    <w:rsid w:val="0052191B"/>
    <w:rsid w:val="00522FCE"/>
    <w:rsid w:val="00524F54"/>
    <w:rsid w:val="00535B5C"/>
    <w:rsid w:val="0054230B"/>
    <w:rsid w:val="00563045"/>
    <w:rsid w:val="00563DDA"/>
    <w:rsid w:val="005743E9"/>
    <w:rsid w:val="00590F17"/>
    <w:rsid w:val="00592BDE"/>
    <w:rsid w:val="005A1C64"/>
    <w:rsid w:val="005A4BD3"/>
    <w:rsid w:val="005A67C2"/>
    <w:rsid w:val="005C2FC9"/>
    <w:rsid w:val="005C5C82"/>
    <w:rsid w:val="005D1260"/>
    <w:rsid w:val="005D2608"/>
    <w:rsid w:val="005E43E9"/>
    <w:rsid w:val="005F5CC8"/>
    <w:rsid w:val="00603C69"/>
    <w:rsid w:val="006264BA"/>
    <w:rsid w:val="00631CCB"/>
    <w:rsid w:val="00634B51"/>
    <w:rsid w:val="00641736"/>
    <w:rsid w:val="00653612"/>
    <w:rsid w:val="00694250"/>
    <w:rsid w:val="006A1DD0"/>
    <w:rsid w:val="006C071A"/>
    <w:rsid w:val="006D11A4"/>
    <w:rsid w:val="006D1FBE"/>
    <w:rsid w:val="006D4A91"/>
    <w:rsid w:val="00715CDD"/>
    <w:rsid w:val="00725DBE"/>
    <w:rsid w:val="00736D1D"/>
    <w:rsid w:val="00747F1D"/>
    <w:rsid w:val="00781B42"/>
    <w:rsid w:val="00786DFA"/>
    <w:rsid w:val="007A43ED"/>
    <w:rsid w:val="007A4412"/>
    <w:rsid w:val="007B04B7"/>
    <w:rsid w:val="007D65EF"/>
    <w:rsid w:val="007E0CB2"/>
    <w:rsid w:val="007E1A63"/>
    <w:rsid w:val="007F4EF5"/>
    <w:rsid w:val="007F55A1"/>
    <w:rsid w:val="007F77C6"/>
    <w:rsid w:val="008136A7"/>
    <w:rsid w:val="008203FA"/>
    <w:rsid w:val="00825A91"/>
    <w:rsid w:val="00854505"/>
    <w:rsid w:val="0085660A"/>
    <w:rsid w:val="00871DAC"/>
    <w:rsid w:val="00876D0F"/>
    <w:rsid w:val="0088200E"/>
    <w:rsid w:val="00884F13"/>
    <w:rsid w:val="00887568"/>
    <w:rsid w:val="00892FB6"/>
    <w:rsid w:val="008946B3"/>
    <w:rsid w:val="008958CD"/>
    <w:rsid w:val="008B019F"/>
    <w:rsid w:val="008E2156"/>
    <w:rsid w:val="008F4282"/>
    <w:rsid w:val="00900293"/>
    <w:rsid w:val="00902DFD"/>
    <w:rsid w:val="00907142"/>
    <w:rsid w:val="00910AA4"/>
    <w:rsid w:val="00924C70"/>
    <w:rsid w:val="00925B9D"/>
    <w:rsid w:val="00934BBB"/>
    <w:rsid w:val="00960B01"/>
    <w:rsid w:val="00991353"/>
    <w:rsid w:val="009A00DF"/>
    <w:rsid w:val="00A05B6A"/>
    <w:rsid w:val="00A06787"/>
    <w:rsid w:val="00A07B26"/>
    <w:rsid w:val="00A10677"/>
    <w:rsid w:val="00A1231C"/>
    <w:rsid w:val="00A14C22"/>
    <w:rsid w:val="00A217FE"/>
    <w:rsid w:val="00A2242A"/>
    <w:rsid w:val="00A42039"/>
    <w:rsid w:val="00A47F93"/>
    <w:rsid w:val="00A603FD"/>
    <w:rsid w:val="00A632C9"/>
    <w:rsid w:val="00A641C8"/>
    <w:rsid w:val="00A702C9"/>
    <w:rsid w:val="00A86246"/>
    <w:rsid w:val="00A91C54"/>
    <w:rsid w:val="00AA3F7B"/>
    <w:rsid w:val="00AA4B45"/>
    <w:rsid w:val="00AA4C6C"/>
    <w:rsid w:val="00AB0AE7"/>
    <w:rsid w:val="00AB2C40"/>
    <w:rsid w:val="00AD1190"/>
    <w:rsid w:val="00AD307C"/>
    <w:rsid w:val="00AD383C"/>
    <w:rsid w:val="00AE1109"/>
    <w:rsid w:val="00AE1F03"/>
    <w:rsid w:val="00B001B3"/>
    <w:rsid w:val="00B10194"/>
    <w:rsid w:val="00B20AD1"/>
    <w:rsid w:val="00B31108"/>
    <w:rsid w:val="00B40738"/>
    <w:rsid w:val="00B660E4"/>
    <w:rsid w:val="00B77D38"/>
    <w:rsid w:val="00B90138"/>
    <w:rsid w:val="00BA3911"/>
    <w:rsid w:val="00BA6395"/>
    <w:rsid w:val="00BC1F1D"/>
    <w:rsid w:val="00BC2410"/>
    <w:rsid w:val="00BC66DD"/>
    <w:rsid w:val="00BD6FAF"/>
    <w:rsid w:val="00BD70FD"/>
    <w:rsid w:val="00BD718B"/>
    <w:rsid w:val="00C16025"/>
    <w:rsid w:val="00C3197D"/>
    <w:rsid w:val="00C41A7F"/>
    <w:rsid w:val="00C52BF5"/>
    <w:rsid w:val="00C6563F"/>
    <w:rsid w:val="00C662B2"/>
    <w:rsid w:val="00C6633E"/>
    <w:rsid w:val="00C812A6"/>
    <w:rsid w:val="00C91D48"/>
    <w:rsid w:val="00CB28F1"/>
    <w:rsid w:val="00CD1293"/>
    <w:rsid w:val="00CD6AF3"/>
    <w:rsid w:val="00CD6BDC"/>
    <w:rsid w:val="00CF58FA"/>
    <w:rsid w:val="00D03D57"/>
    <w:rsid w:val="00D25186"/>
    <w:rsid w:val="00D2699A"/>
    <w:rsid w:val="00D3145E"/>
    <w:rsid w:val="00D4003C"/>
    <w:rsid w:val="00D551DD"/>
    <w:rsid w:val="00D75583"/>
    <w:rsid w:val="00D90C81"/>
    <w:rsid w:val="00DA5671"/>
    <w:rsid w:val="00DA6FA6"/>
    <w:rsid w:val="00DB289D"/>
    <w:rsid w:val="00DB361F"/>
    <w:rsid w:val="00DC45E1"/>
    <w:rsid w:val="00DD489F"/>
    <w:rsid w:val="00DE52AA"/>
    <w:rsid w:val="00DF6E15"/>
    <w:rsid w:val="00E13BEC"/>
    <w:rsid w:val="00E179F1"/>
    <w:rsid w:val="00E44FEA"/>
    <w:rsid w:val="00E6496A"/>
    <w:rsid w:val="00E74AFE"/>
    <w:rsid w:val="00E77BFF"/>
    <w:rsid w:val="00E82749"/>
    <w:rsid w:val="00E95C3C"/>
    <w:rsid w:val="00EA5B83"/>
    <w:rsid w:val="00ED5697"/>
    <w:rsid w:val="00EE2B72"/>
    <w:rsid w:val="00F00328"/>
    <w:rsid w:val="00F16209"/>
    <w:rsid w:val="00F163EE"/>
    <w:rsid w:val="00F33A21"/>
    <w:rsid w:val="00F536E8"/>
    <w:rsid w:val="00F56265"/>
    <w:rsid w:val="00F616A1"/>
    <w:rsid w:val="00F642F6"/>
    <w:rsid w:val="00F6792F"/>
    <w:rsid w:val="00F77B93"/>
    <w:rsid w:val="00F851C4"/>
    <w:rsid w:val="00F91924"/>
    <w:rsid w:val="00F94CD8"/>
    <w:rsid w:val="00F97AE7"/>
    <w:rsid w:val="00F97C64"/>
    <w:rsid w:val="00FA1D83"/>
    <w:rsid w:val="00FA540B"/>
    <w:rsid w:val="00FB48C9"/>
    <w:rsid w:val="00FC6CC3"/>
    <w:rsid w:val="00FF769A"/>
    <w:rsid w:val="01FB1365"/>
    <w:rsid w:val="020E3E06"/>
    <w:rsid w:val="039328F3"/>
    <w:rsid w:val="04A7366A"/>
    <w:rsid w:val="091361A6"/>
    <w:rsid w:val="0E26630C"/>
    <w:rsid w:val="0E665407"/>
    <w:rsid w:val="11CA15AD"/>
    <w:rsid w:val="12C329EB"/>
    <w:rsid w:val="132A1CFF"/>
    <w:rsid w:val="173619DD"/>
    <w:rsid w:val="1A1E46C9"/>
    <w:rsid w:val="1ACC1271"/>
    <w:rsid w:val="1D792624"/>
    <w:rsid w:val="1E0951AA"/>
    <w:rsid w:val="203C5B8B"/>
    <w:rsid w:val="20A83122"/>
    <w:rsid w:val="216C182D"/>
    <w:rsid w:val="233C68DC"/>
    <w:rsid w:val="248A17FC"/>
    <w:rsid w:val="26562782"/>
    <w:rsid w:val="2CB257E6"/>
    <w:rsid w:val="2D713318"/>
    <w:rsid w:val="2DA12D96"/>
    <w:rsid w:val="315129E3"/>
    <w:rsid w:val="326F6A80"/>
    <w:rsid w:val="35BB5FEF"/>
    <w:rsid w:val="37557C86"/>
    <w:rsid w:val="37E813C8"/>
    <w:rsid w:val="38817D65"/>
    <w:rsid w:val="38CA7889"/>
    <w:rsid w:val="3971096A"/>
    <w:rsid w:val="3A2C44B5"/>
    <w:rsid w:val="3B762441"/>
    <w:rsid w:val="3BDD3943"/>
    <w:rsid w:val="3E6509B9"/>
    <w:rsid w:val="40922488"/>
    <w:rsid w:val="41A77FEE"/>
    <w:rsid w:val="420D7DF8"/>
    <w:rsid w:val="426F213B"/>
    <w:rsid w:val="42D07DE0"/>
    <w:rsid w:val="48DF781D"/>
    <w:rsid w:val="4E152C1B"/>
    <w:rsid w:val="4F7505EE"/>
    <w:rsid w:val="522B41CF"/>
    <w:rsid w:val="526F0F0F"/>
    <w:rsid w:val="52F45CCD"/>
    <w:rsid w:val="54E0475B"/>
    <w:rsid w:val="554F18E1"/>
    <w:rsid w:val="5878114F"/>
    <w:rsid w:val="59814033"/>
    <w:rsid w:val="5BCA6962"/>
    <w:rsid w:val="5CBD60F6"/>
    <w:rsid w:val="61E97263"/>
    <w:rsid w:val="645E2BB9"/>
    <w:rsid w:val="671043BA"/>
    <w:rsid w:val="6BE83CEB"/>
    <w:rsid w:val="703A5210"/>
    <w:rsid w:val="72494271"/>
    <w:rsid w:val="72D1172F"/>
    <w:rsid w:val="77054566"/>
    <w:rsid w:val="77DF6273"/>
    <w:rsid w:val="79716A4F"/>
    <w:rsid w:val="7B472AC3"/>
    <w:rsid w:val="7C7D790A"/>
    <w:rsid w:val="7E086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semiHidden/>
    <w:unhideWhenUsed/>
    <w:qFormat/>
    <w:uiPriority w:val="99"/>
    <w:rPr>
      <w:sz w:val="24"/>
    </w:rPr>
  </w:style>
  <w:style w:type="paragraph" w:styleId="10">
    <w:name w:val="annotation subject"/>
    <w:basedOn w:val="4"/>
    <w:next w:val="4"/>
    <w:link w:val="17"/>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annotation reference"/>
    <w:basedOn w:val="13"/>
    <w:semiHidden/>
    <w:unhideWhenUsed/>
    <w:qFormat/>
    <w:uiPriority w:val="99"/>
    <w:rPr>
      <w:sz w:val="21"/>
      <w:szCs w:val="21"/>
    </w:rPr>
  </w:style>
  <w:style w:type="character" w:customStyle="1" w:styleId="16">
    <w:name w:val="批注文字 字符"/>
    <w:basedOn w:val="13"/>
    <w:link w:val="4"/>
    <w:semiHidden/>
    <w:qFormat/>
    <w:uiPriority w:val="99"/>
    <w:rPr>
      <w:rFonts w:ascii="Times New Roman" w:hAnsi="Times New Roman" w:eastAsia="宋体" w:cs="Times New Roman"/>
      <w:szCs w:val="24"/>
    </w:rPr>
  </w:style>
  <w:style w:type="character" w:customStyle="1" w:styleId="17">
    <w:name w:val="批注主题 字符"/>
    <w:basedOn w:val="16"/>
    <w:link w:val="10"/>
    <w:semiHidden/>
    <w:qFormat/>
    <w:uiPriority w:val="99"/>
    <w:rPr>
      <w:rFonts w:ascii="Times New Roman" w:hAnsi="Times New Roman" w:eastAsia="宋体" w:cs="Times New Roman"/>
      <w:b/>
      <w:bCs/>
      <w:szCs w:val="24"/>
    </w:rPr>
  </w:style>
  <w:style w:type="character" w:customStyle="1" w:styleId="18">
    <w:name w:val="批注框文本 字符"/>
    <w:basedOn w:val="13"/>
    <w:link w:val="5"/>
    <w:semiHidden/>
    <w:qFormat/>
    <w:uiPriority w:val="99"/>
    <w:rPr>
      <w:rFonts w:ascii="Times New Roman" w:hAnsi="Times New Roman" w:eastAsia="宋体" w:cs="Times New Roman"/>
      <w:sz w:val="18"/>
      <w:szCs w:val="18"/>
    </w:rPr>
  </w:style>
  <w:style w:type="character" w:customStyle="1" w:styleId="19">
    <w:name w:val="页眉 字符"/>
    <w:basedOn w:val="13"/>
    <w:link w:val="7"/>
    <w:qFormat/>
    <w:uiPriority w:val="99"/>
    <w:rPr>
      <w:rFonts w:ascii="Times New Roman" w:hAnsi="Times New Roman" w:eastAsia="宋体" w:cs="Times New Roman"/>
      <w:sz w:val="18"/>
      <w:szCs w:val="18"/>
    </w:rPr>
  </w:style>
  <w:style w:type="character" w:customStyle="1" w:styleId="20">
    <w:name w:val="页脚 字符"/>
    <w:basedOn w:val="13"/>
    <w:link w:val="6"/>
    <w:qFormat/>
    <w:uiPriority w:val="99"/>
    <w:rPr>
      <w:rFonts w:ascii="Times New Roman" w:hAnsi="Times New Roman" w:eastAsia="宋体" w:cs="Times New Roman"/>
      <w:sz w:val="18"/>
      <w:szCs w:val="18"/>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2356</Words>
  <Characters>2407</Characters>
  <Lines>9</Lines>
  <Paragraphs>2</Paragraphs>
  <TotalTime>16</TotalTime>
  <ScaleCrop>false</ScaleCrop>
  <LinksUpToDate>false</LinksUpToDate>
  <CharactersWithSpaces>2541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2024-09-10T03:27:00Z</dcterms:created>
  <dc:creator>skd004</dc:creator>
  <cp:lastModifiedBy>ykx</cp:lastModifiedBy>
  <dcterms:modified xsi:type="dcterms:W3CDTF">2025-09-24T07:52:34Z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DF990FAB482549E4B773B6AABC2CDDB8_13</vt:lpwstr>
  </property>
  <property fmtid="{D5CDD505-2E9C-101B-9397-08002B2CF9AE}" pid="4" name="KSOTemplateDocerSaveRecord">
    <vt:lpwstr>eyJoZGlkIjoiOWJlZDUwNjNhYzAyNTM5ZmJkOWUyMjg4Mzk4OGE5NjIiLCJ1c2VySWQiOiI0MDcxMzUzMDcifQ==</vt:lpwstr>
  </property>
</Properties>
</file>