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重庆望变电气（集团）股份有限公司</w:t>
      </w:r>
    </w:p>
    <w:p>
      <w:pPr>
        <w:pStyle w:val="2"/>
        <w:jc w:val="center"/>
      </w:pPr>
      <w:r>
        <w:rPr>
          <w:rFonts w:hint="eastAsia"/>
        </w:rPr>
        <w:t>投资者关系活动记录表</w:t>
      </w:r>
    </w:p>
    <w:tbl>
      <w:tblPr>
        <w:tblStyle w:val="13"/>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2910"/>
        <w:gridCol w:w="3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2533" w:type="dxa"/>
            <w:tcBorders>
              <w:right w:val="single" w:color="auto" w:sz="4" w:space="0"/>
            </w:tcBorders>
          </w:tcPr>
          <w:p>
            <w:pPr>
              <w:spacing w:line="360" w:lineRule="auto"/>
              <w:jc w:val="center"/>
              <w:rPr>
                <w:b/>
                <w:bCs/>
                <w:sz w:val="24"/>
                <w:szCs w:val="32"/>
                <w:highlight w:val="none"/>
              </w:rPr>
            </w:pPr>
          </w:p>
          <w:p>
            <w:pPr>
              <w:spacing w:line="360" w:lineRule="auto"/>
              <w:jc w:val="center"/>
              <w:rPr>
                <w:b/>
                <w:bCs/>
                <w:sz w:val="24"/>
                <w:szCs w:val="32"/>
                <w:highlight w:val="none"/>
              </w:rPr>
            </w:pPr>
          </w:p>
          <w:p>
            <w:pPr>
              <w:spacing w:line="360" w:lineRule="auto"/>
              <w:jc w:val="center"/>
              <w:rPr>
                <w:b/>
                <w:bCs/>
                <w:sz w:val="24"/>
                <w:szCs w:val="32"/>
                <w:highlight w:val="none"/>
              </w:rPr>
            </w:pPr>
          </w:p>
          <w:p>
            <w:pPr>
              <w:spacing w:line="360" w:lineRule="auto"/>
              <w:jc w:val="center"/>
              <w:rPr>
                <w:b/>
                <w:bCs/>
                <w:sz w:val="24"/>
                <w:szCs w:val="32"/>
                <w:highlight w:val="none"/>
              </w:rPr>
            </w:pPr>
          </w:p>
          <w:p>
            <w:pPr>
              <w:spacing w:line="360" w:lineRule="auto"/>
              <w:jc w:val="center"/>
              <w:rPr>
                <w:b/>
                <w:bCs/>
                <w:sz w:val="24"/>
                <w:szCs w:val="32"/>
                <w:highlight w:val="none"/>
              </w:rPr>
            </w:pPr>
          </w:p>
          <w:p>
            <w:pPr>
              <w:spacing w:line="360" w:lineRule="auto"/>
              <w:jc w:val="center"/>
              <w:rPr>
                <w:rFonts w:ascii="仿宋" w:hAnsi="仿宋" w:eastAsia="仿宋" w:cs="仿宋"/>
                <w:b/>
                <w:bCs/>
                <w:spacing w:val="-2"/>
                <w:sz w:val="28"/>
                <w:szCs w:val="28"/>
                <w:highlight w:val="none"/>
              </w:rPr>
            </w:pPr>
            <w:r>
              <w:rPr>
                <w:rFonts w:hint="eastAsia" w:ascii="仿宋" w:hAnsi="仿宋" w:eastAsia="仿宋" w:cs="仿宋"/>
                <w:b/>
                <w:bCs/>
                <w:spacing w:val="-2"/>
                <w:sz w:val="28"/>
                <w:szCs w:val="28"/>
                <w:highlight w:val="none"/>
              </w:rPr>
              <w:t>投资者关系</w:t>
            </w:r>
          </w:p>
          <w:p>
            <w:pPr>
              <w:spacing w:line="360" w:lineRule="auto"/>
              <w:jc w:val="center"/>
              <w:rPr>
                <w:b/>
                <w:bCs/>
                <w:sz w:val="24"/>
                <w:szCs w:val="32"/>
                <w:highlight w:val="none"/>
              </w:rPr>
            </w:pPr>
            <w:r>
              <w:rPr>
                <w:rFonts w:hint="eastAsia" w:ascii="仿宋" w:hAnsi="仿宋" w:eastAsia="仿宋" w:cs="仿宋"/>
                <w:b/>
                <w:bCs/>
                <w:spacing w:val="-2"/>
                <w:sz w:val="28"/>
                <w:szCs w:val="28"/>
                <w:highlight w:val="none"/>
              </w:rPr>
              <w:t>活动类别</w:t>
            </w:r>
          </w:p>
        </w:tc>
        <w:tc>
          <w:tcPr>
            <w:tcW w:w="2910" w:type="dxa"/>
            <w:tcBorders>
              <w:top w:val="single" w:color="auto" w:sz="4" w:space="0"/>
              <w:left w:val="single" w:color="auto" w:sz="4" w:space="0"/>
              <w:bottom w:val="single" w:color="auto" w:sz="4" w:space="0"/>
              <w:right w:val="nil"/>
            </w:tcBorders>
          </w:tcPr>
          <w:p>
            <w:pPr>
              <w:spacing w:before="57" w:line="360" w:lineRule="auto"/>
              <w:jc w:val="left"/>
              <w:rPr>
                <w:rFonts w:ascii="仿宋" w:hAnsi="仿宋" w:eastAsia="仿宋" w:cs="仿宋"/>
                <w:sz w:val="28"/>
                <w:szCs w:val="28"/>
                <w:highlight w:val="none"/>
              </w:rPr>
            </w:pPr>
            <w:r>
              <w:rPr>
                <w:rFonts w:hint="eastAsia" w:ascii="仿宋" w:hAnsi="仿宋" w:eastAsia="仿宋" w:cs="仿宋"/>
                <w:spacing w:val="5"/>
                <w:sz w:val="28"/>
                <w:szCs w:val="28"/>
                <w:highlight w:val="none"/>
              </w:rPr>
              <w:sym w:font="Wingdings 2" w:char="00A3"/>
            </w:r>
            <w:r>
              <w:rPr>
                <w:rFonts w:hint="eastAsia" w:ascii="仿宋" w:hAnsi="仿宋" w:eastAsia="仿宋" w:cs="仿宋"/>
                <w:spacing w:val="6"/>
                <w:position w:val="7"/>
                <w:sz w:val="28"/>
                <w:szCs w:val="28"/>
                <w:highlight w:val="none"/>
              </w:rPr>
              <w:t>特定对象调</w:t>
            </w:r>
            <w:r>
              <w:rPr>
                <w:rFonts w:hint="eastAsia" w:ascii="仿宋" w:hAnsi="仿宋" w:eastAsia="仿宋" w:cs="仿宋"/>
                <w:spacing w:val="5"/>
                <w:position w:val="7"/>
                <w:sz w:val="28"/>
                <w:szCs w:val="28"/>
                <w:highlight w:val="none"/>
              </w:rPr>
              <w:t>研</w:t>
            </w:r>
          </w:p>
          <w:p>
            <w:pPr>
              <w:spacing w:line="360" w:lineRule="auto"/>
              <w:jc w:val="left"/>
              <w:rPr>
                <w:rFonts w:ascii="仿宋" w:hAnsi="仿宋" w:eastAsia="仿宋" w:cs="仿宋"/>
                <w:sz w:val="28"/>
                <w:szCs w:val="28"/>
                <w:highlight w:val="none"/>
              </w:rPr>
            </w:pPr>
            <w:r>
              <w:rPr>
                <w:rFonts w:hint="eastAsia" w:ascii="仿宋" w:hAnsi="仿宋" w:eastAsia="仿宋" w:cs="仿宋"/>
                <w:spacing w:val="5"/>
                <w:sz w:val="28"/>
                <w:szCs w:val="28"/>
                <w:highlight w:val="none"/>
              </w:rPr>
              <w:sym w:font="Wingdings 2" w:char="00A3"/>
            </w:r>
            <w:r>
              <w:rPr>
                <w:rFonts w:hint="eastAsia" w:ascii="仿宋" w:hAnsi="仿宋" w:eastAsia="仿宋" w:cs="仿宋"/>
                <w:spacing w:val="4"/>
                <w:sz w:val="28"/>
                <w:szCs w:val="28"/>
                <w:highlight w:val="none"/>
              </w:rPr>
              <w:t>媒体采访</w:t>
            </w:r>
          </w:p>
          <w:p>
            <w:pPr>
              <w:spacing w:before="66" w:line="360" w:lineRule="auto"/>
              <w:jc w:val="left"/>
              <w:rPr>
                <w:rFonts w:ascii="仿宋" w:hAnsi="仿宋" w:eastAsia="仿宋" w:cs="仿宋"/>
                <w:sz w:val="28"/>
                <w:szCs w:val="28"/>
                <w:highlight w:val="none"/>
              </w:rPr>
            </w:pPr>
            <w:r>
              <w:rPr>
                <w:rFonts w:hint="eastAsia" w:ascii="仿宋" w:hAnsi="仿宋" w:eastAsia="仿宋" w:cs="仿宋"/>
                <w:spacing w:val="5"/>
                <w:sz w:val="28"/>
                <w:szCs w:val="28"/>
                <w:highlight w:val="none"/>
              </w:rPr>
              <w:sym w:font="Wingdings 2" w:char="00A3"/>
            </w:r>
            <w:r>
              <w:rPr>
                <w:rFonts w:hint="eastAsia" w:ascii="仿宋" w:hAnsi="仿宋" w:eastAsia="仿宋" w:cs="仿宋"/>
                <w:spacing w:val="5"/>
                <w:sz w:val="28"/>
                <w:szCs w:val="28"/>
                <w:highlight w:val="none"/>
              </w:rPr>
              <w:t>新闻发布会</w:t>
            </w:r>
          </w:p>
          <w:p>
            <w:pPr>
              <w:spacing w:before="69" w:line="360" w:lineRule="auto"/>
              <w:jc w:val="left"/>
              <w:rPr>
                <w:rFonts w:ascii="仿宋" w:hAnsi="仿宋" w:eastAsia="仿宋" w:cs="仿宋"/>
                <w:sz w:val="28"/>
                <w:szCs w:val="28"/>
                <w:highlight w:val="none"/>
              </w:rPr>
            </w:pPr>
            <w:r>
              <w:rPr>
                <w:rFonts w:hint="eastAsia" w:ascii="仿宋" w:hAnsi="仿宋" w:eastAsia="仿宋" w:cs="仿宋"/>
                <w:spacing w:val="5"/>
                <w:sz w:val="28"/>
                <w:szCs w:val="28"/>
                <w:highlight w:val="none"/>
              </w:rPr>
              <w:sym w:font="Wingdings 2" w:char="00A3"/>
            </w:r>
            <w:r>
              <w:rPr>
                <w:rFonts w:hint="eastAsia" w:ascii="仿宋" w:hAnsi="仿宋" w:eastAsia="仿宋" w:cs="仿宋"/>
                <w:spacing w:val="4"/>
                <w:sz w:val="28"/>
                <w:szCs w:val="28"/>
                <w:highlight w:val="none"/>
              </w:rPr>
              <w:t>现场参观</w:t>
            </w:r>
          </w:p>
          <w:p>
            <w:pPr>
              <w:spacing w:before="69" w:line="360" w:lineRule="auto"/>
              <w:jc w:val="left"/>
              <w:rPr>
                <w:rFonts w:eastAsia="仿宋"/>
                <w:highlight w:val="none"/>
              </w:rPr>
            </w:pPr>
            <w:r>
              <w:rPr>
                <w:rFonts w:hint="eastAsia" w:ascii="仿宋" w:hAnsi="仿宋" w:eastAsia="仿宋" w:cs="仿宋"/>
                <w:spacing w:val="5"/>
                <w:sz w:val="28"/>
                <w:szCs w:val="28"/>
                <w:highlight w:val="none"/>
              </w:rPr>
              <w:sym w:font="Wingdings 2" w:char="0052"/>
            </w:r>
            <w:r>
              <w:rPr>
                <w:rFonts w:hint="eastAsia" w:ascii="仿宋" w:hAnsi="仿宋" w:eastAsia="仿宋" w:cs="仿宋"/>
                <w:spacing w:val="4"/>
                <w:sz w:val="28"/>
                <w:szCs w:val="28"/>
                <w:highlight w:val="none"/>
              </w:rPr>
              <w:t>其他</w:t>
            </w:r>
          </w:p>
        </w:tc>
        <w:tc>
          <w:tcPr>
            <w:tcW w:w="3307" w:type="dxa"/>
            <w:tcBorders>
              <w:top w:val="single" w:color="auto" w:sz="4" w:space="0"/>
              <w:left w:val="nil"/>
              <w:bottom w:val="single" w:color="auto" w:sz="4" w:space="0"/>
              <w:right w:val="single" w:color="auto" w:sz="4" w:space="0"/>
            </w:tcBorders>
          </w:tcPr>
          <w:p>
            <w:pPr>
              <w:spacing w:before="57" w:line="360" w:lineRule="auto"/>
              <w:jc w:val="left"/>
              <w:rPr>
                <w:rFonts w:ascii="仿宋" w:hAnsi="仿宋" w:eastAsia="仿宋" w:cs="仿宋"/>
                <w:sz w:val="28"/>
                <w:szCs w:val="28"/>
                <w:highlight w:val="none"/>
              </w:rPr>
            </w:pPr>
            <w:r>
              <w:rPr>
                <w:rFonts w:hint="eastAsia" w:ascii="仿宋" w:hAnsi="仿宋" w:eastAsia="仿宋" w:cs="仿宋"/>
                <w:spacing w:val="5"/>
                <w:sz w:val="28"/>
                <w:szCs w:val="28"/>
                <w:highlight w:val="none"/>
              </w:rPr>
              <w:sym w:font="Wingdings 2" w:char="00A3"/>
            </w:r>
            <w:r>
              <w:rPr>
                <w:rFonts w:hint="eastAsia" w:ascii="仿宋" w:hAnsi="仿宋" w:eastAsia="仿宋" w:cs="仿宋"/>
                <w:spacing w:val="5"/>
                <w:position w:val="7"/>
                <w:sz w:val="28"/>
                <w:szCs w:val="28"/>
                <w:highlight w:val="none"/>
              </w:rPr>
              <w:t>分析师会议</w:t>
            </w:r>
          </w:p>
          <w:p>
            <w:pPr>
              <w:spacing w:line="360" w:lineRule="auto"/>
              <w:jc w:val="left"/>
              <w:rPr>
                <w:rFonts w:ascii="仿宋" w:hAnsi="仿宋" w:eastAsia="仿宋" w:cs="仿宋"/>
                <w:sz w:val="28"/>
                <w:szCs w:val="28"/>
                <w:highlight w:val="none"/>
              </w:rPr>
            </w:pPr>
            <w:r>
              <w:rPr>
                <w:rFonts w:hint="eastAsia" w:ascii="仿宋" w:hAnsi="仿宋" w:eastAsia="仿宋" w:cs="仿宋"/>
                <w:spacing w:val="5"/>
                <w:sz w:val="28"/>
                <w:szCs w:val="28"/>
                <w:highlight w:val="none"/>
              </w:rPr>
              <w:sym w:font="Wingdings 2" w:char="00A3"/>
            </w:r>
            <w:r>
              <w:rPr>
                <w:rFonts w:hint="eastAsia" w:ascii="仿宋" w:hAnsi="仿宋" w:eastAsia="仿宋" w:cs="仿宋"/>
                <w:spacing w:val="5"/>
                <w:sz w:val="28"/>
                <w:szCs w:val="28"/>
                <w:highlight w:val="none"/>
              </w:rPr>
              <w:t>业绩说明会</w:t>
            </w:r>
          </w:p>
          <w:p>
            <w:pPr>
              <w:spacing w:before="69" w:line="360" w:lineRule="auto"/>
              <w:jc w:val="left"/>
              <w:rPr>
                <w:rFonts w:ascii="仿宋" w:hAnsi="仿宋" w:eastAsia="仿宋" w:cs="仿宋"/>
                <w:sz w:val="28"/>
                <w:szCs w:val="28"/>
                <w:highlight w:val="none"/>
              </w:rPr>
            </w:pPr>
            <w:r>
              <w:rPr>
                <w:rFonts w:hint="eastAsia" w:ascii="仿宋" w:hAnsi="仿宋" w:eastAsia="仿宋" w:cs="仿宋"/>
                <w:spacing w:val="5"/>
                <w:sz w:val="28"/>
                <w:szCs w:val="28"/>
                <w:highlight w:val="none"/>
              </w:rPr>
              <w:sym w:font="Wingdings 2" w:char="0052"/>
            </w:r>
            <w:r>
              <w:rPr>
                <w:rFonts w:hint="eastAsia" w:ascii="仿宋" w:hAnsi="仿宋" w:eastAsia="仿宋" w:cs="仿宋"/>
                <w:spacing w:val="4"/>
                <w:sz w:val="28"/>
                <w:szCs w:val="28"/>
                <w:highlight w:val="none"/>
              </w:rPr>
              <w:t>路演活动</w:t>
            </w:r>
          </w:p>
          <w:p>
            <w:pPr>
              <w:spacing w:line="360" w:lineRule="auto"/>
              <w:jc w:val="left"/>
              <w:rPr>
                <w:highlight w:val="none"/>
              </w:rPr>
            </w:pPr>
            <w:r>
              <w:rPr>
                <w:rFonts w:hint="eastAsia" w:ascii="仿宋" w:hAnsi="仿宋" w:eastAsia="仿宋" w:cs="仿宋"/>
                <w:spacing w:val="5"/>
                <w:sz w:val="28"/>
                <w:szCs w:val="28"/>
                <w:highlight w:val="none"/>
              </w:rPr>
              <w:sym w:font="Wingdings 2" w:char="00A3"/>
            </w:r>
            <w:r>
              <w:rPr>
                <w:rFonts w:hint="eastAsia" w:ascii="仿宋" w:hAnsi="仿宋" w:eastAsia="仿宋" w:cs="仿宋"/>
                <w:spacing w:val="5"/>
                <w:sz w:val="28"/>
                <w:szCs w:val="28"/>
                <w:highlight w:val="none"/>
              </w:rPr>
              <w:t>电话调研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533" w:type="dxa"/>
          </w:tcPr>
          <w:p>
            <w:pPr>
              <w:spacing w:line="360" w:lineRule="auto"/>
              <w:jc w:val="center"/>
              <w:rPr>
                <w:rFonts w:ascii="仿宋" w:hAnsi="仿宋" w:eastAsia="仿宋" w:cs="仿宋"/>
                <w:sz w:val="28"/>
                <w:szCs w:val="28"/>
                <w:highlight w:val="none"/>
              </w:rPr>
            </w:pPr>
            <w:r>
              <w:rPr>
                <w:rFonts w:hint="eastAsia" w:ascii="仿宋" w:hAnsi="仿宋" w:eastAsia="仿宋" w:cs="仿宋"/>
                <w:b/>
                <w:bCs/>
                <w:sz w:val="28"/>
                <w:szCs w:val="28"/>
                <w:highlight w:val="none"/>
              </w:rPr>
              <w:t>调研人员（单位）</w:t>
            </w:r>
          </w:p>
        </w:tc>
        <w:tc>
          <w:tcPr>
            <w:tcW w:w="6217" w:type="dxa"/>
            <w:gridSpan w:val="2"/>
            <w:tcBorders>
              <w:top w:val="single" w:color="auto" w:sz="4" w:space="0"/>
            </w:tcBorders>
            <w:vAlign w:val="center"/>
          </w:tcPr>
          <w:p>
            <w:pPr>
              <w:widowControl/>
              <w:spacing w:line="360" w:lineRule="auto"/>
              <w:ind w:left="276" w:hanging="276" w:hangingChars="100"/>
              <w:jc w:val="left"/>
              <w:rPr>
                <w:rFonts w:hint="default"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国泰海通资管 永赢基金 上海国际信托 泰康资产</w:t>
            </w:r>
          </w:p>
          <w:p>
            <w:pPr>
              <w:widowControl/>
              <w:spacing w:line="360" w:lineRule="auto"/>
              <w:ind w:left="276" w:hanging="276" w:hangingChars="100"/>
              <w:jc w:val="left"/>
              <w:rPr>
                <w:rFonts w:hint="eastAsia"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朱雀基金 华西证券 合智基金 真科基金 英大证</w:t>
            </w:r>
          </w:p>
          <w:p>
            <w:pPr>
              <w:widowControl/>
              <w:spacing w:line="360" w:lineRule="auto"/>
              <w:ind w:left="276" w:hanging="276" w:hangingChars="100"/>
              <w:jc w:val="left"/>
              <w:rPr>
                <w:rFonts w:hint="default"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券 赛马资本 嘉实基金 富荣基金 平安基金 招商</w:t>
            </w:r>
          </w:p>
          <w:p>
            <w:pPr>
              <w:widowControl/>
              <w:spacing w:line="360" w:lineRule="auto"/>
              <w:ind w:left="276" w:hanging="276" w:hangingChars="100"/>
              <w:jc w:val="left"/>
              <w:rPr>
                <w:rFonts w:ascii="仿宋" w:hAnsi="仿宋" w:eastAsia="仿宋" w:cs="仿宋"/>
                <w:sz w:val="28"/>
                <w:szCs w:val="28"/>
                <w:highlight w:val="none"/>
              </w:rPr>
            </w:pPr>
            <w:r>
              <w:rPr>
                <w:rFonts w:hint="eastAsia" w:ascii="仿宋" w:hAnsi="仿宋" w:eastAsia="仿宋" w:cs="仿宋"/>
                <w:spacing w:val="-2"/>
                <w:sz w:val="28"/>
                <w:szCs w:val="28"/>
                <w:highlight w:val="none"/>
                <w:lang w:val="en-US" w:eastAsia="zh-CN"/>
              </w:rPr>
              <w:t>基金  格林基金 金信基金 易方达基金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33" w:type="dxa"/>
          </w:tcPr>
          <w:p>
            <w:pPr>
              <w:spacing w:line="360" w:lineRule="auto"/>
              <w:jc w:val="center"/>
              <w:rPr>
                <w:rFonts w:ascii="仿宋" w:hAnsi="仿宋" w:eastAsia="仿宋" w:cs="仿宋"/>
                <w:b/>
                <w:bCs/>
                <w:spacing w:val="-2"/>
                <w:sz w:val="28"/>
                <w:szCs w:val="28"/>
                <w:highlight w:val="none"/>
              </w:rPr>
            </w:pPr>
            <w:r>
              <w:rPr>
                <w:rFonts w:hint="eastAsia" w:ascii="仿宋" w:hAnsi="仿宋" w:eastAsia="仿宋" w:cs="仿宋"/>
                <w:b/>
                <w:bCs/>
                <w:spacing w:val="-2"/>
                <w:sz w:val="28"/>
                <w:szCs w:val="28"/>
                <w:highlight w:val="none"/>
              </w:rPr>
              <w:t>调研时间</w:t>
            </w:r>
          </w:p>
        </w:tc>
        <w:tc>
          <w:tcPr>
            <w:tcW w:w="6217" w:type="dxa"/>
            <w:gridSpan w:val="2"/>
          </w:tcPr>
          <w:p>
            <w:pPr>
              <w:spacing w:line="360" w:lineRule="auto"/>
              <w:rPr>
                <w:rFonts w:hint="default"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rPr>
              <w:t>2025年</w:t>
            </w:r>
            <w:r>
              <w:rPr>
                <w:rFonts w:hint="eastAsia" w:ascii="仿宋" w:hAnsi="仿宋" w:eastAsia="仿宋" w:cs="仿宋"/>
                <w:spacing w:val="-2"/>
                <w:sz w:val="28"/>
                <w:szCs w:val="28"/>
                <w:highlight w:val="none"/>
                <w:lang w:val="en-US" w:eastAsia="zh-CN"/>
              </w:rPr>
              <w:t>9</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lang w:val="en-US" w:eastAsia="zh-CN"/>
              </w:rPr>
              <w:t>15</w:t>
            </w:r>
            <w:r>
              <w:rPr>
                <w:rFonts w:hint="eastAsia" w:ascii="仿宋" w:hAnsi="仿宋" w:eastAsia="仿宋" w:cs="仿宋"/>
                <w:spacing w:val="-2"/>
                <w:sz w:val="28"/>
                <w:szCs w:val="28"/>
                <w:highlight w:val="none"/>
              </w:rPr>
              <w:t>日</w:t>
            </w:r>
            <w:r>
              <w:rPr>
                <w:rFonts w:hint="eastAsia" w:ascii="仿宋" w:hAnsi="仿宋" w:eastAsia="仿宋" w:cs="仿宋"/>
                <w:spacing w:val="-2"/>
                <w:sz w:val="28"/>
                <w:szCs w:val="28"/>
                <w:highlight w:val="none"/>
                <w:lang w:val="en-US" w:eastAsia="zh-CN"/>
              </w:rPr>
              <w:t>-2025年9月25日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533" w:type="dxa"/>
          </w:tcPr>
          <w:p>
            <w:pPr>
              <w:spacing w:line="360" w:lineRule="auto"/>
              <w:jc w:val="center"/>
              <w:rPr>
                <w:rFonts w:ascii="仿宋" w:hAnsi="仿宋" w:eastAsia="仿宋" w:cs="仿宋"/>
                <w:b/>
                <w:bCs/>
                <w:spacing w:val="-2"/>
                <w:sz w:val="28"/>
                <w:szCs w:val="28"/>
                <w:highlight w:val="none"/>
              </w:rPr>
            </w:pPr>
            <w:r>
              <w:rPr>
                <w:rFonts w:hint="eastAsia" w:ascii="仿宋" w:hAnsi="仿宋" w:eastAsia="仿宋" w:cs="仿宋"/>
                <w:b/>
                <w:bCs/>
                <w:spacing w:val="-2"/>
                <w:sz w:val="28"/>
                <w:szCs w:val="28"/>
                <w:highlight w:val="none"/>
              </w:rPr>
              <w:t>调研地点</w:t>
            </w:r>
          </w:p>
        </w:tc>
        <w:tc>
          <w:tcPr>
            <w:tcW w:w="6217" w:type="dxa"/>
            <w:gridSpan w:val="2"/>
          </w:tcPr>
          <w:p>
            <w:pPr>
              <w:spacing w:line="360" w:lineRule="auto"/>
              <w:rPr>
                <w:rFonts w:hint="default"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上海、深圳策略会 重庆辖区投资者网上集体接待日</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533" w:type="dxa"/>
          </w:tcPr>
          <w:p>
            <w:pPr>
              <w:spacing w:line="360" w:lineRule="auto"/>
              <w:rPr>
                <w:b/>
                <w:bCs/>
                <w:sz w:val="24"/>
                <w:szCs w:val="32"/>
                <w:highlight w:val="none"/>
              </w:rPr>
            </w:pPr>
            <w:r>
              <w:rPr>
                <w:rFonts w:hint="eastAsia" w:ascii="仿宋" w:hAnsi="仿宋" w:eastAsia="仿宋" w:cs="仿宋"/>
                <w:b/>
                <w:bCs/>
                <w:spacing w:val="-2"/>
                <w:sz w:val="28"/>
                <w:szCs w:val="28"/>
                <w:highlight w:val="none"/>
              </w:rPr>
              <w:t>上市公司接待人员</w:t>
            </w:r>
          </w:p>
        </w:tc>
        <w:tc>
          <w:tcPr>
            <w:tcW w:w="6217" w:type="dxa"/>
            <w:gridSpan w:val="2"/>
          </w:tcPr>
          <w:p>
            <w:pPr>
              <w:spacing w:line="360" w:lineRule="auto"/>
              <w:jc w:val="left"/>
              <w:rPr>
                <w:rFonts w:ascii="仿宋" w:hAnsi="仿宋" w:eastAsia="仿宋" w:cs="仿宋"/>
                <w:spacing w:val="-2"/>
                <w:sz w:val="28"/>
                <w:szCs w:val="28"/>
                <w:highlight w:val="none"/>
              </w:rPr>
            </w:pPr>
            <w:r>
              <w:rPr>
                <w:rFonts w:hint="eastAsia" w:ascii="仿宋" w:hAnsi="仿宋" w:eastAsia="仿宋" w:cs="仿宋"/>
                <w:spacing w:val="-2"/>
                <w:sz w:val="28"/>
                <w:szCs w:val="28"/>
                <w:highlight w:val="none"/>
                <w:lang w:val="en-US" w:eastAsia="zh-CN"/>
              </w:rPr>
              <w:t>董秘、</w:t>
            </w:r>
            <w:r>
              <w:rPr>
                <w:rFonts w:hint="eastAsia" w:ascii="仿宋" w:hAnsi="仿宋" w:eastAsia="仿宋" w:cs="仿宋"/>
                <w:spacing w:val="-2"/>
                <w:sz w:val="28"/>
                <w:szCs w:val="28"/>
                <w:highlight w:val="none"/>
              </w:rPr>
              <w:t>证券部相关人员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33" w:type="dxa"/>
          </w:tcPr>
          <w:p>
            <w:pPr>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投资者关系活动主要内容</w:t>
            </w:r>
          </w:p>
        </w:tc>
        <w:tc>
          <w:tcPr>
            <w:tcW w:w="6217" w:type="dxa"/>
            <w:gridSpan w:val="2"/>
          </w:tcPr>
          <w:p>
            <w:pPr>
              <w:numPr>
                <w:ilvl w:val="0"/>
                <w:numId w:val="0"/>
              </w:numPr>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1</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2025年上半年公司主营业务收入都在上涨，主要是什么原因？</w:t>
            </w:r>
            <w:r>
              <w:rPr>
                <w:rFonts w:hint="eastAsia" w:ascii="仿宋" w:hAnsi="仿宋" w:eastAsia="仿宋" w:cs="仿宋"/>
                <w:b/>
                <w:bCs/>
                <w:sz w:val="28"/>
                <w:szCs w:val="28"/>
                <w:highlight w:val="none"/>
              </w:rPr>
              <w:br w:type="textWrapping"/>
            </w:r>
            <w:r>
              <w:rPr>
                <w:rFonts w:hint="eastAsia" w:ascii="仿宋" w:hAnsi="仿宋" w:eastAsia="仿宋" w:cs="仿宋"/>
                <w:b w:val="0"/>
                <w:bCs w:val="0"/>
                <w:sz w:val="28"/>
                <w:szCs w:val="28"/>
                <w:highlight w:val="none"/>
              </w:rPr>
              <w:t>答：公司输配电及控制设备业务增长主要系110kV及以上变压器产品营业收入从去年同期的2.01亿元增加到5.06亿元，增加3.05亿元；取向硅钢业务增长主要系销售量的增加，对外销售量增加5,396吨，实现营业收入增长0.48亿元。</w:t>
            </w:r>
          </w:p>
          <w:p>
            <w:pPr>
              <w:numPr>
                <w:ilvl w:val="0"/>
                <w:numId w:val="0"/>
              </w:numPr>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2、现目前八万吨高端磁性新材料项目的产出情况？</w:t>
            </w:r>
            <w:r>
              <w:rPr>
                <w:rFonts w:hint="eastAsia" w:ascii="仿宋" w:hAnsi="仿宋" w:eastAsia="仿宋" w:cs="仿宋"/>
                <w:b/>
                <w:bCs/>
                <w:sz w:val="28"/>
                <w:szCs w:val="28"/>
                <w:highlight w:val="none"/>
                <w:lang w:val="en-US" w:eastAsia="zh-CN"/>
              </w:rPr>
              <w:t>目前，</w:t>
            </w:r>
            <w:r>
              <w:rPr>
                <w:rFonts w:hint="eastAsia" w:ascii="仿宋" w:hAnsi="仿宋" w:eastAsia="仿宋" w:cs="仿宋"/>
                <w:b/>
                <w:bCs/>
                <w:sz w:val="28"/>
                <w:szCs w:val="28"/>
                <w:highlight w:val="none"/>
              </w:rPr>
              <w:t>高牌号取向硅钢净利润大概是多少个点</w:t>
            </w:r>
            <w:r>
              <w:rPr>
                <w:rFonts w:hint="eastAsia" w:ascii="仿宋" w:hAnsi="仿宋" w:eastAsia="仿宋" w:cs="仿宋"/>
                <w:b/>
                <w:bCs/>
                <w:sz w:val="28"/>
                <w:szCs w:val="28"/>
                <w:highlight w:val="none"/>
                <w:lang w:val="en-US" w:eastAsia="zh-CN"/>
              </w:rPr>
              <w:t>?</w:t>
            </w:r>
            <w:r>
              <w:rPr>
                <w:rFonts w:hint="eastAsia" w:ascii="仿宋" w:hAnsi="仿宋" w:eastAsia="仿宋" w:cs="仿宋"/>
                <w:b/>
                <w:bCs/>
                <w:sz w:val="28"/>
                <w:szCs w:val="28"/>
                <w:highlight w:val="none"/>
              </w:rPr>
              <w:t>公司取向硅钢是否供应小米起床电机</w:t>
            </w:r>
            <w:r>
              <w:rPr>
                <w:rFonts w:hint="eastAsia" w:ascii="仿宋" w:hAnsi="仿宋" w:eastAsia="仿宋" w:cs="仿宋"/>
                <w:b/>
                <w:bCs/>
                <w:sz w:val="28"/>
                <w:szCs w:val="28"/>
                <w:highlight w:val="none"/>
                <w:lang w:eastAsia="zh-CN"/>
              </w:rPr>
              <w:t>？</w:t>
            </w:r>
          </w:p>
          <w:p>
            <w:pPr>
              <w:numPr>
                <w:ilvl w:val="0"/>
                <w:numId w:val="0"/>
              </w:numPr>
              <w:ind w:firstLine="0" w:firstLineChars="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答：八万吨高端磁性新材料项目已于2024年6月全线投产。截至目前项目生产稳定，</w:t>
            </w:r>
            <w:r>
              <w:rPr>
                <w:rFonts w:hint="eastAsia" w:ascii="仿宋" w:hAnsi="仿宋" w:eastAsia="仿宋" w:cs="仿宋"/>
                <w:b w:val="0"/>
                <w:bCs w:val="0"/>
                <w:sz w:val="28"/>
                <w:szCs w:val="28"/>
                <w:highlight w:val="none"/>
                <w:lang w:val="en-US" w:eastAsia="zh-CN"/>
              </w:rPr>
              <w:t>满产满销</w:t>
            </w:r>
            <w:r>
              <w:rPr>
                <w:rFonts w:hint="eastAsia" w:ascii="仿宋" w:hAnsi="仿宋" w:eastAsia="仿宋" w:cs="仿宋"/>
                <w:b w:val="0"/>
                <w:bCs w:val="0"/>
                <w:sz w:val="28"/>
                <w:szCs w:val="28"/>
                <w:highlight w:val="none"/>
              </w:rPr>
              <w:t>，现目前090/095为主流牌号，牌号结构显示截止目前，085及以上牌号产出占比约20%左右，预期后期公司在技术团队、供应商等各方协同下，高牌号产出占比有望持续提升，具体数据以实际产出为准。</w:t>
            </w:r>
            <w:r>
              <w:rPr>
                <w:rFonts w:hint="eastAsia" w:ascii="仿宋" w:hAnsi="仿宋" w:eastAsia="仿宋" w:cs="仿宋"/>
                <w:sz w:val="28"/>
                <w:szCs w:val="28"/>
                <w:highlight w:val="none"/>
              </w:rPr>
              <w:t>2025年上半年公司取向硅钢毛利率最高</w:t>
            </w:r>
            <w:r>
              <w:rPr>
                <w:rFonts w:hint="eastAsia" w:ascii="仿宋" w:hAnsi="仿宋" w:eastAsia="仿宋" w:cs="仿宋"/>
                <w:sz w:val="28"/>
                <w:szCs w:val="28"/>
                <w:highlight w:val="none"/>
                <w:lang w:val="en-US" w:eastAsia="zh-CN"/>
              </w:rPr>
              <w:t>达</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取向硅钢主要用于各类变压器</w:t>
            </w:r>
            <w:r>
              <w:rPr>
                <w:rFonts w:hint="eastAsia" w:ascii="仿宋" w:hAnsi="仿宋" w:eastAsia="仿宋" w:cs="仿宋"/>
                <w:sz w:val="28"/>
                <w:szCs w:val="28"/>
                <w:highlight w:val="none"/>
                <w:lang w:eastAsia="zh-CN"/>
              </w:rPr>
              <w:t>。</w:t>
            </w:r>
          </w:p>
          <w:p>
            <w:pPr>
              <w:numPr>
                <w:ilvl w:val="0"/>
                <w:numId w:val="0"/>
              </w:numPr>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3、2025年取向硅钢价格变化趋势及后续价格展望？</w:t>
            </w:r>
          </w:p>
          <w:p>
            <w:pPr>
              <w:numPr>
                <w:ilvl w:val="0"/>
                <w:numId w:val="0"/>
              </w:numPr>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答：历年取向硅钢价格走势看，价格涨跌基本形成了3至5年一次波动的规律。2025年取向硅钢价格基本持平，价格有开始缓慢回升的趋势，但整体涨幅不算大，未能恢复到2023年降价前的价格水平。</w:t>
            </w:r>
            <w:r>
              <w:rPr>
                <w:rFonts w:hint="eastAsia" w:ascii="仿宋" w:hAnsi="仿宋" w:eastAsia="仿宋" w:cs="仿宋"/>
                <w:b w:val="0"/>
                <w:bCs w:val="0"/>
                <w:sz w:val="28"/>
                <w:szCs w:val="28"/>
                <w:highlight w:val="none"/>
              </w:rPr>
              <w:br w:type="textWrapping"/>
            </w:r>
            <w:r>
              <w:rPr>
                <w:rFonts w:hint="eastAsia" w:ascii="仿宋" w:hAnsi="仿宋" w:eastAsia="仿宋" w:cs="仿宋"/>
                <w:b w:val="0"/>
                <w:bCs w:val="0"/>
                <w:sz w:val="28"/>
                <w:szCs w:val="28"/>
                <w:highlight w:val="none"/>
              </w:rPr>
              <w:t xml:space="preserve">   我们认为在原有国家的“双碳”、“变压器能效升级”政策、中国电力变压器能效限定值及能效等级新标准、关于新形势下配电网高质量发展的指导意见以及其他一系列推进“电力装备绿色低碳”的政策基础上，又恰逢能源革命与AI算力风口，进一步拉动了输配电设备的需求，加之市场化产能调整基本结束，预计未来一般取向硅钢的市场需求会继续减少，高磁感取向硅钢需求增加，取向硅钢价格在经历市场调整后将趋向稳定。</w:t>
            </w:r>
          </w:p>
          <w:p>
            <w:pPr>
              <w:numPr>
                <w:ilvl w:val="-1"/>
                <w:numId w:val="0"/>
              </w:numPr>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bCs/>
                <w:sz w:val="28"/>
                <w:szCs w:val="28"/>
                <w:highlight w:val="none"/>
              </w:rPr>
              <w:t>4、全年预期取向硅钢出货量是多少，毛利率是否还有提升？</w:t>
            </w:r>
            <w:r>
              <w:rPr>
                <w:rFonts w:hint="eastAsia" w:ascii="仿宋" w:hAnsi="仿宋" w:eastAsia="仿宋" w:cs="仿宋"/>
                <w:b/>
                <w:bCs/>
                <w:sz w:val="28"/>
                <w:szCs w:val="28"/>
                <w:highlight w:val="none"/>
              </w:rPr>
              <w:br w:type="textWrapping"/>
            </w:r>
            <w:r>
              <w:rPr>
                <w:rFonts w:hint="eastAsia" w:ascii="仿宋" w:hAnsi="仿宋" w:eastAsia="仿宋" w:cs="仿宋"/>
                <w:b w:val="0"/>
                <w:bCs w:val="0"/>
                <w:sz w:val="28"/>
                <w:szCs w:val="28"/>
                <w:highlight w:val="none"/>
              </w:rPr>
              <w:t>答：公司取向硅钢全年预期出货量17-18万吨，相关数据以实际产出为准；截至上半年，取向硅钢产品毛利率已有3-5%的提升</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取向硅钢毛利率受原材料和牌号结构等众多因素影响，毛利率具体以产出和市场行情为准。</w:t>
            </w:r>
          </w:p>
          <w:p>
            <w:pPr>
              <w:numPr>
                <w:ilvl w:val="0"/>
                <w:numId w:val="0"/>
              </w:numPr>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、2025年公司业绩</w:t>
            </w:r>
            <w:r>
              <w:rPr>
                <w:rFonts w:hint="eastAsia" w:ascii="仿宋" w:hAnsi="仿宋" w:eastAsia="仿宋" w:cs="仿宋"/>
                <w:b/>
                <w:bCs/>
                <w:sz w:val="28"/>
                <w:szCs w:val="28"/>
                <w:highlight w:val="none"/>
                <w:lang w:val="en-US" w:eastAsia="zh-CN"/>
              </w:rPr>
              <w:t>预期</w:t>
            </w:r>
            <w:r>
              <w:rPr>
                <w:rFonts w:hint="eastAsia" w:ascii="仿宋" w:hAnsi="仿宋" w:eastAsia="仿宋" w:cs="仿宋"/>
                <w:b/>
                <w:bCs/>
                <w:sz w:val="28"/>
                <w:szCs w:val="28"/>
                <w:highlight w:val="none"/>
              </w:rPr>
              <w:t>增长</w:t>
            </w:r>
            <w:r>
              <w:rPr>
                <w:rFonts w:hint="eastAsia" w:ascii="仿宋" w:hAnsi="仿宋" w:eastAsia="仿宋" w:cs="仿宋"/>
                <w:b/>
                <w:bCs/>
                <w:sz w:val="28"/>
                <w:szCs w:val="28"/>
                <w:highlight w:val="none"/>
                <w:lang w:val="en-US" w:eastAsia="zh-CN"/>
              </w:rPr>
              <w:t>多少</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rPr>
              <w:br w:type="textWrapping"/>
            </w:r>
            <w:r>
              <w:rPr>
                <w:rFonts w:hint="eastAsia" w:ascii="仿宋" w:hAnsi="仿宋" w:eastAsia="仿宋" w:cs="仿宋"/>
                <w:b w:val="0"/>
                <w:bCs w:val="0"/>
                <w:sz w:val="28"/>
                <w:szCs w:val="28"/>
                <w:highlight w:val="none"/>
              </w:rPr>
              <w:t>答：</w:t>
            </w:r>
            <w:bookmarkStart w:id="0" w:name="OLE_LINK1"/>
            <w:r>
              <w:rPr>
                <w:rFonts w:hint="eastAsia" w:ascii="仿宋" w:hAnsi="仿宋" w:eastAsia="仿宋" w:cs="仿宋"/>
                <w:sz w:val="28"/>
                <w:szCs w:val="28"/>
                <w:highlight w:val="none"/>
              </w:rPr>
              <w:t>公司输配电及控制设备电压等级向“上”战略性切入220kV及以上高端电力变压器市场，助推产品高质量发展；公司高端产能+高端牌号双突破，085牌号性能大幅提升，075牌号研发立项及部分技术取得突破，公司取向硅钢行业话语权与竞争力全面升级；募投项目逐步建成，智能成套项目提供智能化配电设备及系列化智能解决方案，将有力推动公司抢占高端市场；变压器技改项目全面交付后，电力变压器产能从750万kVA增加至1150万kVA，产能提升53.3%。另外， 公司国际化战略取得一定积极进展，公司有信心提升相关业绩，相关业绩详见公司公告</w:t>
            </w:r>
            <w:r>
              <w:rPr>
                <w:rFonts w:hint="eastAsia" w:ascii="仿宋" w:hAnsi="仿宋" w:eastAsia="仿宋" w:cs="仿宋"/>
                <w:b w:val="0"/>
                <w:bCs w:val="0"/>
                <w:sz w:val="28"/>
                <w:szCs w:val="28"/>
                <w:highlight w:val="none"/>
                <w:lang w:val="en-US" w:eastAsia="zh-CN"/>
              </w:rPr>
              <w:t>。</w:t>
            </w:r>
          </w:p>
          <w:bookmarkEnd w:id="0"/>
          <w:p>
            <w:pPr>
              <w:numPr>
                <w:ilvl w:val="0"/>
                <w:numId w:val="0"/>
              </w:numPr>
              <w:jc w:val="left"/>
              <w:rPr>
                <w:rFonts w:hint="default" w:ascii="仿宋" w:hAnsi="仿宋" w:eastAsia="仿宋" w:cs="仿宋"/>
                <w:b w:val="0"/>
                <w:bCs w:val="0"/>
                <w:sz w:val="28"/>
                <w:szCs w:val="28"/>
                <w:highlight w:val="none"/>
                <w:lang w:val="en-US" w:eastAsia="zh-CN"/>
              </w:rPr>
            </w:pP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t>公司公告提及公司投资建设兆瓦级智能超充网络建设项目，现目前项目进展如何？建设周期多久？ 在输配电与硅钢业务仍需资金支持产能升级的情况下，</w:t>
            </w:r>
            <w:r>
              <w:rPr>
                <w:rFonts w:hint="eastAsia" w:ascii="仿宋" w:hAnsi="仿宋" w:eastAsia="仿宋" w:cs="仿宋"/>
                <w:b/>
                <w:bCs/>
                <w:sz w:val="28"/>
                <w:szCs w:val="28"/>
                <w:highlight w:val="none"/>
                <w:lang w:val="en-US" w:eastAsia="zh-CN"/>
              </w:rPr>
              <w:t>该项目</w:t>
            </w:r>
            <w:r>
              <w:rPr>
                <w:rFonts w:hint="eastAsia" w:ascii="仿宋" w:hAnsi="仿宋" w:eastAsia="仿宋" w:cs="仿宋"/>
                <w:b/>
                <w:bCs/>
                <w:sz w:val="28"/>
                <w:szCs w:val="28"/>
                <w:highlight w:val="none"/>
              </w:rPr>
              <w:t>总投资</w:t>
            </w:r>
            <w:r>
              <w:rPr>
                <w:rFonts w:hint="eastAsia" w:ascii="仿宋" w:hAnsi="仿宋" w:eastAsia="仿宋" w:cs="仿宋"/>
                <w:b/>
                <w:bCs/>
                <w:sz w:val="28"/>
                <w:szCs w:val="28"/>
                <w:highlight w:val="none"/>
                <w:lang w:val="en-US" w:eastAsia="zh-CN"/>
              </w:rPr>
              <w:t>是否</w:t>
            </w:r>
            <w:r>
              <w:rPr>
                <w:rFonts w:hint="eastAsia" w:ascii="仿宋" w:hAnsi="仿宋" w:eastAsia="仿宋" w:cs="仿宋"/>
                <w:b/>
                <w:bCs/>
                <w:sz w:val="28"/>
                <w:szCs w:val="28"/>
                <w:highlight w:val="none"/>
              </w:rPr>
              <w:t>如何确保新业务投入</w:t>
            </w:r>
            <w:bookmarkStart w:id="1" w:name="OLE_LINK2"/>
            <w:r>
              <w:rPr>
                <w:rFonts w:hint="eastAsia" w:ascii="仿宋" w:hAnsi="仿宋" w:eastAsia="仿宋" w:cs="仿宋"/>
                <w:b/>
                <w:bCs/>
                <w:sz w:val="28"/>
                <w:szCs w:val="28"/>
                <w:highlight w:val="none"/>
              </w:rPr>
              <w:t>不会对核心业务的研发及扩产造成挤压</w:t>
            </w:r>
            <w:bookmarkEnd w:id="1"/>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rPr>
              <w:br w:type="textWrapping"/>
            </w:r>
            <w:r>
              <w:rPr>
                <w:rFonts w:hint="eastAsia" w:ascii="仿宋" w:hAnsi="仿宋" w:eastAsia="仿宋" w:cs="仿宋"/>
                <w:b w:val="0"/>
                <w:bCs w:val="0"/>
                <w:sz w:val="28"/>
                <w:szCs w:val="28"/>
                <w:highlight w:val="none"/>
              </w:rPr>
              <w:t>答：截至目前，公司该项目按计划建设中；项目建设总工期16个月，实际以项目具体进展</w:t>
            </w:r>
            <w:r>
              <w:rPr>
                <w:rFonts w:hint="eastAsia" w:ascii="仿宋" w:hAnsi="仿宋" w:eastAsia="仿宋" w:cs="仿宋"/>
                <w:b w:val="0"/>
                <w:bCs w:val="0"/>
                <w:sz w:val="28"/>
                <w:szCs w:val="28"/>
                <w:highlight w:val="none"/>
                <w:lang w:val="en-US" w:eastAsia="zh-CN"/>
              </w:rPr>
              <w:t>为</w:t>
            </w:r>
            <w:r>
              <w:rPr>
                <w:rFonts w:hint="eastAsia" w:ascii="仿宋" w:hAnsi="仿宋" w:eastAsia="仿宋" w:cs="仿宋"/>
                <w:b w:val="0"/>
                <w:bCs w:val="0"/>
                <w:sz w:val="28"/>
                <w:szCs w:val="28"/>
                <w:highlight w:val="none"/>
              </w:rPr>
              <w:t>准；</w:t>
            </w:r>
            <w:r>
              <w:rPr>
                <w:rFonts w:hint="eastAsia" w:ascii="仿宋" w:hAnsi="仿宋" w:eastAsia="仿宋" w:cs="仿宋"/>
                <w:sz w:val="28"/>
                <w:szCs w:val="28"/>
                <w:highlight w:val="none"/>
              </w:rPr>
              <w:t>公司在投资决策过程中，已经充分考虑公司当前资金状况和未来资金需求以后而做出的决策</w:t>
            </w:r>
            <w:r>
              <w:rPr>
                <w:rFonts w:hint="eastAsia" w:ascii="仿宋" w:hAnsi="仿宋" w:eastAsia="仿宋" w:cs="仿宋"/>
                <w:sz w:val="28"/>
                <w:szCs w:val="28"/>
                <w:highlight w:val="none"/>
                <w:lang w:eastAsia="zh-CN"/>
              </w:rPr>
              <w:t>，</w:t>
            </w:r>
            <w:r>
              <w:rPr>
                <w:rFonts w:hint="eastAsia" w:ascii="仿宋" w:hAnsi="仿宋" w:eastAsia="仿宋" w:cs="仿宋"/>
                <w:b w:val="0"/>
                <w:bCs w:val="0"/>
                <w:sz w:val="28"/>
                <w:szCs w:val="28"/>
                <w:highlight w:val="none"/>
              </w:rPr>
              <w:t>不会对核心业务的研发及扩产造成挤压</w:t>
            </w:r>
            <w:r>
              <w:rPr>
                <w:rFonts w:hint="eastAsia" w:ascii="仿宋" w:hAnsi="仿宋" w:eastAsia="仿宋" w:cs="仿宋"/>
                <w:sz w:val="28"/>
                <w:szCs w:val="28"/>
                <w:highlight w:val="none"/>
              </w:rPr>
              <w:t>。</w:t>
            </w:r>
          </w:p>
          <w:p>
            <w:pPr>
              <w:numPr>
                <w:ilvl w:val="0"/>
                <w:numId w:val="0"/>
              </w:numPr>
              <w:spacing w:line="240" w:lineRule="auto"/>
              <w:jc w:val="left"/>
              <w:rPr>
                <w:rFonts w:hint="eastAsia" w:ascii="仿宋" w:hAnsi="仿宋" w:eastAsia="仿宋" w:cs="仿宋"/>
                <w:b w:val="0"/>
                <w:bCs w:val="0"/>
                <w:sz w:val="28"/>
                <w:szCs w:val="28"/>
                <w:highlight w:val="none"/>
              </w:rPr>
            </w:pPr>
            <w:r>
              <w:rPr>
                <w:rFonts w:hint="eastAsia" w:ascii="仿宋" w:hAnsi="仿宋" w:eastAsia="仿宋" w:cs="仿宋"/>
                <w:b/>
                <w:bCs/>
                <w:sz w:val="28"/>
                <w:szCs w:val="28"/>
                <w:highlight w:val="none"/>
                <w:lang w:val="en-US" w:eastAsia="zh-CN"/>
              </w:rPr>
              <w:t>7、</w:t>
            </w:r>
            <w:r>
              <w:rPr>
                <w:rFonts w:hint="eastAsia" w:ascii="仿宋" w:hAnsi="仿宋" w:eastAsia="仿宋" w:cs="仿宋"/>
                <w:b/>
                <w:bCs/>
                <w:sz w:val="28"/>
                <w:szCs w:val="28"/>
                <w:highlight w:val="none"/>
              </w:rPr>
              <w:t>《中国能建2025年度中低压开关柜集中采购项目》的公示信息，公司是该项目（002）6kV/10kV/12kV开关柜的中标候选人</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最终定额是否确定？另外，</w:t>
            </w:r>
            <w:r>
              <w:rPr>
                <w:rFonts w:hint="eastAsia" w:ascii="仿宋" w:hAnsi="仿宋" w:eastAsia="仿宋" w:cs="仿宋"/>
                <w:b/>
                <w:bCs/>
                <w:sz w:val="28"/>
                <w:szCs w:val="28"/>
                <w:highlight w:val="none"/>
              </w:rPr>
              <w:t>公司智能成套电气设备相关项目有何最新发展？</w:t>
            </w:r>
            <w:r>
              <w:rPr>
                <w:rFonts w:hint="eastAsia" w:ascii="仿宋" w:hAnsi="仿宋" w:eastAsia="仿宋" w:cs="仿宋"/>
                <w:b/>
                <w:bCs/>
                <w:sz w:val="28"/>
                <w:szCs w:val="28"/>
                <w:highlight w:val="none"/>
              </w:rPr>
              <w:br w:type="textWrapping"/>
            </w:r>
            <w:r>
              <w:rPr>
                <w:rFonts w:hint="eastAsia" w:ascii="仿宋" w:hAnsi="仿宋" w:eastAsia="仿宋" w:cs="仿宋"/>
                <w:b w:val="0"/>
                <w:bCs w:val="0"/>
                <w:sz w:val="28"/>
                <w:szCs w:val="28"/>
                <w:highlight w:val="none"/>
              </w:rPr>
              <w:t>答：公司是该项目（002）6kV/10kV/12kV开关柜的中标候选人，公司报价10.9亿元。目前</w:t>
            </w:r>
            <w:r>
              <w:rPr>
                <w:rFonts w:hint="eastAsia" w:ascii="仿宋" w:hAnsi="仿宋" w:eastAsia="仿宋" w:cs="仿宋"/>
                <w:b w:val="0"/>
                <w:bCs w:val="0"/>
                <w:sz w:val="28"/>
                <w:szCs w:val="28"/>
                <w:highlight w:val="none"/>
                <w:lang w:val="en-US" w:eastAsia="zh-CN"/>
              </w:rPr>
              <w:t>还未开始履约。</w:t>
            </w:r>
          </w:p>
          <w:p>
            <w:pPr>
              <w:numPr>
                <w:ilvl w:val="0"/>
                <w:numId w:val="0"/>
              </w:numPr>
              <w:spacing w:line="240" w:lineRule="auto"/>
              <w:ind w:firstLine="560" w:firstLineChars="200"/>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公司推出了环保充气柜、低压智能柜、箱式变电站、MVnex/BlokSeT授权柜4款智能成套电气系统新产品。预计新产品的市场需求将在未来3-5年持续增长，新产品能够有效满足新能源、工业、数据中心、城市电网等多个行业的高端需求，进一步丰富公司产品线，</w:t>
            </w:r>
            <w:r>
              <w:rPr>
                <w:rFonts w:hint="eastAsia" w:ascii="仿宋" w:hAnsi="仿宋" w:eastAsia="仿宋" w:cs="仿宋"/>
                <w:b w:val="0"/>
                <w:bCs w:val="0"/>
                <w:sz w:val="28"/>
                <w:szCs w:val="28"/>
                <w:highlight w:val="none"/>
                <w:lang w:val="en-US" w:eastAsia="zh-CN"/>
              </w:rPr>
              <w:t>持续</w:t>
            </w:r>
            <w:r>
              <w:rPr>
                <w:rFonts w:hint="eastAsia" w:ascii="仿宋" w:hAnsi="仿宋" w:eastAsia="仿宋" w:cs="仿宋"/>
                <w:b w:val="0"/>
                <w:bCs w:val="0"/>
                <w:sz w:val="28"/>
                <w:szCs w:val="28"/>
                <w:highlight w:val="none"/>
              </w:rPr>
              <w:t>提升公司在智能配电领域的市场竞争力。</w:t>
            </w:r>
          </w:p>
          <w:p>
            <w:pPr>
              <w:numPr>
                <w:ilvl w:val="0"/>
                <w:numId w:val="0"/>
              </w:numPr>
              <w:spacing w:line="240" w:lineRule="auto"/>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8、公司是否研发了固态变压器产品？</w:t>
            </w:r>
          </w:p>
          <w:p>
            <w:pPr>
              <w:numPr>
                <w:ilvl w:val="0"/>
                <w:numId w:val="0"/>
              </w:numPr>
              <w:spacing w:line="240" w:lineRule="auto"/>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答：固态变压器，也称为电力电子变压器或智能变压器，是一种利用先进电力电子技术和高频变换技术来实现传统电磁变压器功能（即电压变换、电气隔离和能量传递）的创新型电力设备，它不仅仅是一个简单的“变压器”替代品，它是一个集成了多种功能的智能化、多端口的能量路由枢纽，是未来电力系统演进的重要方向。公司高度重视前沿产品的发展情况，公司会持续致力于技术提升，以丰富公司产品相关运用领域。</w:t>
            </w:r>
          </w:p>
          <w:p>
            <w:pPr>
              <w:numPr>
                <w:ilvl w:val="0"/>
                <w:numId w:val="0"/>
              </w:numPr>
              <w:spacing w:line="240" w:lineRule="auto"/>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9、公司是否有产品参与到雅鲁藏布江下游水电站的建设中？后期针对此此项目规划如何？</w:t>
            </w:r>
          </w:p>
          <w:p>
            <w:pPr>
              <w:numPr>
                <w:ilvl w:val="0"/>
                <w:numId w:val="0"/>
              </w:numPr>
              <w:spacing w:line="240" w:lineRule="auto"/>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答：云变电气从上世纪40年代开始制造35kV及以下高原型电力变和配电变，60年代开始制造110kV高原型电力变，90年代开始制造220kV高原型电力变，2001年研发出适合高原运输条件的专利产品高原型组合式电力变压器，为计划经济时期高原型变压器定点生产厂家。西藏地区首台110kV，220kV电力变均为云变生产，西藏一期、二期、三期农网、城网改造及户户通电工程配变均为云变提供，占有率达到70%，最远供货阿里地区；公司已经为雅下项目签订电压等级分别覆盖35-220kV的施工变39台；公司将持续跟踪该项目建设进度和招标情况，积极参与项目投标。</w:t>
            </w:r>
          </w:p>
          <w:p>
            <w:pPr>
              <w:numPr>
                <w:ilvl w:val="0"/>
                <w:numId w:val="0"/>
              </w:numPr>
              <w:spacing w:line="240" w:lineRule="auto"/>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10</w:t>
            </w:r>
            <w:r>
              <w:rPr>
                <w:rFonts w:hint="eastAsia" w:ascii="仿宋" w:hAnsi="仿宋" w:eastAsia="仿宋" w:cs="仿宋"/>
                <w:b/>
                <w:bCs/>
                <w:sz w:val="28"/>
                <w:szCs w:val="28"/>
                <w:highlight w:val="none"/>
              </w:rPr>
              <w:t>、公司除传统领域外的新兴领域有何战略规划？</w:t>
            </w:r>
            <w:r>
              <w:rPr>
                <w:rFonts w:hint="eastAsia" w:ascii="仿宋" w:hAnsi="仿宋" w:eastAsia="仿宋" w:cs="仿宋"/>
                <w:b/>
                <w:bCs/>
                <w:sz w:val="28"/>
                <w:szCs w:val="28"/>
                <w:highlight w:val="none"/>
              </w:rPr>
              <w:br w:type="textWrapping"/>
            </w:r>
            <w:r>
              <w:rPr>
                <w:rFonts w:hint="eastAsia" w:ascii="仿宋" w:hAnsi="仿宋" w:eastAsia="仿宋" w:cs="仿宋"/>
                <w:b w:val="0"/>
                <w:bCs w:val="0"/>
                <w:sz w:val="28"/>
                <w:szCs w:val="28"/>
                <w:highlight w:val="none"/>
              </w:rPr>
              <w:t>答：</w:t>
            </w:r>
            <w:r>
              <w:rPr>
                <w:rFonts w:hint="eastAsia" w:ascii="仿宋" w:hAnsi="仿宋" w:eastAsia="仿宋" w:cs="仿宋"/>
                <w:b w:val="0"/>
                <w:bCs w:val="0"/>
                <w:i w:val="0"/>
                <w:iCs w:val="0"/>
                <w:caps w:val="0"/>
                <w:spacing w:val="0"/>
                <w:kern w:val="2"/>
                <w:sz w:val="28"/>
                <w:szCs w:val="28"/>
                <w:highlight w:val="none"/>
                <w:shd w:val="clear"/>
              </w:rPr>
              <w:t>未来三年，公司将加速智能化升级，推动传统输配电设备向数字化、物联网方向发展</w:t>
            </w:r>
            <w:r>
              <w:rPr>
                <w:rFonts w:hint="eastAsia" w:ascii="仿宋" w:hAnsi="仿宋" w:eastAsia="仿宋" w:cs="仿宋"/>
                <w:b w:val="0"/>
                <w:bCs w:val="0"/>
                <w:i w:val="0"/>
                <w:iCs w:val="0"/>
                <w:caps w:val="0"/>
                <w:spacing w:val="0"/>
                <w:kern w:val="2"/>
                <w:sz w:val="28"/>
                <w:szCs w:val="28"/>
                <w:highlight w:val="none"/>
                <w:shd w:val="clear"/>
                <w:lang w:eastAsia="zh-CN"/>
              </w:rPr>
              <w:t>；</w:t>
            </w:r>
            <w:r>
              <w:rPr>
                <w:rFonts w:hint="eastAsia" w:ascii="仿宋" w:hAnsi="仿宋" w:eastAsia="仿宋" w:cs="仿宋"/>
                <w:b w:val="0"/>
                <w:bCs w:val="0"/>
                <w:i w:val="0"/>
                <w:iCs w:val="0"/>
                <w:caps w:val="0"/>
                <w:spacing w:val="0"/>
                <w:kern w:val="2"/>
                <w:sz w:val="28"/>
                <w:szCs w:val="28"/>
                <w:highlight w:val="none"/>
                <w:shd w:val="clear"/>
              </w:rPr>
              <w:t>打造具备远程监控、自主巡检、智能运维能力的</w:t>
            </w:r>
            <w:r>
              <w:rPr>
                <w:rFonts w:hint="eastAsia" w:ascii="仿宋" w:hAnsi="仿宋" w:eastAsia="仿宋" w:cs="仿宋"/>
                <w:b w:val="0"/>
                <w:bCs w:val="0"/>
                <w:i w:val="0"/>
                <w:iCs w:val="0"/>
                <w:caps w:val="0"/>
                <w:spacing w:val="0"/>
                <w:kern w:val="2"/>
                <w:sz w:val="28"/>
                <w:szCs w:val="28"/>
                <w:highlight w:val="none"/>
                <w:shd w:val="clear"/>
                <w:lang w:val="en-US" w:eastAsia="zh-CN"/>
              </w:rPr>
              <w:t>产品</w:t>
            </w:r>
            <w:r>
              <w:rPr>
                <w:rFonts w:hint="eastAsia" w:ascii="仿宋" w:hAnsi="仿宋" w:eastAsia="仿宋" w:cs="仿宋"/>
                <w:b w:val="0"/>
                <w:bCs w:val="0"/>
                <w:i w:val="0"/>
                <w:iCs w:val="0"/>
                <w:caps w:val="0"/>
                <w:spacing w:val="0"/>
                <w:kern w:val="2"/>
                <w:sz w:val="28"/>
                <w:szCs w:val="28"/>
                <w:highlight w:val="none"/>
                <w:shd w:val="clear"/>
                <w:lang w:eastAsia="zh-CN"/>
              </w:rPr>
              <w:t>；</w:t>
            </w:r>
            <w:r>
              <w:rPr>
                <w:rFonts w:hint="eastAsia" w:ascii="仿宋" w:hAnsi="仿宋" w:eastAsia="仿宋" w:cs="仿宋"/>
                <w:b w:val="0"/>
                <w:bCs w:val="0"/>
                <w:i w:val="0"/>
                <w:iCs w:val="0"/>
                <w:caps w:val="0"/>
                <w:spacing w:val="0"/>
                <w:kern w:val="2"/>
                <w:sz w:val="28"/>
                <w:szCs w:val="28"/>
                <w:highlight w:val="none"/>
                <w:shd w:val="clear"/>
                <w:lang w:val="en-US" w:eastAsia="zh-CN"/>
              </w:rPr>
              <w:t>积极拓展</w:t>
            </w:r>
            <w:r>
              <w:rPr>
                <w:rFonts w:hint="eastAsia" w:ascii="仿宋" w:hAnsi="仿宋" w:eastAsia="仿宋" w:cs="仿宋"/>
                <w:b w:val="0"/>
                <w:bCs w:val="0"/>
                <w:i w:val="0"/>
                <w:iCs w:val="0"/>
                <w:caps w:val="0"/>
                <w:spacing w:val="0"/>
                <w:kern w:val="2"/>
                <w:sz w:val="28"/>
                <w:szCs w:val="28"/>
                <w:highlight w:val="none"/>
                <w:shd w:val="clear"/>
              </w:rPr>
              <w:t>AI、大数据、云计算、5G等</w:t>
            </w:r>
            <w:r>
              <w:rPr>
                <w:rFonts w:hint="eastAsia" w:ascii="仿宋" w:hAnsi="仿宋" w:eastAsia="仿宋" w:cs="仿宋"/>
                <w:b w:val="0"/>
                <w:bCs w:val="0"/>
                <w:i w:val="0"/>
                <w:iCs w:val="0"/>
                <w:caps w:val="0"/>
                <w:spacing w:val="0"/>
                <w:kern w:val="2"/>
                <w:sz w:val="28"/>
                <w:szCs w:val="28"/>
                <w:highlight w:val="none"/>
                <w:shd w:val="clear"/>
                <w:lang w:val="en-US" w:eastAsia="zh-CN"/>
              </w:rPr>
              <w:t>运用领域客户；深化布局</w:t>
            </w:r>
            <w:r>
              <w:rPr>
                <w:rFonts w:hint="eastAsia" w:ascii="仿宋" w:hAnsi="仿宋" w:eastAsia="仿宋" w:cs="仿宋"/>
                <w:b w:val="0"/>
                <w:bCs w:val="0"/>
                <w:sz w:val="28"/>
                <w:szCs w:val="28"/>
                <w:highlight w:val="none"/>
              </w:rPr>
              <w:t>新能源汽车配套领域，开发高性能非晶合金材料，加速切入新能源汽车电机核心供应链；同时依托长寿新材料基地，推进光储充一体化智能箱变研发</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i w:val="0"/>
                <w:iCs w:val="0"/>
                <w:caps w:val="0"/>
                <w:spacing w:val="0"/>
                <w:kern w:val="2"/>
                <w:sz w:val="28"/>
                <w:szCs w:val="28"/>
                <w:highlight w:val="none"/>
                <w:shd w:val="clear"/>
                <w:lang w:val="en-US" w:eastAsia="zh-CN"/>
              </w:rPr>
              <w:t>适时抓牢</w:t>
            </w:r>
            <w:r>
              <w:rPr>
                <w:rFonts w:hint="eastAsia" w:ascii="仿宋" w:hAnsi="仿宋" w:eastAsia="仿宋" w:cs="仿宋"/>
                <w:b w:val="0"/>
                <w:bCs w:val="0"/>
                <w:i w:val="0"/>
                <w:iCs w:val="0"/>
                <w:caps w:val="0"/>
                <w:spacing w:val="0"/>
                <w:kern w:val="2"/>
                <w:sz w:val="28"/>
                <w:szCs w:val="28"/>
                <w:highlight w:val="none"/>
                <w:shd w:val="clear"/>
              </w:rPr>
              <w:t>“新能源+智能微网”</w:t>
            </w:r>
            <w:r>
              <w:rPr>
                <w:rFonts w:hint="eastAsia" w:ascii="仿宋" w:hAnsi="仿宋" w:eastAsia="仿宋" w:cs="仿宋"/>
                <w:b w:val="0"/>
                <w:bCs w:val="0"/>
                <w:i w:val="0"/>
                <w:iCs w:val="0"/>
                <w:caps w:val="0"/>
                <w:spacing w:val="0"/>
                <w:kern w:val="2"/>
                <w:sz w:val="28"/>
                <w:szCs w:val="28"/>
                <w:highlight w:val="none"/>
                <w:shd w:val="clear"/>
                <w:lang w:val="en-US" w:eastAsia="zh-CN"/>
              </w:rPr>
              <w:t>运用领域，快速抢占“</w:t>
            </w:r>
            <w:r>
              <w:rPr>
                <w:rFonts w:hint="eastAsia" w:ascii="仿宋" w:hAnsi="仿宋" w:eastAsia="仿宋" w:cs="仿宋"/>
                <w:b w:val="0"/>
                <w:bCs w:val="0"/>
                <w:i w:val="0"/>
                <w:iCs w:val="0"/>
                <w:caps w:val="0"/>
                <w:spacing w:val="0"/>
                <w:kern w:val="2"/>
                <w:sz w:val="28"/>
                <w:szCs w:val="28"/>
                <w:highlight w:val="none"/>
                <w:shd w:val="clear"/>
              </w:rPr>
              <w:t>储能+智能电网</w:t>
            </w:r>
            <w:r>
              <w:rPr>
                <w:rFonts w:hint="eastAsia" w:ascii="仿宋" w:hAnsi="仿宋" w:eastAsia="仿宋" w:cs="仿宋"/>
                <w:b w:val="0"/>
                <w:bCs w:val="0"/>
                <w:i w:val="0"/>
                <w:iCs w:val="0"/>
                <w:caps w:val="0"/>
                <w:spacing w:val="0"/>
                <w:kern w:val="2"/>
                <w:sz w:val="28"/>
                <w:szCs w:val="28"/>
                <w:highlight w:val="none"/>
                <w:shd w:val="clear"/>
                <w:lang w:eastAsia="zh-CN"/>
              </w:rPr>
              <w:t>”</w:t>
            </w:r>
            <w:r>
              <w:rPr>
                <w:rFonts w:hint="eastAsia" w:ascii="仿宋" w:hAnsi="仿宋" w:eastAsia="仿宋" w:cs="仿宋"/>
                <w:b w:val="0"/>
                <w:bCs w:val="0"/>
                <w:i w:val="0"/>
                <w:iCs w:val="0"/>
                <w:caps w:val="0"/>
                <w:spacing w:val="0"/>
                <w:kern w:val="2"/>
                <w:sz w:val="28"/>
                <w:szCs w:val="28"/>
                <w:highlight w:val="none"/>
                <w:shd w:val="clear"/>
              </w:rPr>
              <w:t>等新型电力系统</w:t>
            </w:r>
            <w:r>
              <w:rPr>
                <w:rFonts w:hint="eastAsia" w:ascii="仿宋" w:hAnsi="仿宋" w:eastAsia="仿宋" w:cs="仿宋"/>
                <w:b w:val="0"/>
                <w:bCs w:val="0"/>
                <w:i w:val="0"/>
                <w:iCs w:val="0"/>
                <w:caps w:val="0"/>
                <w:spacing w:val="0"/>
                <w:kern w:val="2"/>
                <w:sz w:val="28"/>
                <w:szCs w:val="28"/>
                <w:highlight w:val="none"/>
                <w:shd w:val="clear"/>
                <w:lang w:val="en-US" w:eastAsia="zh-CN"/>
              </w:rPr>
              <w:t>建设</w:t>
            </w:r>
            <w:r>
              <w:rPr>
                <w:rFonts w:hint="eastAsia" w:ascii="仿宋" w:hAnsi="仿宋" w:eastAsia="仿宋" w:cs="仿宋"/>
                <w:b w:val="0"/>
                <w:bCs w:val="0"/>
                <w:i w:val="0"/>
                <w:iCs w:val="0"/>
                <w:caps w:val="0"/>
                <w:spacing w:val="0"/>
                <w:kern w:val="2"/>
                <w:sz w:val="28"/>
                <w:szCs w:val="28"/>
                <w:highlight w:val="none"/>
                <w:shd w:val="clear"/>
              </w:rPr>
              <w:t>新赛道</w:t>
            </w:r>
            <w:r>
              <w:rPr>
                <w:rFonts w:hint="eastAsia" w:ascii="仿宋" w:hAnsi="仿宋" w:eastAsia="仿宋" w:cs="仿宋"/>
                <w:b w:val="0"/>
                <w:bCs w:val="0"/>
                <w:i w:val="0"/>
                <w:iCs w:val="0"/>
                <w:caps w:val="0"/>
                <w:spacing w:val="0"/>
                <w:kern w:val="2"/>
                <w:sz w:val="28"/>
                <w:szCs w:val="28"/>
                <w:highlight w:val="none"/>
                <w:shd w:val="clear"/>
                <w:lang w:eastAsia="zh-CN"/>
              </w:rPr>
              <w:t>，</w:t>
            </w:r>
            <w:r>
              <w:rPr>
                <w:rFonts w:hint="eastAsia" w:ascii="仿宋" w:hAnsi="仿宋" w:eastAsia="仿宋" w:cs="仿宋"/>
                <w:b w:val="0"/>
                <w:bCs w:val="0"/>
                <w:i w:val="0"/>
                <w:iCs w:val="0"/>
                <w:caps w:val="0"/>
                <w:spacing w:val="0"/>
                <w:kern w:val="2"/>
                <w:sz w:val="28"/>
                <w:szCs w:val="28"/>
                <w:highlight w:val="none"/>
                <w:shd w:val="clear"/>
                <w:lang w:val="en-US" w:eastAsia="zh-CN"/>
              </w:rPr>
              <w:t>预期相关业务带来5%-10%的业绩增速，相关业绩以公告为准。</w:t>
            </w:r>
            <w:r>
              <w:rPr>
                <w:rFonts w:hint="eastAsia" w:ascii="仿宋" w:hAnsi="仿宋" w:eastAsia="仿宋" w:cs="仿宋"/>
                <w:b/>
                <w:bCs/>
                <w:sz w:val="28"/>
                <w:szCs w:val="28"/>
                <w:highlight w:val="none"/>
              </w:rPr>
              <w:br w:type="textWrapping"/>
            </w:r>
            <w:r>
              <w:rPr>
                <w:rFonts w:hint="eastAsia" w:ascii="仿宋" w:hAnsi="仿宋" w:eastAsia="仿宋" w:cs="仿宋"/>
                <w:b/>
                <w:bCs/>
                <w:sz w:val="28"/>
                <w:szCs w:val="28"/>
                <w:highlight w:val="none"/>
                <w:lang w:val="en-US" w:eastAsia="zh-CN"/>
              </w:rPr>
              <w:t>11、公司变压器通过荷兰KEMA认证并进入马来西亚东海岸铁路等海外项目，取向硅钢亦与国际知名企业合作。请问上半年海外业务的营收占比及同比增速具体是多少？海外订单的毛利率水平与国内业务相比是否更高，汇率波动对海外业务盈利的影响有多大？</w:t>
            </w:r>
          </w:p>
          <w:p>
            <w:pPr>
              <w:numPr>
                <w:ilvl w:val="0"/>
                <w:numId w:val="0"/>
              </w:numPr>
              <w:spacing w:line="240" w:lineRule="auto"/>
              <w:ind w:firstLine="0" w:firstLineChars="0"/>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答：基于效益最大化原则，公司取向硅钢的上半年出口同比约有缩减，变压器出口同比约有增加。公司自主研发的OSFPSZ18-250000/220自耦电力变压器成功通过荷兰KEMA实验室全套认证测试，获得欧洲高端电力设备市场准入资格，为全球化拓展奠定坚实基础，根据发展规划，未来三年公司将重点提升海外业务占比。关于汇率风险，公司实时关注汇率变化情况，会结合公司资金需求、外汇需求、汇率趋势等多重因素决定外汇管理；同时公司有外汇套期保值手段可以运用。</w:t>
            </w:r>
            <w:r>
              <w:rPr>
                <w:rFonts w:hint="eastAsia" w:ascii="仿宋" w:hAnsi="仿宋" w:eastAsia="仿宋" w:cs="仿宋"/>
                <w:b w:val="0"/>
                <w:bCs w:val="0"/>
                <w:sz w:val="28"/>
                <w:szCs w:val="28"/>
                <w:highlight w:val="none"/>
              </w:rPr>
              <w:br w:type="textWrapping"/>
            </w:r>
            <w:r>
              <w:rPr>
                <w:rFonts w:hint="eastAsia" w:ascii="仿宋" w:hAnsi="仿宋" w:eastAsia="仿宋" w:cs="仿宋"/>
                <w:b/>
                <w:bCs/>
                <w:sz w:val="28"/>
                <w:szCs w:val="28"/>
                <w:highlight w:val="none"/>
              </w:rPr>
              <w:t>1</w:t>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w:t>
            </w:r>
            <w:bookmarkStart w:id="2" w:name="OLE_LINK5"/>
            <w:bookmarkStart w:id="3" w:name="OLE_LINK6"/>
            <w:r>
              <w:rPr>
                <w:rFonts w:hint="eastAsia" w:ascii="仿宋" w:hAnsi="仿宋" w:eastAsia="仿宋" w:cs="仿宋"/>
                <w:b/>
                <w:bCs/>
                <w:sz w:val="28"/>
                <w:szCs w:val="28"/>
                <w:highlight w:val="none"/>
              </w:rPr>
              <w:t>公司海外布局新进展？</w:t>
            </w:r>
            <w:bookmarkEnd w:id="2"/>
            <w:r>
              <w:rPr>
                <w:rFonts w:hint="eastAsia" w:ascii="仿宋" w:hAnsi="仿宋" w:eastAsia="仿宋" w:cs="仿宋"/>
                <w:b/>
                <w:bCs/>
                <w:sz w:val="28"/>
                <w:szCs w:val="28"/>
                <w:highlight w:val="none"/>
              </w:rPr>
              <w:br w:type="textWrapping"/>
            </w:r>
            <w:r>
              <w:rPr>
                <w:rFonts w:hint="eastAsia" w:ascii="仿宋" w:hAnsi="仿宋" w:eastAsia="仿宋" w:cs="仿宋"/>
                <w:b w:val="0"/>
                <w:bCs w:val="0"/>
                <w:sz w:val="28"/>
                <w:szCs w:val="28"/>
                <w:highlight w:val="none"/>
              </w:rPr>
              <w:t>答：公司积极推进"一带一路"业务布局，</w:t>
            </w:r>
            <w:r>
              <w:rPr>
                <w:rFonts w:hint="eastAsia" w:ascii="仿宋" w:hAnsi="仿宋" w:eastAsia="仿宋" w:cs="仿宋"/>
                <w:b w:val="0"/>
                <w:bCs w:val="0"/>
                <w:sz w:val="28"/>
                <w:szCs w:val="28"/>
                <w:highlight w:val="none"/>
                <w:lang w:val="en-US" w:eastAsia="zh-CN"/>
              </w:rPr>
              <w:t>主要依托国家走出去战略，高度关注我们自身客户</w:t>
            </w:r>
            <w:r>
              <w:rPr>
                <w:rFonts w:hint="eastAsia" w:ascii="仿宋" w:hAnsi="仿宋" w:eastAsia="仿宋" w:cs="仿宋"/>
                <w:b w:val="0"/>
                <w:bCs w:val="0"/>
                <w:sz w:val="28"/>
                <w:szCs w:val="28"/>
                <w:highlight w:val="none"/>
              </w:rPr>
              <w:t>中铁、中交、电建等相关大型央企的海外项目，</w:t>
            </w:r>
            <w:r>
              <w:rPr>
                <w:rFonts w:hint="eastAsia" w:ascii="仿宋" w:hAnsi="仿宋" w:eastAsia="仿宋" w:cs="仿宋"/>
                <w:b w:val="0"/>
                <w:bCs w:val="0"/>
                <w:sz w:val="28"/>
                <w:szCs w:val="28"/>
                <w:highlight w:val="none"/>
                <w:lang w:val="en-US" w:eastAsia="zh-CN"/>
              </w:rPr>
              <w:t>并积极获取</w:t>
            </w:r>
            <w:r>
              <w:rPr>
                <w:rFonts w:hint="eastAsia" w:ascii="仿宋" w:hAnsi="仿宋" w:eastAsia="仿宋" w:cs="仿宋"/>
                <w:b w:val="0"/>
                <w:bCs w:val="0"/>
                <w:sz w:val="28"/>
                <w:szCs w:val="28"/>
                <w:highlight w:val="none"/>
              </w:rPr>
              <w:t>深度参与的机会；</w:t>
            </w:r>
            <w:r>
              <w:rPr>
                <w:rFonts w:hint="eastAsia" w:ascii="仿宋" w:hAnsi="仿宋" w:eastAsia="仿宋" w:cs="仿宋"/>
                <w:b w:val="0"/>
                <w:bCs w:val="0"/>
                <w:sz w:val="28"/>
                <w:szCs w:val="28"/>
                <w:highlight w:val="none"/>
                <w:lang w:val="en-US" w:eastAsia="zh-CN"/>
              </w:rPr>
              <w:t>公司</w:t>
            </w:r>
            <w:r>
              <w:rPr>
                <w:rFonts w:hint="eastAsia" w:ascii="仿宋" w:hAnsi="仿宋" w:eastAsia="仿宋" w:cs="仿宋"/>
                <w:b w:val="0"/>
                <w:bCs w:val="0"/>
                <w:sz w:val="28"/>
                <w:szCs w:val="28"/>
                <w:highlight w:val="none"/>
              </w:rPr>
              <w:t>取向硅钢材料依托现有区域及客户体系，做大做深服务，扩大市场规模。</w:t>
            </w:r>
            <w:r>
              <w:rPr>
                <w:rFonts w:hint="eastAsia" w:ascii="仿宋" w:hAnsi="仿宋" w:eastAsia="仿宋" w:cs="仿宋"/>
                <w:b w:val="0"/>
                <w:bCs w:val="0"/>
                <w:sz w:val="28"/>
                <w:szCs w:val="28"/>
                <w:highlight w:val="none"/>
              </w:rPr>
              <w:br w:type="textWrapping"/>
            </w:r>
            <w:bookmarkEnd w:id="3"/>
            <w:r>
              <w:rPr>
                <w:rFonts w:hint="eastAsia" w:ascii="仿宋" w:hAnsi="仿宋" w:eastAsia="仿宋" w:cs="仿宋"/>
                <w:b/>
                <w:bCs/>
                <w:sz w:val="28"/>
                <w:szCs w:val="28"/>
                <w:highlight w:val="none"/>
              </w:rPr>
              <w:t>1</w:t>
            </w:r>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rPr>
              <w:t>、国网集采过后有什么影响？</w:t>
            </w:r>
            <w:r>
              <w:rPr>
                <w:rFonts w:hint="eastAsia" w:ascii="仿宋" w:hAnsi="仿宋" w:eastAsia="仿宋" w:cs="仿宋"/>
                <w:b/>
                <w:bCs/>
                <w:sz w:val="28"/>
                <w:szCs w:val="28"/>
                <w:highlight w:val="none"/>
              </w:rPr>
              <w:br w:type="textWrapping"/>
            </w:r>
            <w:r>
              <w:rPr>
                <w:rFonts w:hint="eastAsia" w:ascii="仿宋" w:hAnsi="仿宋" w:eastAsia="仿宋" w:cs="仿宋"/>
                <w:b w:val="0"/>
                <w:bCs w:val="0"/>
                <w:sz w:val="28"/>
                <w:szCs w:val="28"/>
                <w:highlight w:val="none"/>
              </w:rPr>
              <w:t>答：</w:t>
            </w:r>
            <w:r>
              <w:rPr>
                <w:rFonts w:hint="eastAsia" w:ascii="仿宋" w:hAnsi="仿宋" w:eastAsia="仿宋" w:cs="仿宋"/>
                <w:sz w:val="28"/>
                <w:szCs w:val="28"/>
                <w:highlight w:val="none"/>
                <w:lang w:val="en-US" w:eastAsia="zh-CN"/>
              </w:rPr>
              <w:t>国网一直是公司优质重要的客户，无论客户采购方式如何调整，公司都会积极应对，能快速调整应对策略，适应市场变化和客户的需求是公司的优势</w:t>
            </w:r>
            <w:r>
              <w:rPr>
                <w:rFonts w:hint="eastAsia" w:ascii="仿宋" w:hAnsi="仿宋" w:eastAsia="仿宋" w:cs="仿宋"/>
                <w:b w:val="0"/>
                <w:bCs w:val="0"/>
                <w:sz w:val="28"/>
                <w:szCs w:val="28"/>
                <w:highlight w:val="none"/>
              </w:rPr>
              <w:t>。</w:t>
            </w:r>
          </w:p>
          <w:p>
            <w:pPr>
              <w:numPr>
                <w:ilvl w:val="-1"/>
                <w:numId w:val="0"/>
              </w:numPr>
              <w:spacing w:line="240" w:lineRule="auto"/>
              <w:ind w:firstLine="0" w:firstLineChars="0"/>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14、</w:t>
            </w:r>
            <w:r>
              <w:rPr>
                <w:rFonts w:hint="eastAsia" w:ascii="仿宋" w:hAnsi="仿宋" w:eastAsia="仿宋" w:cs="仿宋"/>
                <w:b/>
                <w:bCs/>
                <w:sz w:val="28"/>
                <w:szCs w:val="28"/>
                <w:highlight w:val="none"/>
              </w:rPr>
              <w:t>公司近年业务从传统制造向高端材料、新能源配套延伸，且海外市场逐步突破，但市场对新业务的盈利模式、核心技术壁垒认知度可能不足。请问上半年公司在投资者关系维护上（如机构调研、路演沟通）有哪些重点动作？未来是否计划通过更清晰的长期战略披露、业务进展定期更新等方式，提升投资者对公司价值的认可度？</w:t>
            </w:r>
          </w:p>
          <w:p>
            <w:pPr>
              <w:numPr>
                <w:ilvl w:val="-1"/>
                <w:numId w:val="0"/>
              </w:numPr>
              <w:spacing w:line="240" w:lineRule="auto"/>
              <w:ind w:firstLine="0" w:firstLineChars="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答：公司一直秉承积极客观的对外交流原则，积极参加策略会、专题研讨会、业绩说明会、路演等。公司严格按照信息披露管理办法履行信息披露义务。</w:t>
            </w:r>
          </w:p>
          <w:p>
            <w:pPr>
              <w:pStyle w:val="28"/>
              <w:numPr>
                <w:ilvl w:val="0"/>
                <w:numId w:val="0"/>
              </w:numPr>
              <w:spacing w:line="460" w:lineRule="exact"/>
              <w:ind w:left="0" w:leftChars="0" w:firstLine="0" w:firstLineChars="0"/>
              <w:rPr>
                <w:rFonts w:hint="eastAsia" w:ascii="仿宋" w:hAnsi="仿宋" w:eastAsia="仿宋" w:cs="仿宋"/>
                <w:b w:val="0"/>
                <w:bCs w:val="0"/>
                <w:sz w:val="28"/>
                <w:szCs w:val="28"/>
                <w:highlight w:val="none"/>
              </w:rPr>
            </w:pPr>
            <w:r>
              <w:rPr>
                <w:rFonts w:hint="eastAsia" w:ascii="仿宋" w:hAnsi="仿宋" w:eastAsia="仿宋" w:cs="仿宋"/>
                <w:b/>
                <w:bCs/>
                <w:sz w:val="28"/>
                <w:szCs w:val="28"/>
                <w:highlight w:val="none"/>
                <w:lang w:val="en-US" w:eastAsia="zh-CN"/>
              </w:rPr>
              <w:t>15、</w:t>
            </w:r>
            <w:r>
              <w:rPr>
                <w:rFonts w:hint="eastAsia" w:ascii="仿宋" w:hAnsi="仿宋" w:eastAsia="仿宋" w:cs="仿宋"/>
                <w:b/>
                <w:bCs/>
                <w:sz w:val="28"/>
                <w:szCs w:val="28"/>
                <w:highlight w:val="none"/>
              </w:rPr>
              <w:t>25年至今取向硅钢价格每吨少了1000多元，是否影响公司取向硅钢业务利润</w:t>
            </w:r>
            <w:r>
              <w:rPr>
                <w:rFonts w:hint="eastAsia" w:ascii="仿宋" w:hAnsi="仿宋" w:eastAsia="仿宋" w:cs="仿宋"/>
                <w:b/>
                <w:bCs/>
                <w:sz w:val="28"/>
                <w:szCs w:val="28"/>
                <w:highlight w:val="none"/>
                <w:lang w:eastAsia="zh-CN"/>
              </w:rPr>
              <w:t>？</w:t>
            </w:r>
          </w:p>
          <w:p>
            <w:pPr>
              <w:pStyle w:val="28"/>
              <w:numPr>
                <w:ilvl w:val="0"/>
                <w:numId w:val="0"/>
              </w:numPr>
              <w:spacing w:line="360" w:lineRule="auto"/>
              <w:ind w:left="0" w:leftChars="0"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答：</w:t>
            </w:r>
            <w:r>
              <w:rPr>
                <w:rFonts w:hint="eastAsia" w:ascii="仿宋" w:hAnsi="仿宋" w:eastAsia="仿宋" w:cs="仿宋"/>
                <w:sz w:val="28"/>
                <w:szCs w:val="28"/>
                <w:highlight w:val="none"/>
              </w:rPr>
              <w:t>2025年上半年取向硅钢业务单位销售成本下降带来总营业成本减少5,138万元，销售量的增加带来总营业成本增加4,638万元</w:t>
            </w:r>
            <w:r>
              <w:rPr>
                <w:rFonts w:hint="eastAsia" w:ascii="仿宋" w:hAnsi="仿宋" w:eastAsia="仿宋" w:cs="仿宋"/>
                <w:sz w:val="28"/>
                <w:szCs w:val="28"/>
                <w:highlight w:val="none"/>
                <w:lang w:eastAsia="zh-CN"/>
              </w:rPr>
              <w:t>。</w:t>
            </w:r>
          </w:p>
          <w:p>
            <w:pPr>
              <w:pStyle w:val="28"/>
              <w:numPr>
                <w:ilvl w:val="0"/>
                <w:numId w:val="0"/>
              </w:numPr>
              <w:spacing w:line="460" w:lineRule="exact"/>
              <w:ind w:left="0" w:leftChars="0" w:firstLine="0" w:firstLine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16、</w:t>
            </w:r>
            <w:r>
              <w:rPr>
                <w:rFonts w:hint="eastAsia" w:ascii="仿宋" w:hAnsi="仿宋" w:eastAsia="仿宋" w:cs="仿宋"/>
                <w:b/>
                <w:bCs/>
                <w:sz w:val="28"/>
                <w:szCs w:val="28"/>
                <w:highlight w:val="none"/>
              </w:rPr>
              <w:t>董秘以及控股股东多次在低位减持，可能引发市场对董监高信心不足的情况，导致本来就低迷的股价更甚，公司怎样进行舆情管理？</w:t>
            </w:r>
          </w:p>
          <w:p>
            <w:pPr>
              <w:numPr>
                <w:ilvl w:val="-1"/>
                <w:numId w:val="0"/>
              </w:numPr>
              <w:spacing w:line="240" w:lineRule="auto"/>
              <w:ind w:firstLine="0" w:firstLineChars="0"/>
              <w:jc w:val="left"/>
              <w:rPr>
                <w:rFonts w:hint="eastAsia" w:ascii="仿宋" w:hAnsi="仿宋" w:cs="仿宋" w:eastAsiaTheme="minorEastAsia"/>
                <w:b w:val="0"/>
                <w:bCs w:val="0"/>
                <w:sz w:val="28"/>
                <w:szCs w:val="28"/>
                <w:highlight w:val="none"/>
                <w:lang w:val="en-US" w:eastAsia="zh-CN"/>
              </w:rPr>
            </w:pPr>
            <w:r>
              <w:rPr>
                <w:rFonts w:hint="eastAsia" w:ascii="仿宋" w:hAnsi="仿宋" w:eastAsia="仿宋" w:cs="仿宋"/>
                <w:sz w:val="28"/>
                <w:szCs w:val="28"/>
                <w:highlight w:val="none"/>
                <w:lang w:val="en-US" w:eastAsia="zh-CN"/>
              </w:rPr>
              <w:t>答：</w:t>
            </w:r>
            <w:r>
              <w:rPr>
                <w:rFonts w:hint="eastAsia" w:ascii="仿宋" w:hAnsi="仿宋" w:eastAsia="仿宋" w:cs="仿宋"/>
                <w:sz w:val="28"/>
                <w:szCs w:val="28"/>
                <w:highlight w:val="none"/>
              </w:rPr>
              <w:t>公司股东减持符合规定</w:t>
            </w:r>
            <w:r>
              <w:rPr>
                <w:rFonts w:hint="eastAsia" w:ascii="仿宋" w:hAnsi="仿宋" w:eastAsia="仿宋" w:cs="仿宋"/>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tcPr>
          <w:p>
            <w:pPr>
              <w:spacing w:line="360" w:lineRule="auto"/>
              <w:jc w:val="center"/>
              <w:rPr>
                <w:b/>
                <w:bCs/>
                <w:sz w:val="24"/>
                <w:szCs w:val="32"/>
                <w:highlight w:val="none"/>
              </w:rPr>
            </w:pPr>
            <w:r>
              <w:rPr>
                <w:rFonts w:hint="eastAsia" w:ascii="仿宋" w:hAnsi="仿宋" w:eastAsia="仿宋" w:cs="仿宋"/>
                <w:b/>
                <w:bCs/>
                <w:spacing w:val="-2"/>
                <w:sz w:val="28"/>
                <w:szCs w:val="28"/>
                <w:highlight w:val="none"/>
              </w:rPr>
              <w:t xml:space="preserve"> 附件清单 (如有)</w:t>
            </w:r>
          </w:p>
        </w:tc>
        <w:tc>
          <w:tcPr>
            <w:tcW w:w="6217" w:type="dxa"/>
            <w:gridSpan w:val="2"/>
          </w:tcPr>
          <w:p>
            <w:pPr>
              <w:spacing w:line="36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tcPr>
          <w:p>
            <w:pPr>
              <w:spacing w:line="360" w:lineRule="auto"/>
              <w:ind w:firstLine="277" w:firstLineChars="100"/>
              <w:jc w:val="left"/>
              <w:rPr>
                <w:rFonts w:ascii="仿宋" w:hAnsi="仿宋" w:eastAsia="仿宋" w:cs="仿宋"/>
                <w:b/>
                <w:bCs/>
                <w:spacing w:val="-2"/>
                <w:sz w:val="28"/>
                <w:szCs w:val="28"/>
                <w:highlight w:val="none"/>
              </w:rPr>
            </w:pPr>
            <w:r>
              <w:rPr>
                <w:rFonts w:hint="eastAsia" w:ascii="仿宋" w:hAnsi="仿宋" w:eastAsia="仿宋" w:cs="仿宋"/>
                <w:b/>
                <w:bCs/>
                <w:spacing w:val="-2"/>
                <w:sz w:val="28"/>
                <w:szCs w:val="28"/>
                <w:highlight w:val="none"/>
              </w:rPr>
              <w:t>相关提示</w:t>
            </w:r>
          </w:p>
        </w:tc>
        <w:tc>
          <w:tcPr>
            <w:tcW w:w="6217" w:type="dxa"/>
            <w:gridSpan w:val="2"/>
          </w:tcPr>
          <w:p>
            <w:pPr>
              <w:widowControl/>
              <w:spacing w:line="360" w:lineRule="auto"/>
              <w:jc w:val="left"/>
              <w:rPr>
                <w:highlight w:val="none"/>
              </w:rPr>
            </w:pPr>
            <w:r>
              <w:rPr>
                <w:rFonts w:hint="eastAsia" w:ascii="仿宋" w:hAnsi="仿宋" w:eastAsia="仿宋" w:cs="仿宋"/>
                <w:sz w:val="28"/>
                <w:szCs w:val="28"/>
                <w:highlight w:val="none"/>
              </w:rPr>
              <w:t>调研内容均不涉及公司内幕信息及相关未披露的重大事项信息。内容涉及对行业的预测、公司发展战略规划等相关内容，不能视作公司或公司管理层对行业、公司发展的承诺和保证，敬请广大投资者注意投资风险。</w:t>
            </w:r>
          </w:p>
        </w:tc>
      </w:tr>
    </w:tbl>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YWRmZGU0MDUxMGY0NWQyMTNhNjJiOTc3NzFiMjIifQ=="/>
  </w:docVars>
  <w:rsids>
    <w:rsidRoot w:val="00172A27"/>
    <w:rsid w:val="00013D5E"/>
    <w:rsid w:val="00013F2A"/>
    <w:rsid w:val="00025CC2"/>
    <w:rsid w:val="00065631"/>
    <w:rsid w:val="00065EB1"/>
    <w:rsid w:val="00097FFB"/>
    <w:rsid w:val="000D4D80"/>
    <w:rsid w:val="000F3D26"/>
    <w:rsid w:val="00126AED"/>
    <w:rsid w:val="00142881"/>
    <w:rsid w:val="00172A27"/>
    <w:rsid w:val="00174AF0"/>
    <w:rsid w:val="00181A75"/>
    <w:rsid w:val="00194169"/>
    <w:rsid w:val="001B4E56"/>
    <w:rsid w:val="001B72C1"/>
    <w:rsid w:val="001C2038"/>
    <w:rsid w:val="001D35C7"/>
    <w:rsid w:val="001D4EFA"/>
    <w:rsid w:val="002005EA"/>
    <w:rsid w:val="002418BA"/>
    <w:rsid w:val="00254BBC"/>
    <w:rsid w:val="002655E7"/>
    <w:rsid w:val="00272127"/>
    <w:rsid w:val="0027620F"/>
    <w:rsid w:val="002A5024"/>
    <w:rsid w:val="0031124A"/>
    <w:rsid w:val="003368B2"/>
    <w:rsid w:val="00336BA3"/>
    <w:rsid w:val="003534BF"/>
    <w:rsid w:val="003A73B3"/>
    <w:rsid w:val="003B1706"/>
    <w:rsid w:val="003D1413"/>
    <w:rsid w:val="003E5AA6"/>
    <w:rsid w:val="00403D34"/>
    <w:rsid w:val="00414BB4"/>
    <w:rsid w:val="00436D28"/>
    <w:rsid w:val="00456294"/>
    <w:rsid w:val="00486805"/>
    <w:rsid w:val="004B0A7B"/>
    <w:rsid w:val="004E5ABD"/>
    <w:rsid w:val="004F5749"/>
    <w:rsid w:val="00515EDE"/>
    <w:rsid w:val="005D4831"/>
    <w:rsid w:val="005D7DA2"/>
    <w:rsid w:val="005F416C"/>
    <w:rsid w:val="00601749"/>
    <w:rsid w:val="006227BD"/>
    <w:rsid w:val="006464D5"/>
    <w:rsid w:val="0067780C"/>
    <w:rsid w:val="006A0B21"/>
    <w:rsid w:val="006A68BB"/>
    <w:rsid w:val="006C3C21"/>
    <w:rsid w:val="006D3243"/>
    <w:rsid w:val="006E764C"/>
    <w:rsid w:val="00714693"/>
    <w:rsid w:val="00740926"/>
    <w:rsid w:val="007E6D44"/>
    <w:rsid w:val="00814B2F"/>
    <w:rsid w:val="00833C9D"/>
    <w:rsid w:val="008366D5"/>
    <w:rsid w:val="00862215"/>
    <w:rsid w:val="0088017F"/>
    <w:rsid w:val="008818C9"/>
    <w:rsid w:val="008A00DB"/>
    <w:rsid w:val="008A69FD"/>
    <w:rsid w:val="008C10A9"/>
    <w:rsid w:val="008C4853"/>
    <w:rsid w:val="008C60AF"/>
    <w:rsid w:val="00921781"/>
    <w:rsid w:val="00935E4B"/>
    <w:rsid w:val="00976954"/>
    <w:rsid w:val="009A6D94"/>
    <w:rsid w:val="009C378D"/>
    <w:rsid w:val="009D0775"/>
    <w:rsid w:val="009F6404"/>
    <w:rsid w:val="00A15A23"/>
    <w:rsid w:val="00A1748C"/>
    <w:rsid w:val="00A21894"/>
    <w:rsid w:val="00A40B7A"/>
    <w:rsid w:val="00A450B6"/>
    <w:rsid w:val="00A5380F"/>
    <w:rsid w:val="00A72B6A"/>
    <w:rsid w:val="00A74073"/>
    <w:rsid w:val="00A90D34"/>
    <w:rsid w:val="00A96CC9"/>
    <w:rsid w:val="00AB456F"/>
    <w:rsid w:val="00B010DC"/>
    <w:rsid w:val="00B27AB7"/>
    <w:rsid w:val="00B4710E"/>
    <w:rsid w:val="00B96C36"/>
    <w:rsid w:val="00BA5812"/>
    <w:rsid w:val="00BB67A9"/>
    <w:rsid w:val="00BF274D"/>
    <w:rsid w:val="00C15888"/>
    <w:rsid w:val="00C46D12"/>
    <w:rsid w:val="00C505DD"/>
    <w:rsid w:val="00C5503C"/>
    <w:rsid w:val="00CE55C5"/>
    <w:rsid w:val="00CE6ED0"/>
    <w:rsid w:val="00D10841"/>
    <w:rsid w:val="00D21930"/>
    <w:rsid w:val="00DA4071"/>
    <w:rsid w:val="00DE6EC6"/>
    <w:rsid w:val="00DF24CE"/>
    <w:rsid w:val="00DF708B"/>
    <w:rsid w:val="00E9768D"/>
    <w:rsid w:val="00EA2274"/>
    <w:rsid w:val="00EA2D9A"/>
    <w:rsid w:val="00EC1EEE"/>
    <w:rsid w:val="00ED7DCB"/>
    <w:rsid w:val="00F02C55"/>
    <w:rsid w:val="00F16D0B"/>
    <w:rsid w:val="00F17782"/>
    <w:rsid w:val="00F3330A"/>
    <w:rsid w:val="00F63F50"/>
    <w:rsid w:val="00F765A5"/>
    <w:rsid w:val="00FA00A3"/>
    <w:rsid w:val="00FA0617"/>
    <w:rsid w:val="00FA51AD"/>
    <w:rsid w:val="00FD1CC3"/>
    <w:rsid w:val="00FE1A6E"/>
    <w:rsid w:val="00FF4099"/>
    <w:rsid w:val="01284E1B"/>
    <w:rsid w:val="013E75F8"/>
    <w:rsid w:val="016420F2"/>
    <w:rsid w:val="020060F9"/>
    <w:rsid w:val="02134CB8"/>
    <w:rsid w:val="02E96BCD"/>
    <w:rsid w:val="02F32E0C"/>
    <w:rsid w:val="02F47D1B"/>
    <w:rsid w:val="03237D85"/>
    <w:rsid w:val="03986CEB"/>
    <w:rsid w:val="03BE368D"/>
    <w:rsid w:val="03C74BB5"/>
    <w:rsid w:val="042B21AE"/>
    <w:rsid w:val="04574920"/>
    <w:rsid w:val="04F16AB7"/>
    <w:rsid w:val="051B0D6D"/>
    <w:rsid w:val="0536650D"/>
    <w:rsid w:val="054C52D8"/>
    <w:rsid w:val="05C124D3"/>
    <w:rsid w:val="069468A4"/>
    <w:rsid w:val="07293D6D"/>
    <w:rsid w:val="079239C5"/>
    <w:rsid w:val="079C3C62"/>
    <w:rsid w:val="07B94BDA"/>
    <w:rsid w:val="07C54B4B"/>
    <w:rsid w:val="07D102E3"/>
    <w:rsid w:val="07FF4FEA"/>
    <w:rsid w:val="08086333"/>
    <w:rsid w:val="083F6263"/>
    <w:rsid w:val="08406CE4"/>
    <w:rsid w:val="086053D6"/>
    <w:rsid w:val="08A95EF6"/>
    <w:rsid w:val="08B13535"/>
    <w:rsid w:val="08BD0334"/>
    <w:rsid w:val="09873FB3"/>
    <w:rsid w:val="09950955"/>
    <w:rsid w:val="09C676BC"/>
    <w:rsid w:val="0A2911E1"/>
    <w:rsid w:val="0AA52A4B"/>
    <w:rsid w:val="0B416CC0"/>
    <w:rsid w:val="0B482792"/>
    <w:rsid w:val="0B7C0033"/>
    <w:rsid w:val="0B8B40BA"/>
    <w:rsid w:val="0B9A2D2D"/>
    <w:rsid w:val="0C27489D"/>
    <w:rsid w:val="0CA2437E"/>
    <w:rsid w:val="0CC65D86"/>
    <w:rsid w:val="0CE813E4"/>
    <w:rsid w:val="0D1B1ACD"/>
    <w:rsid w:val="0D244E26"/>
    <w:rsid w:val="0D5355B7"/>
    <w:rsid w:val="0D553692"/>
    <w:rsid w:val="0D613090"/>
    <w:rsid w:val="0D9123B3"/>
    <w:rsid w:val="0D984241"/>
    <w:rsid w:val="0DA66F51"/>
    <w:rsid w:val="0DAA2575"/>
    <w:rsid w:val="0DFB5FF5"/>
    <w:rsid w:val="0E4478C6"/>
    <w:rsid w:val="0E460794"/>
    <w:rsid w:val="0E461F04"/>
    <w:rsid w:val="0E637FDA"/>
    <w:rsid w:val="0EA15698"/>
    <w:rsid w:val="0F056591"/>
    <w:rsid w:val="0F080F08"/>
    <w:rsid w:val="0F585187"/>
    <w:rsid w:val="0F7D2198"/>
    <w:rsid w:val="0F8C6010"/>
    <w:rsid w:val="0FBE58EE"/>
    <w:rsid w:val="10072271"/>
    <w:rsid w:val="103121E7"/>
    <w:rsid w:val="10583A7A"/>
    <w:rsid w:val="109B0818"/>
    <w:rsid w:val="10A739D5"/>
    <w:rsid w:val="10BB519D"/>
    <w:rsid w:val="10C10D6E"/>
    <w:rsid w:val="110A7E8F"/>
    <w:rsid w:val="1114107F"/>
    <w:rsid w:val="11651119"/>
    <w:rsid w:val="11710A28"/>
    <w:rsid w:val="11BB1862"/>
    <w:rsid w:val="11F47D3F"/>
    <w:rsid w:val="120224E3"/>
    <w:rsid w:val="1221208B"/>
    <w:rsid w:val="122F22A3"/>
    <w:rsid w:val="1253015A"/>
    <w:rsid w:val="127C6B6A"/>
    <w:rsid w:val="13566077"/>
    <w:rsid w:val="136046DE"/>
    <w:rsid w:val="13E23345"/>
    <w:rsid w:val="13FE2086"/>
    <w:rsid w:val="14A800EA"/>
    <w:rsid w:val="157D5ACE"/>
    <w:rsid w:val="157E1EF2"/>
    <w:rsid w:val="15CB6F31"/>
    <w:rsid w:val="16302145"/>
    <w:rsid w:val="16665CBB"/>
    <w:rsid w:val="16791831"/>
    <w:rsid w:val="17443F1A"/>
    <w:rsid w:val="174B04D5"/>
    <w:rsid w:val="1763586C"/>
    <w:rsid w:val="1771193C"/>
    <w:rsid w:val="17887D5F"/>
    <w:rsid w:val="18057602"/>
    <w:rsid w:val="18756BA8"/>
    <w:rsid w:val="189A2BFA"/>
    <w:rsid w:val="189A34D5"/>
    <w:rsid w:val="18D41224"/>
    <w:rsid w:val="18EA4FC5"/>
    <w:rsid w:val="18F97D87"/>
    <w:rsid w:val="19252D8F"/>
    <w:rsid w:val="193B413F"/>
    <w:rsid w:val="19B10934"/>
    <w:rsid w:val="1A4D521D"/>
    <w:rsid w:val="1A506DCE"/>
    <w:rsid w:val="1AEB69E4"/>
    <w:rsid w:val="1B0D155D"/>
    <w:rsid w:val="1B2C2344"/>
    <w:rsid w:val="1B3D709A"/>
    <w:rsid w:val="1BB71CD0"/>
    <w:rsid w:val="1BE2740F"/>
    <w:rsid w:val="1C0702B5"/>
    <w:rsid w:val="1C0A2C53"/>
    <w:rsid w:val="1C164930"/>
    <w:rsid w:val="1C385050"/>
    <w:rsid w:val="1C3927D6"/>
    <w:rsid w:val="1CA05B4B"/>
    <w:rsid w:val="1CDE5159"/>
    <w:rsid w:val="1CEF5573"/>
    <w:rsid w:val="1D100F23"/>
    <w:rsid w:val="1D232A04"/>
    <w:rsid w:val="1D4B6CB9"/>
    <w:rsid w:val="1DBD4D7F"/>
    <w:rsid w:val="1E102EF7"/>
    <w:rsid w:val="1E5953A7"/>
    <w:rsid w:val="1E7E4D14"/>
    <w:rsid w:val="1EBC5191"/>
    <w:rsid w:val="1F1F369F"/>
    <w:rsid w:val="1F690F58"/>
    <w:rsid w:val="20272301"/>
    <w:rsid w:val="20382140"/>
    <w:rsid w:val="20452672"/>
    <w:rsid w:val="20653548"/>
    <w:rsid w:val="207842BC"/>
    <w:rsid w:val="20A35799"/>
    <w:rsid w:val="20A8063A"/>
    <w:rsid w:val="21135143"/>
    <w:rsid w:val="21245CDD"/>
    <w:rsid w:val="213B6D8D"/>
    <w:rsid w:val="21464F13"/>
    <w:rsid w:val="216E7866"/>
    <w:rsid w:val="222D5297"/>
    <w:rsid w:val="225A2C43"/>
    <w:rsid w:val="2279283A"/>
    <w:rsid w:val="227D0076"/>
    <w:rsid w:val="22993768"/>
    <w:rsid w:val="22C8294E"/>
    <w:rsid w:val="22DA54E7"/>
    <w:rsid w:val="22DE6CDF"/>
    <w:rsid w:val="23163A8F"/>
    <w:rsid w:val="231B23CF"/>
    <w:rsid w:val="2322550C"/>
    <w:rsid w:val="23242738"/>
    <w:rsid w:val="23357B35"/>
    <w:rsid w:val="233D19B4"/>
    <w:rsid w:val="235B35D0"/>
    <w:rsid w:val="23A324C0"/>
    <w:rsid w:val="24101808"/>
    <w:rsid w:val="24D05488"/>
    <w:rsid w:val="251807D0"/>
    <w:rsid w:val="253D070B"/>
    <w:rsid w:val="255363D8"/>
    <w:rsid w:val="259B1AA7"/>
    <w:rsid w:val="259B44F8"/>
    <w:rsid w:val="259E5319"/>
    <w:rsid w:val="276A122F"/>
    <w:rsid w:val="27714256"/>
    <w:rsid w:val="27C96CC8"/>
    <w:rsid w:val="27D259A3"/>
    <w:rsid w:val="27E9286C"/>
    <w:rsid w:val="285A7228"/>
    <w:rsid w:val="289E62C6"/>
    <w:rsid w:val="28BB5582"/>
    <w:rsid w:val="28D61962"/>
    <w:rsid w:val="29B50E26"/>
    <w:rsid w:val="2A3B763C"/>
    <w:rsid w:val="2A99107E"/>
    <w:rsid w:val="2AA1140C"/>
    <w:rsid w:val="2AC428D0"/>
    <w:rsid w:val="2ACB2C0E"/>
    <w:rsid w:val="2AE11247"/>
    <w:rsid w:val="2AE4326A"/>
    <w:rsid w:val="2B74156D"/>
    <w:rsid w:val="2BB459BA"/>
    <w:rsid w:val="2C0E531F"/>
    <w:rsid w:val="2C4E7372"/>
    <w:rsid w:val="2CA27CCF"/>
    <w:rsid w:val="2CEF2903"/>
    <w:rsid w:val="2CF63EA5"/>
    <w:rsid w:val="2D412918"/>
    <w:rsid w:val="2D61440C"/>
    <w:rsid w:val="2D6F0515"/>
    <w:rsid w:val="2DE80973"/>
    <w:rsid w:val="2DE92F75"/>
    <w:rsid w:val="2DEF266F"/>
    <w:rsid w:val="2E0E4369"/>
    <w:rsid w:val="2E53443E"/>
    <w:rsid w:val="2E617528"/>
    <w:rsid w:val="2E805365"/>
    <w:rsid w:val="2E913E63"/>
    <w:rsid w:val="2EC01514"/>
    <w:rsid w:val="2F125AA3"/>
    <w:rsid w:val="2F302D5E"/>
    <w:rsid w:val="2F623869"/>
    <w:rsid w:val="2F857D67"/>
    <w:rsid w:val="2FE2647C"/>
    <w:rsid w:val="30385986"/>
    <w:rsid w:val="304C7546"/>
    <w:rsid w:val="30BE5A67"/>
    <w:rsid w:val="30DE58EA"/>
    <w:rsid w:val="3115045E"/>
    <w:rsid w:val="31200E47"/>
    <w:rsid w:val="314B2DA7"/>
    <w:rsid w:val="31B77767"/>
    <w:rsid w:val="31CB61DD"/>
    <w:rsid w:val="31D86852"/>
    <w:rsid w:val="322375EB"/>
    <w:rsid w:val="325A1988"/>
    <w:rsid w:val="32843012"/>
    <w:rsid w:val="32AA07AD"/>
    <w:rsid w:val="32AB26B5"/>
    <w:rsid w:val="32B7761C"/>
    <w:rsid w:val="32D63C1D"/>
    <w:rsid w:val="32F347CF"/>
    <w:rsid w:val="33015C82"/>
    <w:rsid w:val="337D071D"/>
    <w:rsid w:val="337D72C7"/>
    <w:rsid w:val="33F97BC3"/>
    <w:rsid w:val="342D2050"/>
    <w:rsid w:val="349B1368"/>
    <w:rsid w:val="34A05977"/>
    <w:rsid w:val="350543B6"/>
    <w:rsid w:val="354107BC"/>
    <w:rsid w:val="35501E23"/>
    <w:rsid w:val="35672E55"/>
    <w:rsid w:val="35675E3D"/>
    <w:rsid w:val="35934A0F"/>
    <w:rsid w:val="35AD18B2"/>
    <w:rsid w:val="35D07322"/>
    <w:rsid w:val="36071C0F"/>
    <w:rsid w:val="361A78AC"/>
    <w:rsid w:val="36366780"/>
    <w:rsid w:val="36A52284"/>
    <w:rsid w:val="370E17C2"/>
    <w:rsid w:val="372806CC"/>
    <w:rsid w:val="376D444E"/>
    <w:rsid w:val="37751BCC"/>
    <w:rsid w:val="37B620E2"/>
    <w:rsid w:val="37FA6FA7"/>
    <w:rsid w:val="380E7807"/>
    <w:rsid w:val="3811361D"/>
    <w:rsid w:val="38336ACB"/>
    <w:rsid w:val="385C3FDB"/>
    <w:rsid w:val="388F0AF6"/>
    <w:rsid w:val="38AE38A9"/>
    <w:rsid w:val="38AF62FB"/>
    <w:rsid w:val="38BC1488"/>
    <w:rsid w:val="39333B77"/>
    <w:rsid w:val="398E0301"/>
    <w:rsid w:val="39D82F9C"/>
    <w:rsid w:val="3A4C28FB"/>
    <w:rsid w:val="3A7B6A9F"/>
    <w:rsid w:val="3AA30888"/>
    <w:rsid w:val="3B275D45"/>
    <w:rsid w:val="3B331C0C"/>
    <w:rsid w:val="3B653F56"/>
    <w:rsid w:val="3B9A1C8B"/>
    <w:rsid w:val="3C487939"/>
    <w:rsid w:val="3C506111"/>
    <w:rsid w:val="3CA04076"/>
    <w:rsid w:val="3CE5188C"/>
    <w:rsid w:val="3CF63A53"/>
    <w:rsid w:val="3DE607E1"/>
    <w:rsid w:val="3DE9412E"/>
    <w:rsid w:val="3DF169B0"/>
    <w:rsid w:val="3DFD2205"/>
    <w:rsid w:val="3E170F3B"/>
    <w:rsid w:val="3E1D6BA4"/>
    <w:rsid w:val="3E4A58E8"/>
    <w:rsid w:val="3E8E421E"/>
    <w:rsid w:val="3E9660B6"/>
    <w:rsid w:val="3EAE2E24"/>
    <w:rsid w:val="3EB27BA5"/>
    <w:rsid w:val="3F141D55"/>
    <w:rsid w:val="3F244CC1"/>
    <w:rsid w:val="3F530871"/>
    <w:rsid w:val="3F6708E2"/>
    <w:rsid w:val="3FA253C9"/>
    <w:rsid w:val="40403448"/>
    <w:rsid w:val="41105DF3"/>
    <w:rsid w:val="411E4B7E"/>
    <w:rsid w:val="41486274"/>
    <w:rsid w:val="41D62EBD"/>
    <w:rsid w:val="4272634B"/>
    <w:rsid w:val="427F3FDA"/>
    <w:rsid w:val="42BC2416"/>
    <w:rsid w:val="42E42BC9"/>
    <w:rsid w:val="438049FB"/>
    <w:rsid w:val="438F11EC"/>
    <w:rsid w:val="43C628AC"/>
    <w:rsid w:val="43EE4CC7"/>
    <w:rsid w:val="44A1445C"/>
    <w:rsid w:val="44B65017"/>
    <w:rsid w:val="44CA3141"/>
    <w:rsid w:val="44DE5295"/>
    <w:rsid w:val="450F48DF"/>
    <w:rsid w:val="456D3C36"/>
    <w:rsid w:val="457101E2"/>
    <w:rsid w:val="458B74A6"/>
    <w:rsid w:val="45ED7D4D"/>
    <w:rsid w:val="461B65AA"/>
    <w:rsid w:val="462705C0"/>
    <w:rsid w:val="46393B5F"/>
    <w:rsid w:val="46655F66"/>
    <w:rsid w:val="46DB13AA"/>
    <w:rsid w:val="477F3EB0"/>
    <w:rsid w:val="47D013F3"/>
    <w:rsid w:val="47D33A8B"/>
    <w:rsid w:val="47DE6C76"/>
    <w:rsid w:val="48512FD1"/>
    <w:rsid w:val="488E4926"/>
    <w:rsid w:val="489A7C6C"/>
    <w:rsid w:val="4929619B"/>
    <w:rsid w:val="492D57AE"/>
    <w:rsid w:val="492E4EFC"/>
    <w:rsid w:val="49A64064"/>
    <w:rsid w:val="49BB3561"/>
    <w:rsid w:val="49BC3603"/>
    <w:rsid w:val="49C600F0"/>
    <w:rsid w:val="4A0E0038"/>
    <w:rsid w:val="4A6F2AC4"/>
    <w:rsid w:val="4ACB30BA"/>
    <w:rsid w:val="4AEB6431"/>
    <w:rsid w:val="4B021694"/>
    <w:rsid w:val="4B1D4687"/>
    <w:rsid w:val="4B553E21"/>
    <w:rsid w:val="4BB96A04"/>
    <w:rsid w:val="4BC41C91"/>
    <w:rsid w:val="4C3C26CF"/>
    <w:rsid w:val="4C4A7997"/>
    <w:rsid w:val="4C4F2E23"/>
    <w:rsid w:val="4D072F6F"/>
    <w:rsid w:val="4D0E77BC"/>
    <w:rsid w:val="4D4001B9"/>
    <w:rsid w:val="4D774051"/>
    <w:rsid w:val="4D8D73BE"/>
    <w:rsid w:val="4DA11701"/>
    <w:rsid w:val="4DA51E86"/>
    <w:rsid w:val="4DAC62CE"/>
    <w:rsid w:val="4DD40B5B"/>
    <w:rsid w:val="4E5715CC"/>
    <w:rsid w:val="4EE96D5A"/>
    <w:rsid w:val="4F6A0636"/>
    <w:rsid w:val="509831AF"/>
    <w:rsid w:val="50A21DBF"/>
    <w:rsid w:val="50AC0E6C"/>
    <w:rsid w:val="5154665E"/>
    <w:rsid w:val="515A6091"/>
    <w:rsid w:val="51B57115"/>
    <w:rsid w:val="51E14A36"/>
    <w:rsid w:val="52126329"/>
    <w:rsid w:val="521640C9"/>
    <w:rsid w:val="52470583"/>
    <w:rsid w:val="52E3448B"/>
    <w:rsid w:val="52E602D1"/>
    <w:rsid w:val="533453A9"/>
    <w:rsid w:val="539A209A"/>
    <w:rsid w:val="53B3096B"/>
    <w:rsid w:val="53D505E2"/>
    <w:rsid w:val="53EE6EF4"/>
    <w:rsid w:val="5432079C"/>
    <w:rsid w:val="54777864"/>
    <w:rsid w:val="548F745F"/>
    <w:rsid w:val="54B17FBE"/>
    <w:rsid w:val="54B87904"/>
    <w:rsid w:val="54FF0C91"/>
    <w:rsid w:val="55772575"/>
    <w:rsid w:val="557D4CE3"/>
    <w:rsid w:val="55985C34"/>
    <w:rsid w:val="55D21A3E"/>
    <w:rsid w:val="562A186C"/>
    <w:rsid w:val="571A1A7B"/>
    <w:rsid w:val="574D22F3"/>
    <w:rsid w:val="57723FD4"/>
    <w:rsid w:val="57B57EBE"/>
    <w:rsid w:val="57B92425"/>
    <w:rsid w:val="57BB500C"/>
    <w:rsid w:val="57D66975"/>
    <w:rsid w:val="57DC2701"/>
    <w:rsid w:val="58134E48"/>
    <w:rsid w:val="58A843C6"/>
    <w:rsid w:val="592301E1"/>
    <w:rsid w:val="59554E3B"/>
    <w:rsid w:val="597C4D04"/>
    <w:rsid w:val="59A10231"/>
    <w:rsid w:val="5A1E7263"/>
    <w:rsid w:val="5A4F7C8D"/>
    <w:rsid w:val="5A561049"/>
    <w:rsid w:val="5A7F55EC"/>
    <w:rsid w:val="5ADD3AB9"/>
    <w:rsid w:val="5B1C014C"/>
    <w:rsid w:val="5B673C31"/>
    <w:rsid w:val="5B765CFE"/>
    <w:rsid w:val="5C2D2CA7"/>
    <w:rsid w:val="5CA87D85"/>
    <w:rsid w:val="5CCC76A3"/>
    <w:rsid w:val="5CDD1CAA"/>
    <w:rsid w:val="5CFF1C77"/>
    <w:rsid w:val="5D156F6C"/>
    <w:rsid w:val="5D2A4E86"/>
    <w:rsid w:val="5D2C2FFF"/>
    <w:rsid w:val="5D5C2BD8"/>
    <w:rsid w:val="5E1E4AD4"/>
    <w:rsid w:val="5E467271"/>
    <w:rsid w:val="5E745CD6"/>
    <w:rsid w:val="5E754F3D"/>
    <w:rsid w:val="5EA17BBA"/>
    <w:rsid w:val="5EC30CE3"/>
    <w:rsid w:val="5EFE4B3A"/>
    <w:rsid w:val="5F237F75"/>
    <w:rsid w:val="5F9D130A"/>
    <w:rsid w:val="5FF55C85"/>
    <w:rsid w:val="603E5D79"/>
    <w:rsid w:val="606C06C2"/>
    <w:rsid w:val="60F5274C"/>
    <w:rsid w:val="614D033F"/>
    <w:rsid w:val="622938BA"/>
    <w:rsid w:val="622946BC"/>
    <w:rsid w:val="624928CA"/>
    <w:rsid w:val="629D2A1F"/>
    <w:rsid w:val="62ED61DB"/>
    <w:rsid w:val="62FD6687"/>
    <w:rsid w:val="63076D99"/>
    <w:rsid w:val="63860BC4"/>
    <w:rsid w:val="63A64A02"/>
    <w:rsid w:val="63A92E44"/>
    <w:rsid w:val="63CA23DA"/>
    <w:rsid w:val="63FE402F"/>
    <w:rsid w:val="643636A3"/>
    <w:rsid w:val="64587300"/>
    <w:rsid w:val="64757877"/>
    <w:rsid w:val="648512ED"/>
    <w:rsid w:val="64E66515"/>
    <w:rsid w:val="659A151F"/>
    <w:rsid w:val="65C11893"/>
    <w:rsid w:val="65D442A0"/>
    <w:rsid w:val="65FF3F09"/>
    <w:rsid w:val="660D737A"/>
    <w:rsid w:val="66EC0AF7"/>
    <w:rsid w:val="67873875"/>
    <w:rsid w:val="680D6EB2"/>
    <w:rsid w:val="68353326"/>
    <w:rsid w:val="687E75D9"/>
    <w:rsid w:val="68D53F0D"/>
    <w:rsid w:val="68DA4C11"/>
    <w:rsid w:val="68E90A30"/>
    <w:rsid w:val="691F0A55"/>
    <w:rsid w:val="69232A11"/>
    <w:rsid w:val="69304D10"/>
    <w:rsid w:val="69855FE9"/>
    <w:rsid w:val="69877951"/>
    <w:rsid w:val="69F22D5A"/>
    <w:rsid w:val="69F83958"/>
    <w:rsid w:val="6A1A08A5"/>
    <w:rsid w:val="6A2626FA"/>
    <w:rsid w:val="6A462E5B"/>
    <w:rsid w:val="6A870E0F"/>
    <w:rsid w:val="6A9B2674"/>
    <w:rsid w:val="6AAC573D"/>
    <w:rsid w:val="6AAE3893"/>
    <w:rsid w:val="6AF77660"/>
    <w:rsid w:val="6B51584D"/>
    <w:rsid w:val="6B832956"/>
    <w:rsid w:val="6B8754D9"/>
    <w:rsid w:val="6C0F7FD7"/>
    <w:rsid w:val="6C242858"/>
    <w:rsid w:val="6C5E0429"/>
    <w:rsid w:val="6C8E1655"/>
    <w:rsid w:val="6C90660F"/>
    <w:rsid w:val="6CCB19FA"/>
    <w:rsid w:val="6CF773AB"/>
    <w:rsid w:val="6DCF6E1E"/>
    <w:rsid w:val="6E950837"/>
    <w:rsid w:val="6F2F2727"/>
    <w:rsid w:val="6F6A3147"/>
    <w:rsid w:val="6F83464F"/>
    <w:rsid w:val="6FC40824"/>
    <w:rsid w:val="6FE52CEE"/>
    <w:rsid w:val="6FF66AA9"/>
    <w:rsid w:val="703B4EA9"/>
    <w:rsid w:val="70C920F0"/>
    <w:rsid w:val="70DE6F6B"/>
    <w:rsid w:val="70E51CD3"/>
    <w:rsid w:val="71655E64"/>
    <w:rsid w:val="71B457F4"/>
    <w:rsid w:val="71CA4040"/>
    <w:rsid w:val="72EA55A2"/>
    <w:rsid w:val="72F55AC2"/>
    <w:rsid w:val="732140CC"/>
    <w:rsid w:val="735B629C"/>
    <w:rsid w:val="736A607B"/>
    <w:rsid w:val="736D3206"/>
    <w:rsid w:val="73951FDA"/>
    <w:rsid w:val="743364C0"/>
    <w:rsid w:val="74545612"/>
    <w:rsid w:val="74675EA7"/>
    <w:rsid w:val="74AD26CC"/>
    <w:rsid w:val="74F87B4C"/>
    <w:rsid w:val="75006204"/>
    <w:rsid w:val="751F7C70"/>
    <w:rsid w:val="75207934"/>
    <w:rsid w:val="76147DED"/>
    <w:rsid w:val="7618410B"/>
    <w:rsid w:val="763921B6"/>
    <w:rsid w:val="76BE285E"/>
    <w:rsid w:val="770370DE"/>
    <w:rsid w:val="771E1BA7"/>
    <w:rsid w:val="7744501C"/>
    <w:rsid w:val="776C4A2B"/>
    <w:rsid w:val="77752FD1"/>
    <w:rsid w:val="77C31E96"/>
    <w:rsid w:val="78273E7E"/>
    <w:rsid w:val="78793C5B"/>
    <w:rsid w:val="78CC2A74"/>
    <w:rsid w:val="790330FE"/>
    <w:rsid w:val="79554276"/>
    <w:rsid w:val="796C5D0E"/>
    <w:rsid w:val="79715375"/>
    <w:rsid w:val="799F35DD"/>
    <w:rsid w:val="79A25B8B"/>
    <w:rsid w:val="7A0F3269"/>
    <w:rsid w:val="7A401BAE"/>
    <w:rsid w:val="7A7A220B"/>
    <w:rsid w:val="7BE37F78"/>
    <w:rsid w:val="7BF46C63"/>
    <w:rsid w:val="7BFA1CF7"/>
    <w:rsid w:val="7C38637B"/>
    <w:rsid w:val="7CD460A4"/>
    <w:rsid w:val="7CE1144E"/>
    <w:rsid w:val="7CF36E72"/>
    <w:rsid w:val="7D7D2D75"/>
    <w:rsid w:val="7D935417"/>
    <w:rsid w:val="7E041932"/>
    <w:rsid w:val="7E0603C0"/>
    <w:rsid w:val="7E1C06D7"/>
    <w:rsid w:val="7E9706B7"/>
    <w:rsid w:val="7EFB200E"/>
    <w:rsid w:val="7F64612E"/>
    <w:rsid w:val="7F7C7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4"/>
    <w:basedOn w:val="1"/>
    <w:next w:val="4"/>
    <w:autoRedefine/>
    <w:unhideWhenUsed/>
    <w:qFormat/>
    <w:uiPriority w:val="9"/>
    <w:pPr>
      <w:keepNext/>
      <w:keepLines/>
      <w:spacing w:before="200"/>
      <w:outlineLvl w:val="3"/>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0"/>
    <w:pPr>
      <w:spacing w:before="180" w:after="180"/>
    </w:pPr>
  </w:style>
  <w:style w:type="paragraph" w:styleId="5">
    <w:name w:val="annotation text"/>
    <w:basedOn w:val="1"/>
    <w:link w:val="19"/>
    <w:autoRedefine/>
    <w:qFormat/>
    <w:uiPriority w:val="0"/>
    <w:pPr>
      <w:jc w:val="left"/>
    </w:pPr>
  </w:style>
  <w:style w:type="paragraph" w:styleId="6">
    <w:name w:val="Body Text Indent 2"/>
    <w:basedOn w:val="1"/>
    <w:autoRedefine/>
    <w:unhideWhenUsed/>
    <w:qFormat/>
    <w:uiPriority w:val="99"/>
    <w:pPr>
      <w:spacing w:after="120" w:line="480" w:lineRule="auto"/>
      <w:ind w:left="420" w:leftChars="200"/>
    </w:pPr>
    <w:rPr>
      <w:rFonts w:ascii="Times New Roman" w:hAnsi="Times New Roman" w:cs="Times New Roman"/>
    </w:rPr>
  </w:style>
  <w:style w:type="paragraph" w:styleId="7">
    <w:name w:val="Balloon Text"/>
    <w:basedOn w:val="1"/>
    <w:link w:val="21"/>
    <w:autoRedefine/>
    <w:qFormat/>
    <w:uiPriority w:val="0"/>
    <w:rPr>
      <w:sz w:val="18"/>
      <w:szCs w:val="18"/>
    </w:rPr>
  </w:style>
  <w:style w:type="paragraph" w:styleId="8">
    <w:name w:val="footer"/>
    <w:basedOn w:val="1"/>
    <w:link w:val="18"/>
    <w:autoRedefine/>
    <w:qFormat/>
    <w:uiPriority w:val="0"/>
    <w:pPr>
      <w:tabs>
        <w:tab w:val="center" w:pos="4153"/>
        <w:tab w:val="right" w:pos="8306"/>
      </w:tabs>
      <w:snapToGrid w:val="0"/>
      <w:jc w:val="left"/>
    </w:pPr>
    <w:rPr>
      <w:sz w:val="18"/>
      <w:szCs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paragraph" w:styleId="11">
    <w:name w:val="annotation subject"/>
    <w:basedOn w:val="5"/>
    <w:next w:val="5"/>
    <w:link w:val="20"/>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autoRedefine/>
    <w:qFormat/>
    <w:uiPriority w:val="0"/>
    <w:rPr>
      <w:sz w:val="21"/>
      <w:szCs w:val="21"/>
    </w:rPr>
  </w:style>
  <w:style w:type="paragraph" w:styleId="16">
    <w:name w:val="List Paragraph"/>
    <w:basedOn w:val="1"/>
    <w:autoRedefine/>
    <w:qFormat/>
    <w:uiPriority w:val="34"/>
    <w:pPr>
      <w:ind w:firstLine="420" w:firstLineChars="200"/>
    </w:pPr>
  </w:style>
  <w:style w:type="character" w:customStyle="1" w:styleId="17">
    <w:name w:val="页眉 字符"/>
    <w:basedOn w:val="14"/>
    <w:link w:val="9"/>
    <w:autoRedefine/>
    <w:qFormat/>
    <w:uiPriority w:val="0"/>
    <w:rPr>
      <w:kern w:val="2"/>
      <w:sz w:val="18"/>
      <w:szCs w:val="18"/>
    </w:rPr>
  </w:style>
  <w:style w:type="character" w:customStyle="1" w:styleId="18">
    <w:name w:val="页脚 字符"/>
    <w:basedOn w:val="14"/>
    <w:link w:val="8"/>
    <w:autoRedefine/>
    <w:qFormat/>
    <w:uiPriority w:val="0"/>
    <w:rPr>
      <w:kern w:val="2"/>
      <w:sz w:val="18"/>
      <w:szCs w:val="18"/>
    </w:rPr>
  </w:style>
  <w:style w:type="character" w:customStyle="1" w:styleId="19">
    <w:name w:val="批注文字 字符"/>
    <w:basedOn w:val="14"/>
    <w:link w:val="5"/>
    <w:autoRedefine/>
    <w:qFormat/>
    <w:uiPriority w:val="0"/>
    <w:rPr>
      <w:kern w:val="2"/>
      <w:sz w:val="21"/>
      <w:szCs w:val="24"/>
    </w:rPr>
  </w:style>
  <w:style w:type="character" w:customStyle="1" w:styleId="20">
    <w:name w:val="批注主题 字符"/>
    <w:basedOn w:val="19"/>
    <w:link w:val="11"/>
    <w:autoRedefine/>
    <w:qFormat/>
    <w:uiPriority w:val="0"/>
    <w:rPr>
      <w:b/>
      <w:bCs/>
      <w:kern w:val="2"/>
      <w:sz w:val="21"/>
      <w:szCs w:val="24"/>
    </w:rPr>
  </w:style>
  <w:style w:type="character" w:customStyle="1" w:styleId="21">
    <w:name w:val="批注框文本 字符"/>
    <w:basedOn w:val="14"/>
    <w:link w:val="7"/>
    <w:autoRedefine/>
    <w:qFormat/>
    <w:uiPriority w:val="0"/>
    <w:rPr>
      <w:kern w:val="2"/>
      <w:sz w:val="18"/>
      <w:szCs w:val="18"/>
    </w:rPr>
  </w:style>
  <w:style w:type="paragraph" w:customStyle="1" w:styleId="22">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4">
    <w:name w:val="年报正文"/>
    <w:basedOn w:val="1"/>
    <w:autoRedefine/>
    <w:qFormat/>
    <w:uiPriority w:val="0"/>
    <w:pPr>
      <w:spacing w:before="120" w:beforeLines="50" w:line="360" w:lineRule="auto"/>
      <w:ind w:firstLine="480" w:firstLineChars="200"/>
    </w:pPr>
  </w:style>
  <w:style w:type="paragraph" w:customStyle="1" w:styleId="25">
    <w:name w:val="First Paragraph"/>
    <w:basedOn w:val="4"/>
    <w:next w:val="4"/>
    <w:autoRedefine/>
    <w:qFormat/>
    <w:uiPriority w:val="0"/>
  </w:style>
  <w:style w:type="paragraph" w:customStyle="1" w:styleId="26">
    <w:name w:val="_Style 75"/>
    <w:basedOn w:val="27"/>
    <w:autoRedefine/>
    <w:qFormat/>
    <w:uiPriority w:val="34"/>
    <w:pPr>
      <w:widowControl w:val="0"/>
      <w:ind w:firstLine="420" w:firstLineChars="200"/>
      <w:jc w:val="both"/>
    </w:pPr>
    <w:rPr>
      <w:rFonts w:ascii="Calibri" w:hAnsi="Calibri" w:cs="Times New Roman"/>
      <w:kern w:val="2"/>
      <w:szCs w:val="22"/>
    </w:rPr>
  </w:style>
  <w:style w:type="paragraph" w:customStyle="1" w:styleId="27">
    <w:name w:val="_Style 46"/>
    <w:autoRedefine/>
    <w:qFormat/>
    <w:uiPriority w:val="0"/>
    <w:rPr>
      <w:rFonts w:ascii="宋体" w:hAnsi="宋体" w:eastAsia="宋体" w:cs="宋体"/>
      <w:szCs w:val="24"/>
      <w:lang w:val="en-US" w:eastAsia="zh-CN" w:bidi="ar-SA"/>
    </w:rPr>
  </w:style>
  <w:style w:type="paragraph" w:customStyle="1" w:styleId="28">
    <w:name w:val="_Style 6"/>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9</Pages>
  <Words>3588</Words>
  <Characters>3816</Characters>
  <Lines>22</Lines>
  <Paragraphs>6</Paragraphs>
  <TotalTime>36</TotalTime>
  <ScaleCrop>false</ScaleCrop>
  <LinksUpToDate>false</LinksUpToDate>
  <CharactersWithSpaces>3843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2023-02-03T05:11:00Z</dcterms:created>
  <dc:creator>zyx✨</dc:creator>
  <cp:lastModifiedBy>颜琬潼</cp:lastModifiedBy>
  <cp:lastPrinted>2022-07-08T01:10:00Z</cp:lastPrinted>
  <dcterms:modified xsi:type="dcterms:W3CDTF">2025-09-26T01:52:58Z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B4CE3947D8EE4F8395D70B157A37F393_13</vt:lpwstr>
  </property>
  <property fmtid="{D5CDD505-2E9C-101B-9397-08002B2CF9AE}" pid="4" name="KSOTemplateDocerSaveRecord">
    <vt:lpwstr>eyJoZGlkIjoiZDRhMTYxOGNmYWZhOTM4MWYxOTE1YTNhODg4NmU5ODUiLCJ1c2VySWQiOiI1ODE3NjQyMDYifQ==</vt:lpwstr>
  </property>
</Properties>
</file>