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42687" w14:textId="7DB8F7C0" w:rsidR="008E5D0E" w:rsidRPr="007B50F5" w:rsidRDefault="008E5D0E" w:rsidP="008E5D0E">
      <w:pPr>
        <w:ind w:firstLineChars="200" w:firstLine="480"/>
        <w:rPr>
          <w:rFonts w:ascii="宋体" w:eastAsia="宋体" w:hAnsi="宋体" w:hint="eastAsia"/>
          <w:sz w:val="24"/>
          <w:szCs w:val="28"/>
        </w:rPr>
      </w:pPr>
      <w:bookmarkStart w:id="0" w:name="_Hlk135225506"/>
      <w:r w:rsidRPr="007B50F5">
        <w:rPr>
          <w:rFonts w:ascii="宋体" w:eastAsia="宋体" w:hAnsi="宋体" w:hint="eastAsia"/>
          <w:sz w:val="24"/>
          <w:szCs w:val="28"/>
        </w:rPr>
        <w:t>证券代码：</w:t>
      </w:r>
      <w:r>
        <w:rPr>
          <w:rFonts w:ascii="宋体" w:eastAsia="宋体" w:hAnsi="宋体" w:hint="eastAsia"/>
          <w:sz w:val="24"/>
          <w:szCs w:val="28"/>
        </w:rPr>
        <w:t>6</w:t>
      </w:r>
      <w:r>
        <w:rPr>
          <w:rFonts w:ascii="宋体" w:eastAsia="宋体" w:hAnsi="宋体"/>
          <w:sz w:val="24"/>
          <w:szCs w:val="28"/>
        </w:rPr>
        <w:t>00790</w:t>
      </w:r>
      <w:r w:rsidRPr="007B50F5">
        <w:rPr>
          <w:rFonts w:ascii="宋体" w:eastAsia="宋体" w:hAnsi="宋体" w:hint="eastAsia"/>
          <w:sz w:val="24"/>
          <w:szCs w:val="28"/>
        </w:rPr>
        <w:t xml:space="preserve"> </w:t>
      </w:r>
      <w:r w:rsidRPr="007B50F5">
        <w:rPr>
          <w:rFonts w:ascii="宋体" w:eastAsia="宋体" w:hAnsi="宋体"/>
          <w:sz w:val="24"/>
          <w:szCs w:val="28"/>
        </w:rPr>
        <w:t xml:space="preserve">                            </w:t>
      </w:r>
      <w:r w:rsidRPr="007B50F5">
        <w:rPr>
          <w:rFonts w:ascii="宋体" w:eastAsia="宋体" w:hAnsi="宋体" w:hint="eastAsia"/>
          <w:sz w:val="24"/>
          <w:szCs w:val="28"/>
        </w:rPr>
        <w:t>证券简称：</w:t>
      </w:r>
      <w:r>
        <w:rPr>
          <w:rFonts w:ascii="宋体" w:eastAsia="宋体" w:hAnsi="宋体" w:hint="eastAsia"/>
          <w:sz w:val="24"/>
          <w:szCs w:val="28"/>
        </w:rPr>
        <w:t>轻纺城</w:t>
      </w:r>
    </w:p>
    <w:bookmarkEnd w:id="0"/>
    <w:p w14:paraId="7CC6D4B8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72DB8237" w14:textId="77777777" w:rsidR="008E5D0E" w:rsidRPr="007B50F5" w:rsidRDefault="008E5D0E" w:rsidP="008E5D0E">
      <w:pPr>
        <w:rPr>
          <w:rFonts w:ascii="宋体" w:eastAsia="宋体" w:hAnsi="宋体" w:hint="eastAsia"/>
          <w:sz w:val="24"/>
          <w:szCs w:val="28"/>
        </w:rPr>
      </w:pPr>
    </w:p>
    <w:p w14:paraId="6A1F5D0E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6"/>
          <w:szCs w:val="40"/>
        </w:rPr>
      </w:pPr>
      <w:bookmarkStart w:id="1" w:name="_Hlk135225512"/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浙江中国轻纺城集团股份有限公司</w:t>
      </w:r>
    </w:p>
    <w:p w14:paraId="5041E3A3" w14:textId="77777777" w:rsidR="008E5D0E" w:rsidRPr="007B50F5" w:rsidRDefault="008E5D0E" w:rsidP="008E5D0E">
      <w:pPr>
        <w:jc w:val="center"/>
        <w:rPr>
          <w:rFonts w:ascii="黑体" w:eastAsia="黑体" w:hAnsi="黑体" w:hint="eastAsia"/>
          <w:b/>
          <w:bCs/>
          <w:color w:val="FF0000"/>
          <w:sz w:val="32"/>
          <w:szCs w:val="36"/>
        </w:rPr>
      </w:pPr>
      <w:r w:rsidRPr="007B50F5">
        <w:rPr>
          <w:rFonts w:ascii="黑体" w:eastAsia="黑体" w:hAnsi="黑体" w:hint="eastAsia"/>
          <w:b/>
          <w:bCs/>
          <w:color w:val="FF0000"/>
          <w:sz w:val="36"/>
          <w:szCs w:val="40"/>
        </w:rPr>
        <w:t>投资者关系活动记录表</w:t>
      </w:r>
    </w:p>
    <w:p w14:paraId="462699D3" w14:textId="6B0DE72A" w:rsidR="008E5D0E" w:rsidRPr="008E5D0E" w:rsidRDefault="008E5D0E" w:rsidP="008E5D0E">
      <w:pPr>
        <w:jc w:val="right"/>
        <w:rPr>
          <w:rFonts w:ascii="宋体" w:eastAsia="宋体" w:hAnsi="宋体" w:hint="eastAsia"/>
          <w:sz w:val="24"/>
          <w:szCs w:val="28"/>
        </w:rPr>
      </w:pPr>
      <w:bookmarkStart w:id="2" w:name="_Hlk135225535"/>
      <w:bookmarkEnd w:id="1"/>
      <w:r>
        <w:rPr>
          <w:rFonts w:ascii="宋体" w:eastAsia="宋体" w:hAnsi="宋体" w:hint="eastAsia"/>
          <w:sz w:val="24"/>
          <w:szCs w:val="28"/>
        </w:rPr>
        <w:t xml:space="preserve"> </w:t>
      </w:r>
      <w:r>
        <w:rPr>
          <w:rFonts w:ascii="宋体" w:eastAsia="宋体" w:hAnsi="宋体"/>
          <w:sz w:val="24"/>
          <w:szCs w:val="28"/>
        </w:rPr>
        <w:t xml:space="preserve">  </w:t>
      </w:r>
      <w:r w:rsidR="0015432B">
        <w:rPr>
          <w:rFonts w:ascii="宋体" w:eastAsia="宋体" w:hAnsi="宋体"/>
          <w:sz w:val="24"/>
          <w:szCs w:val="28"/>
        </w:rPr>
        <w:t xml:space="preserve">  </w:t>
      </w:r>
      <w:r w:rsidRPr="007B50F5">
        <w:rPr>
          <w:rFonts w:ascii="宋体" w:eastAsia="宋体" w:hAnsi="宋体" w:hint="eastAsia"/>
          <w:sz w:val="24"/>
          <w:szCs w:val="28"/>
        </w:rPr>
        <w:t>编号：</w:t>
      </w:r>
      <w:bookmarkEnd w:id="2"/>
      <w:r w:rsidR="008D2C4C">
        <w:rPr>
          <w:rFonts w:ascii="宋体" w:eastAsia="宋体" w:hAnsi="宋体" w:hint="eastAsia"/>
          <w:sz w:val="24"/>
          <w:szCs w:val="28"/>
        </w:rPr>
        <w:t>2</w:t>
      </w:r>
      <w:r w:rsidR="008D2C4C">
        <w:rPr>
          <w:rFonts w:ascii="宋体" w:eastAsia="宋体" w:hAnsi="宋体"/>
          <w:sz w:val="24"/>
          <w:szCs w:val="28"/>
        </w:rPr>
        <w:t>02</w:t>
      </w:r>
      <w:r w:rsidR="00DC0765">
        <w:rPr>
          <w:rFonts w:ascii="宋体" w:eastAsia="宋体" w:hAnsi="宋体" w:hint="eastAsia"/>
          <w:sz w:val="24"/>
          <w:szCs w:val="28"/>
        </w:rPr>
        <w:t>5</w:t>
      </w:r>
      <w:r w:rsidR="008D2C4C">
        <w:rPr>
          <w:rFonts w:ascii="宋体" w:eastAsia="宋体" w:hAnsi="宋体"/>
          <w:sz w:val="24"/>
          <w:szCs w:val="28"/>
        </w:rPr>
        <w:t>-00</w:t>
      </w:r>
      <w:r w:rsidR="000F43D8">
        <w:rPr>
          <w:rFonts w:ascii="宋体" w:eastAsia="宋体" w:hAnsi="宋体" w:hint="eastAsia"/>
          <w:sz w:val="24"/>
          <w:szCs w:val="28"/>
        </w:rPr>
        <w:t>3</w:t>
      </w:r>
    </w:p>
    <w:tbl>
      <w:tblPr>
        <w:tblW w:w="963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7796"/>
      </w:tblGrid>
      <w:tr w:rsidR="008E5D0E" w:rsidRPr="007B50F5" w14:paraId="5CB333AE" w14:textId="77777777" w:rsidTr="00006614">
        <w:trPr>
          <w:trHeight w:val="14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1A3A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0431676" w14:textId="77777777" w:rsidR="008E5D0E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8C17C38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投资者关系活动类别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8B6" w14:textId="12707C0E" w:rsidR="00B10F4C" w:rsidRPr="00B10F4C" w:rsidRDefault="00931FB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 xml:space="preserve">特定对象调研        </w:t>
            </w:r>
            <w:r w:rsidR="00010807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分析师会议</w:t>
            </w:r>
          </w:p>
          <w:p w14:paraId="68C3A78A" w14:textId="118D9EA7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媒体采访            </w:t>
            </w:r>
            <w:r w:rsidR="00DC0765"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>业绩说明会</w:t>
            </w:r>
          </w:p>
          <w:p w14:paraId="34FF48DA" w14:textId="5FBB0995" w:rsidR="00B10F4C" w:rsidRPr="00B10F4C" w:rsidRDefault="00B10F4C" w:rsidP="00AC0D63">
            <w:pPr>
              <w:spacing w:line="360" w:lineRule="auto"/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</w:pPr>
            <w:r w:rsidRPr="00B10F4C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□</w:t>
            </w:r>
            <w:r w:rsidRPr="00B10F4C">
              <w:rPr>
                <w:rFonts w:ascii="宋体" w:eastAsia="宋体" w:hAnsi="宋体" w:hint="eastAsia"/>
                <w:sz w:val="24"/>
              </w:rPr>
              <w:t xml:space="preserve">新闻发布会          </w:t>
            </w:r>
            <w:r w:rsidR="00491E8F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Pr="00B10F4C">
              <w:rPr>
                <w:rFonts w:ascii="宋体" w:eastAsia="宋体" w:hAnsi="宋体" w:hint="eastAsia"/>
                <w:sz w:val="24"/>
              </w:rPr>
              <w:t>路演活动</w:t>
            </w:r>
          </w:p>
          <w:p w14:paraId="58A568D2" w14:textId="0144FC4D" w:rsidR="008E5D0E" w:rsidRPr="00B10F4C" w:rsidRDefault="00006614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现场参观</w:t>
            </w:r>
            <w:r w:rsidR="00B10F4C" w:rsidRPr="00B10F4C">
              <w:rPr>
                <w:rFonts w:ascii="宋体" w:eastAsia="宋体" w:hAnsi="宋体"/>
                <w:bCs/>
                <w:iCs/>
                <w:color w:val="000000"/>
                <w:sz w:val="24"/>
              </w:rPr>
              <w:t xml:space="preserve">            </w:t>
            </w:r>
            <w:r w:rsidR="00DC0765">
              <w:rPr>
                <w:rFonts w:ascii="宋体" w:eastAsia="宋体" w:hAnsi="宋体" w:hint="eastAsia"/>
                <w:bCs/>
                <w:iCs/>
                <w:color w:val="000000"/>
                <w:sz w:val="24"/>
              </w:rPr>
              <w:t>√</w:t>
            </w:r>
            <w:r w:rsidR="00B10F4C" w:rsidRPr="00B10F4C">
              <w:rPr>
                <w:rFonts w:ascii="宋体" w:eastAsia="宋体" w:hAnsi="宋体" w:hint="eastAsia"/>
                <w:sz w:val="24"/>
              </w:rPr>
              <w:t>其他</w:t>
            </w:r>
          </w:p>
        </w:tc>
      </w:tr>
      <w:tr w:rsidR="008E5D0E" w:rsidRPr="007B50F5" w14:paraId="1372F9B8" w14:textId="77777777" w:rsidTr="00006614">
        <w:trPr>
          <w:trHeight w:val="59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AF2CC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时间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157D2" w14:textId="057FEC62" w:rsidR="008E5D0E" w:rsidRPr="007B50F5" w:rsidRDefault="008D2C4C" w:rsidP="00546413">
            <w:pPr>
              <w:spacing w:line="276" w:lineRule="auto"/>
              <w:jc w:val="left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>
              <w:rPr>
                <w:rFonts w:ascii="宋体" w:eastAsia="宋体" w:hAnsi="宋体"/>
                <w:sz w:val="24"/>
                <w:szCs w:val="28"/>
              </w:rPr>
              <w:t>02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月</w:t>
            </w:r>
            <w:r w:rsidR="000F43D8">
              <w:rPr>
                <w:rFonts w:ascii="宋体" w:eastAsia="宋体" w:hAnsi="宋体" w:hint="eastAsia"/>
                <w:sz w:val="24"/>
                <w:szCs w:val="28"/>
              </w:rPr>
              <w:t>22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日-2025年9月</w:t>
            </w:r>
            <w:r w:rsidR="000F43D8">
              <w:rPr>
                <w:rFonts w:ascii="宋体" w:eastAsia="宋体" w:hAnsi="宋体" w:hint="eastAsia"/>
                <w:sz w:val="24"/>
                <w:szCs w:val="28"/>
              </w:rPr>
              <w:t>26</w:t>
            </w:r>
            <w:r w:rsidR="00DC0765"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</w:tc>
      </w:tr>
      <w:tr w:rsidR="008E5D0E" w:rsidRPr="007B50F5" w14:paraId="05544B33" w14:textId="77777777" w:rsidTr="00006614">
        <w:trPr>
          <w:trHeight w:val="95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B53D" w14:textId="77777777" w:rsidR="0056551B" w:rsidRDefault="0056551B" w:rsidP="00B76319">
            <w:pPr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56FA0D6" w14:textId="4DA86EA6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参与单位名称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729FF" w14:textId="5567EF10" w:rsidR="00B76319" w:rsidRDefault="00006614" w:rsidP="0043612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006614">
              <w:rPr>
                <w:rFonts w:ascii="宋体" w:eastAsia="宋体" w:hAnsi="宋体" w:hint="eastAsia"/>
                <w:sz w:val="24"/>
                <w:szCs w:val="28"/>
              </w:rPr>
              <w:t>炫</w:t>
            </w:r>
            <w:proofErr w:type="gramEnd"/>
            <w:r w:rsidRPr="00006614">
              <w:rPr>
                <w:rFonts w:ascii="宋体" w:eastAsia="宋体" w:hAnsi="宋体" w:hint="eastAsia"/>
                <w:sz w:val="24"/>
                <w:szCs w:val="28"/>
              </w:rPr>
              <w:t>桥投资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Pr="00006614">
              <w:rPr>
                <w:rFonts w:ascii="宋体" w:eastAsia="宋体" w:hAnsi="宋体" w:hint="eastAsia"/>
                <w:sz w:val="24"/>
                <w:szCs w:val="28"/>
              </w:rPr>
              <w:t>怀信资产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Pr="00006614">
              <w:rPr>
                <w:rFonts w:ascii="宋体" w:eastAsia="宋体" w:hAnsi="宋体" w:hint="eastAsia"/>
                <w:sz w:val="24"/>
                <w:szCs w:val="28"/>
              </w:rPr>
              <w:t>金库基金</w:t>
            </w:r>
          </w:p>
          <w:p w14:paraId="0FBCD412" w14:textId="0A783A12" w:rsidR="00436123" w:rsidRDefault="007772A8" w:rsidP="0043612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B00D22">
              <w:rPr>
                <w:rFonts w:ascii="宋体" w:eastAsia="宋体" w:hAnsi="宋体" w:hint="eastAsia"/>
                <w:sz w:val="24"/>
                <w:szCs w:val="28"/>
              </w:rPr>
              <w:t>前海鸿富</w:t>
            </w:r>
            <w:proofErr w:type="gramEnd"/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06614" w:rsidRPr="00006614">
              <w:rPr>
                <w:rFonts w:ascii="宋体" w:eastAsia="宋体" w:hAnsi="宋体" w:hint="eastAsia"/>
                <w:sz w:val="24"/>
                <w:szCs w:val="28"/>
              </w:rPr>
              <w:t>静</w:t>
            </w:r>
            <w:proofErr w:type="gramStart"/>
            <w:r w:rsidR="00006614" w:rsidRPr="00006614">
              <w:rPr>
                <w:rFonts w:ascii="宋体" w:eastAsia="宋体" w:hAnsi="宋体" w:hint="eastAsia"/>
                <w:sz w:val="24"/>
                <w:szCs w:val="28"/>
              </w:rPr>
              <w:t>山基金</w:t>
            </w:r>
            <w:proofErr w:type="gramEnd"/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="00006614" w:rsidRPr="00006614">
              <w:rPr>
                <w:rFonts w:ascii="宋体" w:eastAsia="宋体" w:hAnsi="宋体" w:hint="eastAsia"/>
                <w:sz w:val="24"/>
                <w:szCs w:val="28"/>
              </w:rPr>
              <w:t>平安证券</w:t>
            </w:r>
          </w:p>
          <w:p w14:paraId="0366E81D" w14:textId="3766A61B" w:rsidR="00436123" w:rsidRDefault="007772A8" w:rsidP="0043612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bookmarkStart w:id="3" w:name="OLE_LINK1"/>
            <w:r>
              <w:rPr>
                <w:rFonts w:ascii="宋体" w:eastAsia="宋体" w:hAnsi="宋体" w:hint="eastAsia"/>
                <w:sz w:val="24"/>
                <w:szCs w:val="28"/>
              </w:rPr>
              <w:t>开源证券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bookmarkEnd w:id="3"/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proofErr w:type="gramStart"/>
            <w:r w:rsidR="00006614" w:rsidRPr="00006614">
              <w:rPr>
                <w:rFonts w:ascii="宋体" w:eastAsia="宋体" w:hAnsi="宋体" w:hint="eastAsia"/>
                <w:sz w:val="24"/>
                <w:szCs w:val="28"/>
              </w:rPr>
              <w:t>晖鸿投资</w:t>
            </w:r>
            <w:r w:rsidR="00436123"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="00006614" w:rsidRPr="00006614">
              <w:rPr>
                <w:rFonts w:ascii="宋体" w:eastAsia="宋体" w:hAnsi="宋体" w:hint="eastAsia"/>
                <w:sz w:val="24"/>
                <w:szCs w:val="28"/>
              </w:rPr>
              <w:t>顺洋</w:t>
            </w:r>
            <w:proofErr w:type="gramEnd"/>
            <w:r w:rsidR="00006614" w:rsidRPr="00006614">
              <w:rPr>
                <w:rFonts w:ascii="宋体" w:eastAsia="宋体" w:hAnsi="宋体" w:hint="eastAsia"/>
                <w:sz w:val="24"/>
                <w:szCs w:val="28"/>
              </w:rPr>
              <w:t>投资</w:t>
            </w:r>
          </w:p>
          <w:p w14:paraId="290A36D2" w14:textId="6539DCC6" w:rsidR="0063449A" w:rsidRDefault="00B00D22" w:rsidP="0043612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财通证券        </w:t>
            </w:r>
            <w:proofErr w:type="gramStart"/>
            <w:r>
              <w:rPr>
                <w:rFonts w:ascii="宋体" w:eastAsia="宋体" w:hAnsi="宋体" w:hint="eastAsia"/>
                <w:sz w:val="24"/>
                <w:szCs w:val="28"/>
              </w:rPr>
              <w:t>西部利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得        </w:t>
            </w:r>
            <w:r w:rsidRPr="00B00D22">
              <w:rPr>
                <w:rFonts w:ascii="宋体" w:eastAsia="宋体" w:hAnsi="宋体" w:hint="eastAsia"/>
                <w:sz w:val="24"/>
                <w:szCs w:val="28"/>
              </w:rPr>
              <w:t>朴拙资本</w:t>
            </w:r>
          </w:p>
          <w:p w14:paraId="606A57AD" w14:textId="236D339D" w:rsidR="00B00D22" w:rsidRDefault="00B00D22" w:rsidP="0043612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proofErr w:type="gramStart"/>
            <w:r w:rsidRPr="00B00D22">
              <w:rPr>
                <w:rFonts w:ascii="宋体" w:eastAsia="宋体" w:hAnsi="宋体" w:hint="eastAsia"/>
                <w:sz w:val="24"/>
                <w:szCs w:val="28"/>
              </w:rPr>
              <w:t>通乾投资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Pr="00B00D22">
              <w:rPr>
                <w:rFonts w:ascii="宋体" w:eastAsia="宋体" w:hAnsi="宋体" w:hint="eastAsia"/>
                <w:sz w:val="24"/>
                <w:szCs w:val="28"/>
              </w:rPr>
              <w:t>观火投</w:t>
            </w:r>
            <w:proofErr w:type="gramStart"/>
            <w:r w:rsidRPr="00B00D22">
              <w:rPr>
                <w:rFonts w:ascii="宋体" w:eastAsia="宋体" w:hAnsi="宋体" w:hint="eastAsia"/>
                <w:sz w:val="24"/>
                <w:szCs w:val="28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 xml:space="preserve">        </w:t>
            </w:r>
            <w:r w:rsidRPr="00B00D22">
              <w:rPr>
                <w:rFonts w:ascii="宋体" w:eastAsia="宋体" w:hAnsi="宋体" w:hint="eastAsia"/>
                <w:sz w:val="24"/>
                <w:szCs w:val="28"/>
              </w:rPr>
              <w:t>牧</w:t>
            </w:r>
            <w:proofErr w:type="gramStart"/>
            <w:r w:rsidRPr="00B00D22">
              <w:rPr>
                <w:rFonts w:ascii="宋体" w:eastAsia="宋体" w:hAnsi="宋体" w:hint="eastAsia"/>
                <w:sz w:val="24"/>
                <w:szCs w:val="28"/>
              </w:rPr>
              <w:t>鑫</w:t>
            </w:r>
            <w:proofErr w:type="gramEnd"/>
            <w:r w:rsidRPr="00B00D22">
              <w:rPr>
                <w:rFonts w:ascii="宋体" w:eastAsia="宋体" w:hAnsi="宋体" w:hint="eastAsia"/>
                <w:sz w:val="24"/>
                <w:szCs w:val="28"/>
              </w:rPr>
              <w:t>资产</w:t>
            </w:r>
          </w:p>
          <w:p w14:paraId="367A1A6B" w14:textId="5F4FC0A9" w:rsidR="00B00D22" w:rsidRPr="007B50F5" w:rsidRDefault="007772A8" w:rsidP="0043612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7772A8">
              <w:rPr>
                <w:rFonts w:ascii="宋体" w:eastAsia="宋体" w:hAnsi="宋体" w:hint="eastAsia"/>
                <w:sz w:val="24"/>
                <w:szCs w:val="28"/>
              </w:rPr>
              <w:t>沿湖产业服务</w:t>
            </w:r>
            <w:r w:rsidR="00B00D22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Pr="007772A8">
              <w:rPr>
                <w:rFonts w:ascii="宋体" w:eastAsia="宋体" w:hAnsi="宋体" w:hint="eastAsia"/>
                <w:sz w:val="24"/>
                <w:szCs w:val="28"/>
              </w:rPr>
              <w:t>深根固</w:t>
            </w:r>
            <w:proofErr w:type="gramStart"/>
            <w:r w:rsidRPr="007772A8">
              <w:rPr>
                <w:rFonts w:ascii="宋体" w:eastAsia="宋体" w:hAnsi="宋体" w:hint="eastAsia"/>
                <w:sz w:val="24"/>
                <w:szCs w:val="28"/>
              </w:rPr>
              <w:t>柢</w:t>
            </w:r>
            <w:proofErr w:type="gramEnd"/>
            <w:r w:rsidRPr="007772A8">
              <w:rPr>
                <w:rFonts w:ascii="宋体" w:eastAsia="宋体" w:hAnsi="宋体" w:hint="eastAsia"/>
                <w:sz w:val="24"/>
                <w:szCs w:val="28"/>
              </w:rPr>
              <w:t>基金</w:t>
            </w:r>
            <w:r w:rsidR="00B00D22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="00B00D22" w:rsidRPr="00B00D22">
              <w:rPr>
                <w:rFonts w:ascii="宋体" w:eastAsia="宋体" w:hAnsi="宋体" w:hint="eastAsia"/>
                <w:sz w:val="24"/>
                <w:szCs w:val="28"/>
              </w:rPr>
              <w:t>果行育</w:t>
            </w:r>
            <w:proofErr w:type="gramStart"/>
            <w:r w:rsidR="00B00D22" w:rsidRPr="00B00D22">
              <w:rPr>
                <w:rFonts w:ascii="宋体" w:eastAsia="宋体" w:hAnsi="宋体" w:hint="eastAsia"/>
                <w:sz w:val="24"/>
                <w:szCs w:val="28"/>
              </w:rPr>
              <w:t>德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管理</w:t>
            </w:r>
            <w:proofErr w:type="gramEnd"/>
            <w:r>
              <w:rPr>
                <w:rFonts w:ascii="宋体" w:eastAsia="宋体" w:hAnsi="宋体" w:hint="eastAsia"/>
                <w:sz w:val="24"/>
                <w:szCs w:val="28"/>
              </w:rPr>
              <w:t>咨询</w:t>
            </w:r>
          </w:p>
        </w:tc>
      </w:tr>
      <w:tr w:rsidR="008E5D0E" w:rsidRPr="007B50F5" w14:paraId="199CD862" w14:textId="77777777" w:rsidTr="00006614">
        <w:trPr>
          <w:trHeight w:val="60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E5A8" w14:textId="63CA5E9D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地点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D96C" w14:textId="44F4D3C8" w:rsidR="008E5D0E" w:rsidRPr="007B50F5" w:rsidRDefault="008E5D0E" w:rsidP="00AC0D63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8E5D0E" w:rsidRPr="007B50F5" w14:paraId="42DF512B" w14:textId="77777777" w:rsidTr="00006614">
        <w:trPr>
          <w:trHeight w:val="71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5DA67" w14:textId="61495A22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上市公司</w:t>
            </w:r>
          </w:p>
          <w:p w14:paraId="1438811B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接待人员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9A8F" w14:textId="4344E6A1" w:rsidR="008E5D0E" w:rsidRPr="007B50F5" w:rsidRDefault="00100369" w:rsidP="00AC0D63">
            <w:pPr>
              <w:spacing w:line="360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100369">
              <w:rPr>
                <w:rFonts w:ascii="宋体" w:eastAsia="宋体" w:hAnsi="宋体" w:hint="eastAsia"/>
                <w:sz w:val="24"/>
                <w:szCs w:val="28"/>
              </w:rPr>
              <w:t>董事会秘书：</w:t>
            </w:r>
            <w:r w:rsidR="00B76319">
              <w:rPr>
                <w:rFonts w:ascii="宋体" w:eastAsia="宋体" w:hAnsi="宋体" w:hint="eastAsia"/>
                <w:sz w:val="24"/>
                <w:szCs w:val="28"/>
              </w:rPr>
              <w:t>钱自强</w:t>
            </w:r>
            <w:r w:rsidR="00B76319" w:rsidRPr="007B50F5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</w:tc>
      </w:tr>
      <w:tr w:rsidR="008E5D0E" w:rsidRPr="000C779B" w14:paraId="733000FC" w14:textId="77777777" w:rsidTr="00006614">
        <w:trPr>
          <w:trHeight w:val="421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9A3B5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1A4A1C5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82EEBCF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2B193DBD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026257D3" w14:textId="77777777" w:rsidR="008E5D0E" w:rsidRPr="007B50F5" w:rsidRDefault="008E5D0E" w:rsidP="00AC0D63">
            <w:pPr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7B50F5">
              <w:rPr>
                <w:rFonts w:ascii="宋体" w:eastAsia="宋体" w:hAnsi="宋体" w:hint="eastAsia"/>
                <w:sz w:val="24"/>
                <w:szCs w:val="28"/>
              </w:rPr>
              <w:t>投资者关系活动主要内容记录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50B4" w14:textId="308442A7" w:rsidR="006D0E9F" w:rsidRDefault="006D0E9F" w:rsidP="006D0E9F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1.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请问</w:t>
            </w:r>
            <w:r w:rsidR="0086279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公司对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线上面料交易平台</w:t>
            </w:r>
            <w:r w:rsidR="0086279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的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升级</w:t>
            </w:r>
            <w:r w:rsidR="0086279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主要</w:t>
            </w:r>
            <w:r w:rsidR="003E5EAF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投入</w:t>
            </w:r>
            <w:r w:rsidR="0086279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 xml:space="preserve">在哪几个方面？ </w:t>
            </w:r>
          </w:p>
          <w:p w14:paraId="1A9F65CB" w14:textId="2E3E3AA8" w:rsidR="00E170F1" w:rsidRDefault="006D0E9F" w:rsidP="00862792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E5EAF">
              <w:rPr>
                <w:rFonts w:ascii="宋体" w:eastAsia="宋体" w:hAnsi="宋体" w:hint="eastAsia"/>
                <w:sz w:val="24"/>
                <w:szCs w:val="28"/>
              </w:rPr>
              <w:t>在国内TO</w:t>
            </w:r>
            <w:r w:rsidR="00262B8F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3E5EAF">
              <w:rPr>
                <w:rFonts w:ascii="宋体" w:eastAsia="宋体" w:hAnsi="宋体" w:hint="eastAsia"/>
                <w:sz w:val="24"/>
                <w:szCs w:val="28"/>
              </w:rPr>
              <w:t>B端</w:t>
            </w:r>
            <w:r w:rsidR="00262B8F">
              <w:rPr>
                <w:rFonts w:ascii="宋体" w:eastAsia="宋体" w:hAnsi="宋体" w:hint="eastAsia"/>
                <w:sz w:val="24"/>
                <w:szCs w:val="28"/>
              </w:rPr>
              <w:t>方面，以网上轻纺城为载体，</w:t>
            </w:r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依托“五脑合一”与面料数字化成果，为经营户注入AI 应用能力</w:t>
            </w:r>
            <w:r w:rsidR="00262B8F">
              <w:rPr>
                <w:rFonts w:ascii="宋体" w:eastAsia="宋体" w:hAnsi="宋体" w:hint="eastAsia"/>
                <w:sz w:val="24"/>
                <w:szCs w:val="28"/>
              </w:rPr>
              <w:t>。在海外TO B端，全球</w:t>
            </w:r>
            <w:proofErr w:type="gramStart"/>
            <w:r w:rsidR="00262B8F">
              <w:rPr>
                <w:rFonts w:ascii="宋体" w:eastAsia="宋体" w:hAnsi="宋体" w:hint="eastAsia"/>
                <w:sz w:val="24"/>
                <w:szCs w:val="28"/>
              </w:rPr>
              <w:t>纺织网</w:t>
            </w:r>
            <w:proofErr w:type="gramEnd"/>
            <w:r w:rsidR="00262B8F">
              <w:rPr>
                <w:rFonts w:ascii="宋体" w:eastAsia="宋体" w:hAnsi="宋体" w:hint="eastAsia"/>
                <w:sz w:val="24"/>
                <w:szCs w:val="28"/>
              </w:rPr>
              <w:t>为主力平台，</w:t>
            </w:r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聚焦海外市场拓展与服务升级，以“海外厅+仓”建设为核心，优化供需匹配效率与跨境交易场景，同步建设多语言海外站点，打造“线上便捷交易、海外高效服务”的全球贸易优势</w:t>
            </w:r>
            <w:r w:rsidR="00262B8F">
              <w:rPr>
                <w:rFonts w:ascii="宋体" w:eastAsia="宋体" w:hAnsi="宋体" w:hint="eastAsia"/>
                <w:sz w:val="24"/>
                <w:szCs w:val="28"/>
              </w:rPr>
              <w:t>。在TO C端，帘想家</w:t>
            </w:r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作为北联窗帘市场配套平台，深耕窗帘产业B</w:t>
            </w:r>
            <w:proofErr w:type="gramStart"/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端实力</w:t>
            </w:r>
            <w:proofErr w:type="gramEnd"/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与C</w:t>
            </w:r>
            <w:proofErr w:type="gramStart"/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端需求</w:t>
            </w:r>
            <w:proofErr w:type="gramEnd"/>
            <w:r w:rsidR="00262B8F" w:rsidRPr="00262B8F">
              <w:rPr>
                <w:rFonts w:ascii="宋体" w:eastAsia="宋体" w:hAnsi="宋体" w:hint="eastAsia"/>
                <w:sz w:val="24"/>
                <w:szCs w:val="28"/>
              </w:rPr>
              <w:t>融合，构建覆盖设计、交易、履约的全链条服务体系。</w:t>
            </w:r>
            <w:r w:rsidR="00900D9C" w:rsidRPr="00900D9C">
              <w:rPr>
                <w:rFonts w:ascii="宋体" w:eastAsia="宋体" w:hAnsi="宋体" w:hint="eastAsia"/>
                <w:sz w:val="24"/>
                <w:szCs w:val="28"/>
              </w:rPr>
              <w:t>公司线上面料交易平台核心功能是集3D面料展示、在线交易、物流跟踪、跨境支付、供应</w:t>
            </w:r>
            <w:proofErr w:type="gramStart"/>
            <w:r w:rsidR="00900D9C" w:rsidRPr="00900D9C">
              <w:rPr>
                <w:rFonts w:ascii="宋体" w:eastAsia="宋体" w:hAnsi="宋体" w:hint="eastAsia"/>
                <w:sz w:val="24"/>
                <w:szCs w:val="28"/>
              </w:rPr>
              <w:t>链金融于</w:t>
            </w:r>
            <w:proofErr w:type="gramEnd"/>
            <w:r w:rsidR="00900D9C" w:rsidRPr="00900D9C">
              <w:rPr>
                <w:rFonts w:ascii="宋体" w:eastAsia="宋体" w:hAnsi="宋体" w:hint="eastAsia"/>
                <w:sz w:val="24"/>
                <w:szCs w:val="28"/>
              </w:rPr>
              <w:t>一体，打破实体市场的局限</w:t>
            </w:r>
            <w:r w:rsidR="00900D9C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proofErr w:type="gramStart"/>
            <w:r w:rsidR="00900D9C" w:rsidRPr="00900D9C">
              <w:rPr>
                <w:rFonts w:ascii="宋体" w:eastAsia="宋体" w:hAnsi="宋体" w:hint="eastAsia"/>
                <w:sz w:val="24"/>
                <w:szCs w:val="28"/>
              </w:rPr>
              <w:t>实现线</w:t>
            </w:r>
            <w:proofErr w:type="gramEnd"/>
            <w:r w:rsidR="00900D9C" w:rsidRPr="00900D9C">
              <w:rPr>
                <w:rFonts w:ascii="宋体" w:eastAsia="宋体" w:hAnsi="宋体" w:hint="eastAsia"/>
                <w:sz w:val="24"/>
                <w:szCs w:val="28"/>
              </w:rPr>
              <w:t>上平台与线下市场数据互通、交易协同。</w:t>
            </w:r>
          </w:p>
          <w:p w14:paraId="3A725D55" w14:textId="77777777" w:rsidR="00862792" w:rsidRDefault="00862792" w:rsidP="00862792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06E7923E" w14:textId="0767A172" w:rsidR="00DD4ADE" w:rsidRDefault="00EB4797" w:rsidP="00C44EC8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2</w:t>
            </w:r>
            <w:r w:rsidR="00D22E72"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B16F18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请问</w:t>
            </w:r>
            <w:r w:rsidR="0077426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公司</w:t>
            </w:r>
            <w:r w:rsidR="002C653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数字</w:t>
            </w:r>
            <w:proofErr w:type="gramStart"/>
            <w:r w:rsidR="002C653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物流港</w:t>
            </w:r>
            <w:proofErr w:type="gramEnd"/>
            <w:r w:rsidR="002C6532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项目招商情况如何？对今年业绩有什么贡献？</w:t>
            </w:r>
          </w:p>
          <w:p w14:paraId="1D0E3DD0" w14:textId="353FB10B" w:rsidR="00DD4ADE" w:rsidRDefault="00D22E72" w:rsidP="00284AAF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公司数字</w:t>
            </w:r>
            <w:proofErr w:type="gramStart"/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物流港</w:t>
            </w:r>
            <w:proofErr w:type="gramEnd"/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项目的招商工作正在稳步推进。为保障项目高质量</w:t>
            </w:r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落地，公司已多次组织系统性市场调研和针对性实地走访，深入了解客户需求与行业动向，并成立了招商团队，积极与专业招商服务机构建立战略合作，全面推动</w:t>
            </w:r>
            <w:proofErr w:type="gramStart"/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物流港</w:t>
            </w:r>
            <w:proofErr w:type="gramEnd"/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的招商与运营进程。目前项目招商进展顺利，吸引了多家优质企业入驻，整体招商情况良好。随着</w:t>
            </w:r>
            <w:proofErr w:type="gramStart"/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物流港</w:t>
            </w:r>
            <w:proofErr w:type="gramEnd"/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逐步投入运营和商户服务持续完善，对公司</w:t>
            </w:r>
            <w:r w:rsidR="007067FE">
              <w:rPr>
                <w:rFonts w:ascii="宋体" w:eastAsia="宋体" w:hAnsi="宋体" w:hint="eastAsia"/>
                <w:sz w:val="24"/>
                <w:szCs w:val="28"/>
              </w:rPr>
              <w:t>今后</w:t>
            </w:r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的</w:t>
            </w:r>
            <w:r w:rsidR="007067FE">
              <w:rPr>
                <w:rFonts w:ascii="宋体" w:eastAsia="宋体" w:hAnsi="宋体" w:hint="eastAsia"/>
                <w:sz w:val="24"/>
                <w:szCs w:val="28"/>
              </w:rPr>
              <w:t>经营业绩</w:t>
            </w:r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带来积极贡献，进一步提升整体</w:t>
            </w:r>
            <w:r w:rsidR="007067FE">
              <w:rPr>
                <w:rFonts w:ascii="宋体" w:eastAsia="宋体" w:hAnsi="宋体" w:hint="eastAsia"/>
                <w:sz w:val="24"/>
                <w:szCs w:val="28"/>
              </w:rPr>
              <w:t>效益</w:t>
            </w:r>
            <w:r w:rsidR="000D22CB" w:rsidRPr="000D22CB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36A6F5E5" w14:textId="77777777" w:rsidR="00284AAF" w:rsidRDefault="00284AAF" w:rsidP="00284AAF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5829016F" w14:textId="29013531" w:rsidR="00DD4ADE" w:rsidRPr="00AE7F7E" w:rsidRDefault="00EB4797" w:rsidP="00AE7F7E">
            <w:pPr>
              <w:spacing w:line="276" w:lineRule="auto"/>
              <w:ind w:firstLine="480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3</w:t>
            </w:r>
            <w:r w:rsidR="001C2380" w:rsidRPr="001C2380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E960C9">
              <w:rPr>
                <w:rFonts w:hint="eastAsia"/>
              </w:rPr>
              <w:t xml:space="preserve"> </w:t>
            </w:r>
            <w:r w:rsidR="007067F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请问公司</w:t>
            </w:r>
            <w:r w:rsidR="007067FE" w:rsidRPr="007067F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提出的AI智能体</w:t>
            </w:r>
            <w:r w:rsidR="003C6AE5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大</w:t>
            </w:r>
            <w:r w:rsidR="007067F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模型具体</w:t>
            </w:r>
            <w:r w:rsidR="007067FE" w:rsidRPr="007067FE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将如何推进，并预计对公司未来业绩带来哪些实质影响？</w:t>
            </w:r>
          </w:p>
          <w:p w14:paraId="6FECA9E7" w14:textId="77777777" w:rsidR="003C6AE5" w:rsidRPr="003C6AE5" w:rsidRDefault="001C2380" w:rsidP="003C6AE5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3C6AE5" w:rsidRPr="003C6AE5">
              <w:rPr>
                <w:rFonts w:ascii="宋体" w:eastAsia="宋体" w:hAnsi="宋体" w:hint="eastAsia"/>
                <w:sz w:val="24"/>
                <w:szCs w:val="28"/>
              </w:rPr>
              <w:t>公司</w:t>
            </w:r>
            <w:bookmarkStart w:id="4" w:name="_Hlk209426116"/>
            <w:r w:rsidR="003C6AE5" w:rsidRPr="003C6AE5">
              <w:rPr>
                <w:rFonts w:ascii="宋体" w:eastAsia="宋体" w:hAnsi="宋体" w:hint="eastAsia"/>
                <w:sz w:val="24"/>
                <w:szCs w:val="28"/>
              </w:rPr>
              <w:t>将以AI、3D等前沿技术为支撑，深入挖掘中国轻纺城市场的商业潜力，重点围绕“中国轻纺城AI大模型”建设、网上轻纺城平台全面升级、全球面料贸易及供应</w:t>
            </w:r>
            <w:proofErr w:type="gramStart"/>
            <w:r w:rsidR="003C6AE5" w:rsidRPr="003C6AE5">
              <w:rPr>
                <w:rFonts w:ascii="宋体" w:eastAsia="宋体" w:hAnsi="宋体" w:hint="eastAsia"/>
                <w:sz w:val="24"/>
                <w:szCs w:val="28"/>
              </w:rPr>
              <w:t>链服务</w:t>
            </w:r>
            <w:proofErr w:type="gramEnd"/>
            <w:r w:rsidR="003C6AE5" w:rsidRPr="003C6AE5">
              <w:rPr>
                <w:rFonts w:ascii="宋体" w:eastAsia="宋体" w:hAnsi="宋体" w:hint="eastAsia"/>
                <w:sz w:val="24"/>
                <w:szCs w:val="28"/>
              </w:rPr>
              <w:t>等多个核心项目，构建“产业+AI+平台”的新业务架构，系统拓展轻纺城市场及公司自身的业务边界与经营能力。</w:t>
            </w:r>
          </w:p>
          <w:bookmarkEnd w:id="4"/>
          <w:p w14:paraId="3385C7D9" w14:textId="57CB869C" w:rsidR="00FE184B" w:rsidRDefault="003C6AE5" w:rsidP="000B1D4B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 w:rsidRPr="003C6AE5">
              <w:rPr>
                <w:rFonts w:ascii="宋体" w:eastAsia="宋体" w:hAnsi="宋体" w:hint="eastAsia"/>
                <w:sz w:val="24"/>
                <w:szCs w:val="28"/>
              </w:rPr>
              <w:t>实施这些项目，一方面有助于提升市场商户的市场开拓和</w:t>
            </w:r>
            <w:proofErr w:type="gramStart"/>
            <w:r w:rsidRPr="003C6AE5">
              <w:rPr>
                <w:rFonts w:ascii="宋体" w:eastAsia="宋体" w:hAnsi="宋体" w:hint="eastAsia"/>
                <w:sz w:val="24"/>
                <w:szCs w:val="28"/>
              </w:rPr>
              <w:t>客户触达能力</w:t>
            </w:r>
            <w:proofErr w:type="gramEnd"/>
            <w:r w:rsidRPr="003C6AE5">
              <w:rPr>
                <w:rFonts w:ascii="宋体" w:eastAsia="宋体" w:hAnsi="宋体" w:hint="eastAsia"/>
                <w:sz w:val="24"/>
                <w:szCs w:val="28"/>
              </w:rPr>
              <w:t>，协助商户突破传统面料交易环节和地域限制，显著降低交易成本与时间投入，提升整体交易效率和经营效益。另一方面，也将推动公司逐步超越原有以租金为主的收入结构，依托平台服务费、数字资产授权、贸易佣金等多元化收益来源，开辟更广阔的盈利增长路径。同时，相关举措还将大幅降低纺织行业在供应商、客户及生产商之间的信息沟通成本，提升全行业的协同效率、决策质量与运行效能。</w:t>
            </w:r>
            <w:r w:rsidR="00E960C9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75982D9C" w14:textId="28BA8585" w:rsidR="00632F11" w:rsidRPr="00FE184B" w:rsidRDefault="00632F11" w:rsidP="00FE184B">
            <w:pPr>
              <w:spacing w:line="276" w:lineRule="auto"/>
              <w:ind w:firstLine="495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BB9E900" w14:textId="06ECA9BC" w:rsidR="001732DC" w:rsidRDefault="000B1D4B" w:rsidP="001732DC">
            <w:pPr>
              <w:spacing w:line="276" w:lineRule="auto"/>
              <w:ind w:firstLine="495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4</w:t>
            </w:r>
            <w:r w:rsidR="00BE62EA" w:rsidRPr="00BE62EA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E7297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面对线上平台和线下其他大型窗帘集散地的</w:t>
            </w:r>
            <w:r w:rsidR="00E170F1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激烈竞争</w:t>
            </w:r>
            <w:r w:rsidR="00E72977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，公司认为北联市场最不可替代的核心竞争优势是什么？</w:t>
            </w:r>
          </w:p>
          <w:p w14:paraId="331B2752" w14:textId="1BD46838" w:rsidR="003B2DCC" w:rsidRDefault="00BE62EA" w:rsidP="003B2DCC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E72977" w:rsidRPr="00E72977">
              <w:rPr>
                <w:rFonts w:ascii="宋体" w:eastAsia="宋体" w:hAnsi="宋体" w:hint="eastAsia"/>
                <w:sz w:val="24"/>
                <w:szCs w:val="28"/>
              </w:rPr>
              <w:t>北联市场的核心竞争优势在于其深耕行业</w:t>
            </w:r>
            <w:r w:rsidR="00E20E10">
              <w:rPr>
                <w:rFonts w:ascii="宋体" w:eastAsia="宋体" w:hAnsi="宋体" w:hint="eastAsia"/>
                <w:sz w:val="24"/>
                <w:szCs w:val="28"/>
              </w:rPr>
              <w:t>多年</w:t>
            </w:r>
            <w:r w:rsidR="00E72977" w:rsidRPr="00E72977">
              <w:rPr>
                <w:rFonts w:ascii="宋体" w:eastAsia="宋体" w:hAnsi="宋体" w:hint="eastAsia"/>
                <w:sz w:val="24"/>
                <w:szCs w:val="28"/>
              </w:rPr>
              <w:t>所打造的“集群效应”与“沉浸式选品体验”的深度融合。</w:t>
            </w:r>
            <w:r w:rsidR="00E72977">
              <w:rPr>
                <w:rFonts w:ascii="宋体" w:eastAsia="宋体" w:hAnsi="宋体" w:hint="eastAsia"/>
                <w:sz w:val="24"/>
                <w:szCs w:val="28"/>
              </w:rPr>
              <w:t>北联市场不仅是简单的一个提供窗帘买卖的交易场所，更是汇聚了</w:t>
            </w:r>
            <w:r w:rsidR="003C1200" w:rsidRPr="003C1200">
              <w:rPr>
                <w:rFonts w:ascii="宋体" w:eastAsia="宋体" w:hAnsi="宋体" w:hint="eastAsia"/>
                <w:sz w:val="24"/>
                <w:szCs w:val="28"/>
              </w:rPr>
              <w:t>海量现货、前沿资讯和成熟产业链的生态枢纽</w:t>
            </w:r>
            <w:r w:rsidR="003C1200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proofErr w:type="gramStart"/>
            <w:r w:rsidR="00A81529">
              <w:rPr>
                <w:rFonts w:ascii="宋体" w:eastAsia="宋体" w:hAnsi="宋体" w:hint="eastAsia"/>
                <w:sz w:val="24"/>
                <w:szCs w:val="28"/>
              </w:rPr>
              <w:t>采购户</w:t>
            </w:r>
            <w:proofErr w:type="gramEnd"/>
            <w:r w:rsidR="003C1200" w:rsidRPr="003C1200">
              <w:rPr>
                <w:rFonts w:ascii="宋体" w:eastAsia="宋体" w:hAnsi="宋体" w:hint="eastAsia"/>
                <w:sz w:val="24"/>
                <w:szCs w:val="28"/>
              </w:rPr>
              <w:t>能在这里亲手触摸面料质感、对比花色工艺，并当场完成</w:t>
            </w:r>
            <w:proofErr w:type="gramStart"/>
            <w:r w:rsidR="003C1200" w:rsidRPr="003C1200">
              <w:rPr>
                <w:rFonts w:ascii="宋体" w:eastAsia="宋体" w:hAnsi="宋体" w:hint="eastAsia"/>
                <w:sz w:val="24"/>
                <w:szCs w:val="28"/>
              </w:rPr>
              <w:t>高复杂</w:t>
            </w:r>
            <w:proofErr w:type="gramEnd"/>
            <w:r w:rsidR="003C1200" w:rsidRPr="003C1200">
              <w:rPr>
                <w:rFonts w:ascii="宋体" w:eastAsia="宋体" w:hAnsi="宋体" w:hint="eastAsia"/>
                <w:sz w:val="24"/>
                <w:szCs w:val="28"/>
              </w:rPr>
              <w:t>度的定制洽谈，这种高效率的线下综合决策体验</w:t>
            </w:r>
            <w:proofErr w:type="gramStart"/>
            <w:r w:rsidR="003C1200" w:rsidRPr="003C1200">
              <w:rPr>
                <w:rFonts w:ascii="宋体" w:eastAsia="宋体" w:hAnsi="宋体" w:hint="eastAsia"/>
                <w:sz w:val="24"/>
                <w:szCs w:val="28"/>
              </w:rPr>
              <w:t>是纯线上</w:t>
            </w:r>
            <w:proofErr w:type="gramEnd"/>
            <w:r w:rsidR="003C1200" w:rsidRPr="003C1200">
              <w:rPr>
                <w:rFonts w:ascii="宋体" w:eastAsia="宋体" w:hAnsi="宋体" w:hint="eastAsia"/>
                <w:sz w:val="24"/>
                <w:szCs w:val="28"/>
              </w:rPr>
              <w:t>平台无法替代的</w:t>
            </w:r>
            <w:r w:rsidR="00A81529">
              <w:rPr>
                <w:rFonts w:ascii="宋体" w:eastAsia="宋体" w:hAnsi="宋体" w:hint="eastAsia"/>
                <w:sz w:val="24"/>
                <w:szCs w:val="28"/>
              </w:rPr>
              <w:t>，且依托于柯桥巨大的产业纺织产业规模和声誉，窗帘品类齐全且价格透明，</w:t>
            </w:r>
            <w:r w:rsidR="00A7446E">
              <w:rPr>
                <w:rFonts w:ascii="宋体" w:eastAsia="宋体" w:hAnsi="宋体" w:hint="eastAsia"/>
                <w:sz w:val="24"/>
                <w:szCs w:val="28"/>
              </w:rPr>
              <w:t>同时公司在北联市场内开设</w:t>
            </w:r>
            <w:r w:rsidR="00A7446E" w:rsidRPr="00A7446E">
              <w:rPr>
                <w:rFonts w:ascii="宋体" w:eastAsia="宋体" w:hAnsi="宋体" w:hint="eastAsia"/>
                <w:sz w:val="24"/>
                <w:szCs w:val="28"/>
              </w:rPr>
              <w:t>全天候弹性营业成品窗帘展贸区，高度</w:t>
            </w:r>
            <w:proofErr w:type="gramStart"/>
            <w:r w:rsidR="00A7446E" w:rsidRPr="00A7446E">
              <w:rPr>
                <w:rFonts w:ascii="宋体" w:eastAsia="宋体" w:hAnsi="宋体" w:hint="eastAsia"/>
                <w:sz w:val="24"/>
                <w:szCs w:val="28"/>
              </w:rPr>
              <w:t>黏</w:t>
            </w:r>
            <w:proofErr w:type="gramEnd"/>
            <w:r w:rsidR="00A7446E" w:rsidRPr="00A7446E">
              <w:rPr>
                <w:rFonts w:ascii="宋体" w:eastAsia="宋体" w:hAnsi="宋体" w:hint="eastAsia"/>
                <w:sz w:val="24"/>
                <w:szCs w:val="28"/>
              </w:rPr>
              <w:t>连优质经营户，以“线上+线下”、“平台+贸易”的新模式，为窗帘市场延伸小B端和C端的服务链条</w:t>
            </w:r>
            <w:r w:rsidR="00E20E10">
              <w:rPr>
                <w:rFonts w:ascii="宋体" w:eastAsia="宋体" w:hAnsi="宋体" w:hint="eastAsia"/>
                <w:sz w:val="24"/>
                <w:szCs w:val="28"/>
              </w:rPr>
              <w:t>，未来将</w:t>
            </w:r>
            <w:r w:rsidR="00E20E10" w:rsidRPr="00E20E10">
              <w:rPr>
                <w:rFonts w:ascii="宋体" w:eastAsia="宋体" w:hAnsi="宋体" w:hint="eastAsia"/>
                <w:sz w:val="24"/>
                <w:szCs w:val="28"/>
              </w:rPr>
              <w:t>以成品窗帘布局跨境电商，建立高效便捷的商贸平台，推动轻纺城窗帘向品牌化、数字化、国际化发展，加快实现“线上+线下”、“国内+国际”双循环发展格局。</w:t>
            </w:r>
          </w:p>
          <w:p w14:paraId="07A9C795" w14:textId="0E208514" w:rsidR="00DD4ADE" w:rsidRDefault="00DD4ADE" w:rsidP="00EB4FD5">
            <w:pPr>
              <w:spacing w:line="276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39A8F42E" w14:textId="48D01BD1" w:rsidR="00DD4ADE" w:rsidRPr="00D21CE6" w:rsidRDefault="00713165" w:rsidP="00D21CE6">
            <w:pPr>
              <w:spacing w:line="276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="0094660B">
              <w:rPr>
                <w:rFonts w:ascii="宋体" w:eastAsia="宋体" w:hAnsi="宋体" w:hint="eastAsia"/>
                <w:sz w:val="24"/>
                <w:szCs w:val="28"/>
              </w:rPr>
              <w:t xml:space="preserve">  </w:t>
            </w:r>
            <w:r w:rsidR="000B1D4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5</w:t>
            </w:r>
            <w:r w:rsidR="00851C84" w:rsidRPr="007213F7">
              <w:rPr>
                <w:rFonts w:ascii="宋体" w:eastAsia="宋体" w:hAnsi="宋体"/>
                <w:b/>
                <w:bCs/>
                <w:sz w:val="24"/>
                <w:szCs w:val="28"/>
              </w:rPr>
              <w:t>.</w:t>
            </w:r>
            <w:r w:rsidR="00BC25D0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请问公司在资本结构优化方面有什么规划？</w:t>
            </w:r>
            <w:r w:rsidR="00D4614B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39DA3980" w14:textId="08580AEA" w:rsidR="0094660B" w:rsidRDefault="007213F7" w:rsidP="00B840D6">
            <w:pPr>
              <w:spacing w:line="276" w:lineRule="auto"/>
              <w:ind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BC25D0">
              <w:rPr>
                <w:rFonts w:ascii="宋体" w:eastAsia="宋体" w:hAnsi="宋体" w:hint="eastAsia"/>
                <w:sz w:val="24"/>
                <w:szCs w:val="28"/>
              </w:rPr>
              <w:t>公司在资本优化方面主要目标是</w:t>
            </w:r>
            <w:r w:rsidR="00BC25D0" w:rsidRPr="00BC25D0">
              <w:rPr>
                <w:rFonts w:ascii="宋体" w:eastAsia="宋体" w:hAnsi="宋体"/>
                <w:sz w:val="24"/>
                <w:szCs w:val="28"/>
              </w:rPr>
              <w:t>降低负债、提升资产运营效率</w:t>
            </w:r>
            <w:r w:rsidR="00BC25D0">
              <w:rPr>
                <w:rFonts w:ascii="宋体" w:eastAsia="宋体" w:hAnsi="宋体" w:hint="eastAsia"/>
                <w:sz w:val="24"/>
                <w:szCs w:val="28"/>
              </w:rPr>
              <w:t>，并为公司新业务注入活力，</w:t>
            </w:r>
            <w:r w:rsidR="00BC25D0" w:rsidRPr="00BC25D0">
              <w:rPr>
                <w:rFonts w:ascii="宋体" w:eastAsia="宋体" w:hAnsi="宋体" w:hint="eastAsia"/>
                <w:sz w:val="24"/>
                <w:szCs w:val="28"/>
              </w:rPr>
              <w:t>推动公司从传统商业租赁模式向轻资产化的</w:t>
            </w:r>
            <w:r w:rsidR="00BD11B8">
              <w:rPr>
                <w:rFonts w:ascii="宋体" w:eastAsia="宋体" w:hAnsi="宋体" w:hint="eastAsia"/>
                <w:sz w:val="24"/>
                <w:szCs w:val="28"/>
              </w:rPr>
              <w:t>纺织行业综合集成服务商</w:t>
            </w:r>
            <w:r w:rsidR="00BC25D0" w:rsidRPr="00BC25D0">
              <w:rPr>
                <w:rFonts w:ascii="宋体" w:eastAsia="宋体" w:hAnsi="宋体" w:hint="eastAsia"/>
                <w:sz w:val="24"/>
                <w:szCs w:val="28"/>
              </w:rPr>
              <w:t>升级与扩展</w:t>
            </w:r>
            <w:r w:rsidR="00BC25D0">
              <w:rPr>
                <w:rFonts w:ascii="宋体" w:eastAsia="宋体" w:hAnsi="宋体" w:hint="eastAsia"/>
                <w:sz w:val="24"/>
                <w:szCs w:val="28"/>
              </w:rPr>
              <w:t>。</w:t>
            </w:r>
            <w:r w:rsidR="00740B97">
              <w:rPr>
                <w:rFonts w:ascii="宋体" w:eastAsia="宋体" w:hAnsi="宋体" w:hint="eastAsia"/>
                <w:sz w:val="24"/>
                <w:szCs w:val="28"/>
              </w:rPr>
              <w:t>具体规划上，</w:t>
            </w:r>
            <w:r w:rsidR="00BC25D0">
              <w:rPr>
                <w:rFonts w:ascii="宋体" w:eastAsia="宋体" w:hAnsi="宋体" w:hint="eastAsia"/>
                <w:sz w:val="24"/>
                <w:szCs w:val="28"/>
              </w:rPr>
              <w:t>一方面是积极盘活线下资</w:t>
            </w:r>
            <w:r w:rsidR="00BC25D0">
              <w:rPr>
                <w:rFonts w:ascii="宋体" w:eastAsia="宋体" w:hAnsi="宋体" w:hint="eastAsia"/>
                <w:sz w:val="24"/>
                <w:szCs w:val="28"/>
              </w:rPr>
              <w:lastRenderedPageBreak/>
              <w:t>产，</w:t>
            </w:r>
            <w:proofErr w:type="gramStart"/>
            <w:r w:rsidR="007C3B15">
              <w:rPr>
                <w:rFonts w:ascii="宋体" w:eastAsia="宋体" w:hAnsi="宋体" w:hint="eastAsia"/>
                <w:sz w:val="24"/>
                <w:szCs w:val="28"/>
              </w:rPr>
              <w:t>以北联</w:t>
            </w:r>
            <w:proofErr w:type="gramEnd"/>
            <w:r w:rsidR="007C3B15">
              <w:rPr>
                <w:rFonts w:ascii="宋体" w:eastAsia="宋体" w:hAnsi="宋体" w:hint="eastAsia"/>
                <w:sz w:val="24"/>
                <w:szCs w:val="28"/>
              </w:rPr>
              <w:t>市场作为底层资产，</w:t>
            </w:r>
            <w:r w:rsidR="007C3B15" w:rsidRPr="007C3B15">
              <w:rPr>
                <w:rFonts w:ascii="宋体" w:eastAsia="宋体" w:hAnsi="宋体" w:hint="eastAsia"/>
                <w:sz w:val="24"/>
                <w:szCs w:val="28"/>
              </w:rPr>
              <w:t>开展基础设施公募REITs申报发行工作</w:t>
            </w:r>
            <w:r w:rsidR="007C3B15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7C3B15" w:rsidRPr="007C3B15">
              <w:rPr>
                <w:rFonts w:ascii="宋体" w:eastAsia="宋体" w:hAnsi="宋体" w:hint="eastAsia"/>
                <w:sz w:val="24"/>
                <w:szCs w:val="28"/>
              </w:rPr>
              <w:t>增强公司可持续经营能力。</w:t>
            </w:r>
            <w:r w:rsidR="00E643B3">
              <w:rPr>
                <w:rFonts w:ascii="宋体" w:eastAsia="宋体" w:hAnsi="宋体" w:hint="eastAsia"/>
                <w:sz w:val="24"/>
                <w:szCs w:val="28"/>
              </w:rPr>
              <w:t>另一方面积极引入战略投资者，</w:t>
            </w:r>
            <w:r w:rsidR="00E643B3" w:rsidRPr="00E643B3">
              <w:rPr>
                <w:rFonts w:ascii="宋体" w:eastAsia="宋体" w:hAnsi="宋体" w:hint="eastAsia"/>
                <w:sz w:val="24"/>
                <w:szCs w:val="28"/>
              </w:rPr>
              <w:t>有效补充权益资本、降低负债</w:t>
            </w:r>
            <w:r w:rsidR="00E643B3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E643B3" w:rsidRPr="00E643B3">
              <w:rPr>
                <w:rFonts w:ascii="宋体" w:eastAsia="宋体" w:hAnsi="宋体" w:hint="eastAsia"/>
                <w:sz w:val="24"/>
                <w:szCs w:val="28"/>
              </w:rPr>
              <w:t>优化</w:t>
            </w:r>
            <w:r w:rsidR="00E643B3">
              <w:rPr>
                <w:rFonts w:ascii="宋体" w:eastAsia="宋体" w:hAnsi="宋体" w:hint="eastAsia"/>
                <w:sz w:val="24"/>
                <w:szCs w:val="28"/>
              </w:rPr>
              <w:t>资本</w:t>
            </w:r>
            <w:r w:rsidR="00E643B3" w:rsidRPr="00E643B3">
              <w:rPr>
                <w:rFonts w:ascii="宋体" w:eastAsia="宋体" w:hAnsi="宋体" w:hint="eastAsia"/>
                <w:sz w:val="24"/>
                <w:szCs w:val="28"/>
              </w:rPr>
              <w:t>结构，分散业务风险</w:t>
            </w:r>
            <w:r w:rsidR="00E643B3">
              <w:rPr>
                <w:rFonts w:ascii="宋体" w:eastAsia="宋体" w:hAnsi="宋体" w:hint="eastAsia"/>
                <w:sz w:val="24"/>
                <w:szCs w:val="28"/>
              </w:rPr>
              <w:t>，多</w:t>
            </w:r>
            <w:proofErr w:type="gramStart"/>
            <w:r w:rsidR="00E643B3">
              <w:rPr>
                <w:rFonts w:ascii="宋体" w:eastAsia="宋体" w:hAnsi="宋体" w:hint="eastAsia"/>
                <w:sz w:val="24"/>
                <w:szCs w:val="28"/>
              </w:rPr>
              <w:t>措</w:t>
            </w:r>
            <w:proofErr w:type="gramEnd"/>
            <w:r w:rsidR="00E643B3">
              <w:rPr>
                <w:rFonts w:ascii="宋体" w:eastAsia="宋体" w:hAnsi="宋体" w:hint="eastAsia"/>
                <w:sz w:val="24"/>
                <w:szCs w:val="28"/>
              </w:rPr>
              <w:t>并举</w:t>
            </w:r>
            <w:r w:rsidR="00E643B3" w:rsidRPr="00E643B3">
              <w:rPr>
                <w:rFonts w:ascii="宋体" w:eastAsia="宋体" w:hAnsi="宋体" w:hint="eastAsia"/>
                <w:sz w:val="24"/>
                <w:szCs w:val="28"/>
              </w:rPr>
              <w:t>构筑公司更健康、更有韧性的资本基础</w:t>
            </w:r>
            <w:r w:rsidR="00E643B3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14:paraId="42BDCDCB" w14:textId="77777777" w:rsidR="00367659" w:rsidRDefault="00367659" w:rsidP="007E0A50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</w:p>
          <w:p w14:paraId="7168AA41" w14:textId="320DA846" w:rsidR="00367659" w:rsidRPr="0094660B" w:rsidRDefault="000B1D4B" w:rsidP="00367659">
            <w:pPr>
              <w:spacing w:line="276" w:lineRule="auto"/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6</w:t>
            </w:r>
            <w:r w:rsidR="00367659" w:rsidRPr="0094660B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.</w:t>
            </w:r>
            <w:r w:rsidR="00367659">
              <w:rPr>
                <w:rFonts w:ascii="宋体" w:eastAsia="宋体" w:hAnsi="宋体" w:hint="eastAsia"/>
                <w:b/>
                <w:bCs/>
                <w:sz w:val="24"/>
                <w:szCs w:val="28"/>
              </w:rPr>
              <w:t>请问公司回购的股份如何处置？</w:t>
            </w:r>
          </w:p>
          <w:p w14:paraId="11CFFD2A" w14:textId="72C80CF8" w:rsidR="00367659" w:rsidRPr="00367659" w:rsidRDefault="00367659" w:rsidP="00052EA3">
            <w:pPr>
              <w:spacing w:line="276" w:lineRule="auto"/>
              <w:ind w:firstLineChars="200" w:firstLine="480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答：</w:t>
            </w:r>
            <w:r w:rsidR="00052EA3">
              <w:rPr>
                <w:rFonts w:ascii="宋体" w:eastAsia="宋体" w:hAnsi="宋体" w:hint="eastAsia"/>
                <w:sz w:val="24"/>
                <w:szCs w:val="28"/>
              </w:rPr>
              <w:t>关于回购的股份，公司</w:t>
            </w:r>
            <w:r w:rsidRPr="00367659">
              <w:rPr>
                <w:rFonts w:ascii="宋体" w:eastAsia="宋体" w:hAnsi="宋体" w:hint="eastAsia"/>
                <w:sz w:val="24"/>
                <w:szCs w:val="28"/>
              </w:rPr>
              <w:t>将严格遵循《公司法》《证券法》等相关法律法规及公司既定的回购方案执行。</w:t>
            </w:r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公司正在积极研究和探索股权激励计划或员工持股计划的可能性</w:t>
            </w:r>
            <w:r w:rsidR="00052EA3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健全公司长效激励机制</w:t>
            </w:r>
            <w:r w:rsidR="00052EA3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如未能在股份回购实施完成之后36个月内使用完毕已回购股份，将依照</w:t>
            </w:r>
            <w:r w:rsidR="00052EA3">
              <w:rPr>
                <w:rFonts w:ascii="宋体" w:eastAsia="宋体" w:hAnsi="宋体" w:hint="eastAsia"/>
                <w:sz w:val="24"/>
                <w:szCs w:val="28"/>
              </w:rPr>
              <w:t>相关要求</w:t>
            </w:r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，经股东大会审议后，注销本次回购的未使用部分股份。公司将根据市场环境、政策要求及自身发展需要，在合法合</w:t>
            </w:r>
            <w:proofErr w:type="gramStart"/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规</w:t>
            </w:r>
            <w:proofErr w:type="gramEnd"/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的前提下，审慎决策并</w:t>
            </w:r>
            <w:proofErr w:type="gramStart"/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推进回</w:t>
            </w:r>
            <w:proofErr w:type="gramEnd"/>
            <w:r w:rsidR="00052EA3" w:rsidRPr="00052EA3">
              <w:rPr>
                <w:rFonts w:ascii="宋体" w:eastAsia="宋体" w:hAnsi="宋体" w:hint="eastAsia"/>
                <w:sz w:val="24"/>
                <w:szCs w:val="28"/>
              </w:rPr>
              <w:t>购股份的具体处置方案。</w:t>
            </w:r>
          </w:p>
        </w:tc>
      </w:tr>
    </w:tbl>
    <w:p w14:paraId="51358BD7" w14:textId="3D92DC9F" w:rsidR="00A03B5D" w:rsidRDefault="00A03B5D">
      <w:pPr>
        <w:rPr>
          <w:rFonts w:hint="eastAsia"/>
        </w:rPr>
      </w:pPr>
    </w:p>
    <w:sectPr w:rsidR="00A03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E9355" w14:textId="77777777" w:rsidR="00AE5838" w:rsidRDefault="00AE5838" w:rsidP="008E5D0E">
      <w:pPr>
        <w:rPr>
          <w:rFonts w:hint="eastAsia"/>
        </w:rPr>
      </w:pPr>
      <w:r>
        <w:separator/>
      </w:r>
    </w:p>
  </w:endnote>
  <w:endnote w:type="continuationSeparator" w:id="0">
    <w:p w14:paraId="752DB41C" w14:textId="77777777" w:rsidR="00AE5838" w:rsidRDefault="00AE5838" w:rsidP="008E5D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4342" w14:textId="77777777" w:rsidR="00AE5838" w:rsidRDefault="00AE5838" w:rsidP="008E5D0E">
      <w:pPr>
        <w:rPr>
          <w:rFonts w:hint="eastAsia"/>
        </w:rPr>
      </w:pPr>
      <w:r>
        <w:separator/>
      </w:r>
    </w:p>
  </w:footnote>
  <w:footnote w:type="continuationSeparator" w:id="0">
    <w:p w14:paraId="54C46155" w14:textId="77777777" w:rsidR="00AE5838" w:rsidRDefault="00AE5838" w:rsidP="008E5D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40"/>
    <w:rsid w:val="00006614"/>
    <w:rsid w:val="00010807"/>
    <w:rsid w:val="000146C6"/>
    <w:rsid w:val="00023078"/>
    <w:rsid w:val="00032F42"/>
    <w:rsid w:val="00051920"/>
    <w:rsid w:val="00052EA3"/>
    <w:rsid w:val="000535B3"/>
    <w:rsid w:val="000B1D4B"/>
    <w:rsid w:val="000C4E0E"/>
    <w:rsid w:val="000C530B"/>
    <w:rsid w:val="000C779B"/>
    <w:rsid w:val="000D22CB"/>
    <w:rsid w:val="000D7CAD"/>
    <w:rsid w:val="000E1D07"/>
    <w:rsid w:val="000F43D8"/>
    <w:rsid w:val="00100369"/>
    <w:rsid w:val="001066B4"/>
    <w:rsid w:val="001160C6"/>
    <w:rsid w:val="001172ED"/>
    <w:rsid w:val="0012171F"/>
    <w:rsid w:val="0015198B"/>
    <w:rsid w:val="0015432B"/>
    <w:rsid w:val="00164CA3"/>
    <w:rsid w:val="001732DC"/>
    <w:rsid w:val="001A11C3"/>
    <w:rsid w:val="001C2380"/>
    <w:rsid w:val="001C7613"/>
    <w:rsid w:val="001D228D"/>
    <w:rsid w:val="001D4285"/>
    <w:rsid w:val="00216D18"/>
    <w:rsid w:val="00261B35"/>
    <w:rsid w:val="00262B8F"/>
    <w:rsid w:val="00272AAB"/>
    <w:rsid w:val="00284AAF"/>
    <w:rsid w:val="002863FC"/>
    <w:rsid w:val="002909AE"/>
    <w:rsid w:val="002A59DC"/>
    <w:rsid w:val="002C244E"/>
    <w:rsid w:val="002C267A"/>
    <w:rsid w:val="002C2A08"/>
    <w:rsid w:val="002C6532"/>
    <w:rsid w:val="002C794E"/>
    <w:rsid w:val="002D45E5"/>
    <w:rsid w:val="002D5D40"/>
    <w:rsid w:val="002E619D"/>
    <w:rsid w:val="002E7511"/>
    <w:rsid w:val="002F63DD"/>
    <w:rsid w:val="003018D8"/>
    <w:rsid w:val="00314975"/>
    <w:rsid w:val="00361D08"/>
    <w:rsid w:val="00367659"/>
    <w:rsid w:val="0038363B"/>
    <w:rsid w:val="003B2DCC"/>
    <w:rsid w:val="003C1200"/>
    <w:rsid w:val="003C4F7A"/>
    <w:rsid w:val="003C6AE5"/>
    <w:rsid w:val="003D07A0"/>
    <w:rsid w:val="003E5EAF"/>
    <w:rsid w:val="00401716"/>
    <w:rsid w:val="00422A40"/>
    <w:rsid w:val="00436123"/>
    <w:rsid w:val="00444719"/>
    <w:rsid w:val="00453063"/>
    <w:rsid w:val="004556D9"/>
    <w:rsid w:val="004640C2"/>
    <w:rsid w:val="00465603"/>
    <w:rsid w:val="0047782E"/>
    <w:rsid w:val="004844C2"/>
    <w:rsid w:val="00484641"/>
    <w:rsid w:val="0048539D"/>
    <w:rsid w:val="00491E8F"/>
    <w:rsid w:val="004B244D"/>
    <w:rsid w:val="004D6A2C"/>
    <w:rsid w:val="004E3EDC"/>
    <w:rsid w:val="00516A9B"/>
    <w:rsid w:val="0053058F"/>
    <w:rsid w:val="00533A40"/>
    <w:rsid w:val="00546413"/>
    <w:rsid w:val="0056551B"/>
    <w:rsid w:val="00576961"/>
    <w:rsid w:val="005955EA"/>
    <w:rsid w:val="005A00AD"/>
    <w:rsid w:val="005B1D3B"/>
    <w:rsid w:val="005D1CF2"/>
    <w:rsid w:val="005E0DC5"/>
    <w:rsid w:val="005F7C47"/>
    <w:rsid w:val="00601D17"/>
    <w:rsid w:val="006252EC"/>
    <w:rsid w:val="00632F11"/>
    <w:rsid w:val="00633E1D"/>
    <w:rsid w:val="0063449A"/>
    <w:rsid w:val="006354B6"/>
    <w:rsid w:val="00644A8F"/>
    <w:rsid w:val="006756F3"/>
    <w:rsid w:val="00677C55"/>
    <w:rsid w:val="006B2221"/>
    <w:rsid w:val="006B7080"/>
    <w:rsid w:val="006C5133"/>
    <w:rsid w:val="006C67BB"/>
    <w:rsid w:val="006D0E9F"/>
    <w:rsid w:val="006F719B"/>
    <w:rsid w:val="007025C8"/>
    <w:rsid w:val="007067FE"/>
    <w:rsid w:val="00712113"/>
    <w:rsid w:val="00713165"/>
    <w:rsid w:val="007213F7"/>
    <w:rsid w:val="0072336D"/>
    <w:rsid w:val="00727E23"/>
    <w:rsid w:val="00740B97"/>
    <w:rsid w:val="007531DC"/>
    <w:rsid w:val="0077426B"/>
    <w:rsid w:val="007772A8"/>
    <w:rsid w:val="007A310B"/>
    <w:rsid w:val="007B6D2C"/>
    <w:rsid w:val="007C3B15"/>
    <w:rsid w:val="007D338B"/>
    <w:rsid w:val="007E0A50"/>
    <w:rsid w:val="007F3F1E"/>
    <w:rsid w:val="0080050E"/>
    <w:rsid w:val="00835872"/>
    <w:rsid w:val="008506C8"/>
    <w:rsid w:val="00851C84"/>
    <w:rsid w:val="00853047"/>
    <w:rsid w:val="00862792"/>
    <w:rsid w:val="0088263F"/>
    <w:rsid w:val="008C41F8"/>
    <w:rsid w:val="008D2C4C"/>
    <w:rsid w:val="008E5D0E"/>
    <w:rsid w:val="008F2400"/>
    <w:rsid w:val="00900D9C"/>
    <w:rsid w:val="00910373"/>
    <w:rsid w:val="00920F4F"/>
    <w:rsid w:val="00922D92"/>
    <w:rsid w:val="00931FBC"/>
    <w:rsid w:val="0094660B"/>
    <w:rsid w:val="00971F08"/>
    <w:rsid w:val="00974360"/>
    <w:rsid w:val="00975F35"/>
    <w:rsid w:val="009772A9"/>
    <w:rsid w:val="009C4816"/>
    <w:rsid w:val="009D6C01"/>
    <w:rsid w:val="009E2AF5"/>
    <w:rsid w:val="009E638B"/>
    <w:rsid w:val="009E72D5"/>
    <w:rsid w:val="009E7485"/>
    <w:rsid w:val="009F6499"/>
    <w:rsid w:val="00A03B5D"/>
    <w:rsid w:val="00A050BF"/>
    <w:rsid w:val="00A20389"/>
    <w:rsid w:val="00A26128"/>
    <w:rsid w:val="00A41874"/>
    <w:rsid w:val="00A7446E"/>
    <w:rsid w:val="00A81529"/>
    <w:rsid w:val="00A823E5"/>
    <w:rsid w:val="00AA5B7E"/>
    <w:rsid w:val="00AB5CFD"/>
    <w:rsid w:val="00AB7CE6"/>
    <w:rsid w:val="00AC0D63"/>
    <w:rsid w:val="00AD5418"/>
    <w:rsid w:val="00AE5838"/>
    <w:rsid w:val="00AE5B6D"/>
    <w:rsid w:val="00AE7F7E"/>
    <w:rsid w:val="00AF4FCE"/>
    <w:rsid w:val="00B00D22"/>
    <w:rsid w:val="00B10F4C"/>
    <w:rsid w:val="00B11FAB"/>
    <w:rsid w:val="00B16F18"/>
    <w:rsid w:val="00B65ACF"/>
    <w:rsid w:val="00B70080"/>
    <w:rsid w:val="00B73D79"/>
    <w:rsid w:val="00B76319"/>
    <w:rsid w:val="00B77919"/>
    <w:rsid w:val="00B8093C"/>
    <w:rsid w:val="00B82130"/>
    <w:rsid w:val="00B840D6"/>
    <w:rsid w:val="00B84A39"/>
    <w:rsid w:val="00B93E1C"/>
    <w:rsid w:val="00B94ED6"/>
    <w:rsid w:val="00BB0025"/>
    <w:rsid w:val="00BC25D0"/>
    <w:rsid w:val="00BD11B8"/>
    <w:rsid w:val="00BE62EA"/>
    <w:rsid w:val="00C065B2"/>
    <w:rsid w:val="00C13B69"/>
    <w:rsid w:val="00C153B0"/>
    <w:rsid w:val="00C30209"/>
    <w:rsid w:val="00C44EC8"/>
    <w:rsid w:val="00C60FA0"/>
    <w:rsid w:val="00C6330F"/>
    <w:rsid w:val="00CD7709"/>
    <w:rsid w:val="00D21CE6"/>
    <w:rsid w:val="00D22E72"/>
    <w:rsid w:val="00D30227"/>
    <w:rsid w:val="00D336F5"/>
    <w:rsid w:val="00D37AF5"/>
    <w:rsid w:val="00D40BBE"/>
    <w:rsid w:val="00D4614B"/>
    <w:rsid w:val="00D678FD"/>
    <w:rsid w:val="00D8620C"/>
    <w:rsid w:val="00DC0765"/>
    <w:rsid w:val="00DD4ADE"/>
    <w:rsid w:val="00DF5420"/>
    <w:rsid w:val="00DF69EF"/>
    <w:rsid w:val="00E07111"/>
    <w:rsid w:val="00E14584"/>
    <w:rsid w:val="00E170F1"/>
    <w:rsid w:val="00E2052D"/>
    <w:rsid w:val="00E20E10"/>
    <w:rsid w:val="00E35C07"/>
    <w:rsid w:val="00E63E21"/>
    <w:rsid w:val="00E643B3"/>
    <w:rsid w:val="00E72977"/>
    <w:rsid w:val="00E824F7"/>
    <w:rsid w:val="00E84B61"/>
    <w:rsid w:val="00E8506F"/>
    <w:rsid w:val="00E960C9"/>
    <w:rsid w:val="00EB4797"/>
    <w:rsid w:val="00EB4FD5"/>
    <w:rsid w:val="00ED16EE"/>
    <w:rsid w:val="00EE040D"/>
    <w:rsid w:val="00EF4629"/>
    <w:rsid w:val="00F009C9"/>
    <w:rsid w:val="00F0607B"/>
    <w:rsid w:val="00F33941"/>
    <w:rsid w:val="00F42A31"/>
    <w:rsid w:val="00F60488"/>
    <w:rsid w:val="00F65768"/>
    <w:rsid w:val="00F66829"/>
    <w:rsid w:val="00F7791F"/>
    <w:rsid w:val="00F85B03"/>
    <w:rsid w:val="00FA5FDA"/>
    <w:rsid w:val="00FE184B"/>
    <w:rsid w:val="00FE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0A353"/>
  <w15:chartTrackingRefBased/>
  <w15:docId w15:val="{B58F7AC1-1CB1-4D65-B4A9-E768EEAD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D0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E5D0E"/>
    <w:rPr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8E5D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5D0E"/>
    <w:rPr>
      <w:sz w:val="18"/>
      <w:szCs w:val="18"/>
      <w14:ligatures w14:val="none"/>
    </w:rPr>
  </w:style>
  <w:style w:type="character" w:styleId="a7">
    <w:name w:val="Hyperlink"/>
    <w:basedOn w:val="a0"/>
    <w:uiPriority w:val="99"/>
    <w:semiHidden/>
    <w:unhideWhenUsed/>
    <w:rsid w:val="008F2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琦青</dc:creator>
  <cp:keywords/>
  <dc:description/>
  <cp:lastModifiedBy>微软用户</cp:lastModifiedBy>
  <cp:revision>3</cp:revision>
  <cp:lastPrinted>2023-05-30T01:28:00Z</cp:lastPrinted>
  <dcterms:created xsi:type="dcterms:W3CDTF">2025-09-26T06:27:00Z</dcterms:created>
  <dcterms:modified xsi:type="dcterms:W3CDTF">2025-09-26T06:28:00Z</dcterms:modified>
</cp:coreProperties>
</file>