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F95" w14:textId="7CEEEFEA" w:rsidR="0053690B" w:rsidRDefault="00000000" w:rsidP="00E511A9">
      <w:pPr>
        <w:rPr>
          <w:rFonts w:hint="eastAsia"/>
        </w:rPr>
      </w:pPr>
      <w:bookmarkStart w:id="0" w:name="_Hlk95826410"/>
      <w:r>
        <w:t>证券代码：60</w:t>
      </w:r>
      <w:r>
        <w:rPr>
          <w:rFonts w:hint="eastAsia"/>
        </w:rPr>
        <w:t>0745</w:t>
      </w:r>
      <w:r>
        <w:t xml:space="preserve">                               证券简称：</w:t>
      </w:r>
      <w:proofErr w:type="gramStart"/>
      <w:r>
        <w:t>闻泰科技</w:t>
      </w:r>
      <w:proofErr w:type="gramEnd"/>
    </w:p>
    <w:p w14:paraId="4090B5DC" w14:textId="77777777" w:rsidR="0053690B" w:rsidRDefault="00000000" w:rsidP="00EE2A13">
      <w:pPr>
        <w:jc w:val="center"/>
        <w:rPr>
          <w:rFonts w:hint="eastAsia"/>
        </w:rPr>
      </w:pPr>
      <w:r>
        <w:t>闻泰科技股份有限公司</w:t>
      </w:r>
    </w:p>
    <w:p w14:paraId="64BB6B29" w14:textId="77777777" w:rsidR="0053690B" w:rsidRDefault="00000000" w:rsidP="00EE2A13">
      <w:pPr>
        <w:jc w:val="center"/>
        <w:rPr>
          <w:rFonts w:hint="eastAsia"/>
        </w:rPr>
      </w:pPr>
      <w:r>
        <w:rPr>
          <w:rFonts w:hint="eastAsia"/>
        </w:rPr>
        <w:t>202</w:t>
      </w:r>
      <w:r>
        <w:t>5年9月投资者关系活动记录</w:t>
      </w:r>
      <w:bookmarkEnd w:id="0"/>
      <w:r>
        <w:t>表</w:t>
      </w:r>
    </w:p>
    <w:p w14:paraId="3A8D3A7C" w14:textId="77777777" w:rsidR="0053690B" w:rsidRDefault="00000000" w:rsidP="00EE2A13">
      <w:pPr>
        <w:jc w:val="right"/>
        <w:rPr>
          <w:rFonts w:hint="eastAsia"/>
        </w:rPr>
      </w:pPr>
      <w:r>
        <w:t>编号：</w:t>
      </w:r>
      <w:r>
        <w:rPr>
          <w:rFonts w:hint="eastAsia"/>
        </w:rPr>
        <w:t>202</w:t>
      </w:r>
      <w:r>
        <w:t>5-09</w:t>
      </w:r>
      <w:r>
        <w:rPr>
          <w:rFonts w:hint="eastAsia"/>
        </w:rPr>
        <w:t>-</w:t>
      </w:r>
      <w:r>
        <w:t>001</w:t>
      </w:r>
    </w:p>
    <w:tbl>
      <w:tblPr>
        <w:tblW w:w="6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7937"/>
      </w:tblGrid>
      <w:tr w:rsidR="0053690B" w14:paraId="0BF7EE33" w14:textId="77777777">
        <w:trPr>
          <w:jc w:val="center"/>
        </w:trPr>
        <w:tc>
          <w:tcPr>
            <w:tcW w:w="1055" w:type="pct"/>
            <w:vAlign w:val="center"/>
          </w:tcPr>
          <w:p w14:paraId="514F1E88" w14:textId="77777777" w:rsidR="0053690B" w:rsidRDefault="00000000" w:rsidP="00EE2A13">
            <w:pPr>
              <w:ind w:firstLine="0"/>
              <w:rPr>
                <w:rFonts w:hint="eastAsia"/>
              </w:rPr>
            </w:pPr>
            <w:bookmarkStart w:id="1" w:name="_Hlk95826437"/>
            <w:r>
              <w:t>投资者关系活动类别</w:t>
            </w:r>
            <w:bookmarkEnd w:id="1"/>
          </w:p>
        </w:tc>
        <w:tc>
          <w:tcPr>
            <w:tcW w:w="3945" w:type="pct"/>
            <w:vAlign w:val="center"/>
          </w:tcPr>
          <w:p w14:paraId="3BAC798C" w14:textId="77777777" w:rsidR="0053690B" w:rsidRDefault="00000000" w:rsidP="00EE2A13">
            <w:pPr>
              <w:ind w:firstLine="0"/>
              <w:rPr>
                <w:rFonts w:hint="eastAsia"/>
              </w:rPr>
            </w:pPr>
            <w:r>
              <w:rPr>
                <w:b/>
                <w:bCs/>
                <w:iCs/>
                <w:color w:val="000000"/>
                <w:u w:val="single"/>
              </w:rPr>
              <w:t>√</w:t>
            </w:r>
            <w:bookmarkStart w:id="2" w:name="_Hlk95826453"/>
            <w:r>
              <w:rPr>
                <w:b/>
                <w:bCs/>
                <w:iCs/>
                <w:color w:val="000000"/>
                <w:u w:val="single"/>
              </w:rPr>
              <w:t xml:space="preserve">特定对象调研 </w:t>
            </w:r>
            <w:r>
              <w:t xml:space="preserve"> </w:t>
            </w:r>
            <w:bookmarkEnd w:id="2"/>
            <w:r>
              <w:t xml:space="preserve">   </w:t>
            </w:r>
            <w:r>
              <w:rPr>
                <w:bCs/>
                <w:iCs/>
                <w:color w:val="000000"/>
              </w:rPr>
              <w:t>□</w:t>
            </w:r>
            <w:r>
              <w:t xml:space="preserve">分析师会议      </w:t>
            </w:r>
            <w:r>
              <w:rPr>
                <w:bCs/>
                <w:iCs/>
                <w:color w:val="000000"/>
              </w:rPr>
              <w:t>□</w:t>
            </w:r>
            <w:r>
              <w:t xml:space="preserve">媒体采访    </w:t>
            </w:r>
            <w:r>
              <w:rPr>
                <w:bCs/>
                <w:iCs/>
                <w:color w:val="000000"/>
              </w:rPr>
              <w:t>□</w:t>
            </w:r>
            <w:r>
              <w:t>业绩说明会</w:t>
            </w:r>
          </w:p>
          <w:p w14:paraId="6EFFBD2C" w14:textId="77777777" w:rsidR="0053690B" w:rsidRDefault="00000000" w:rsidP="00EE2A13">
            <w:pPr>
              <w:ind w:firstLine="0"/>
              <w:rPr>
                <w:rFonts w:hint="eastAsia"/>
                <w:bCs/>
                <w:iCs/>
                <w:color w:val="000000"/>
              </w:rPr>
            </w:pPr>
            <w:r>
              <w:rPr>
                <w:bCs/>
                <w:iCs/>
                <w:color w:val="000000"/>
              </w:rPr>
              <w:t>□</w:t>
            </w:r>
            <w:r>
              <w:t xml:space="preserve">新闻发布会       </w:t>
            </w:r>
            <w:r>
              <w:rPr>
                <w:bCs/>
                <w:iCs/>
                <w:color w:val="000000"/>
              </w:rPr>
              <w:t>□</w:t>
            </w:r>
            <w:r>
              <w:t xml:space="preserve">路演活动        </w:t>
            </w:r>
            <w:r>
              <w:rPr>
                <w:b/>
                <w:bCs/>
                <w:iCs/>
                <w:color w:val="000000"/>
                <w:u w:val="single"/>
              </w:rPr>
              <w:t xml:space="preserve">√现场参观 </w:t>
            </w:r>
            <w:r>
              <w:t xml:space="preserve">   </w:t>
            </w:r>
            <w:r>
              <w:rPr>
                <w:bCs/>
                <w:iCs/>
                <w:color w:val="000000"/>
              </w:rPr>
              <w:t>□</w:t>
            </w:r>
            <w:r>
              <w:t>电话会议</w:t>
            </w:r>
          </w:p>
        </w:tc>
      </w:tr>
      <w:tr w:rsidR="0053690B" w14:paraId="29D62870" w14:textId="77777777">
        <w:trPr>
          <w:jc w:val="center"/>
        </w:trPr>
        <w:tc>
          <w:tcPr>
            <w:tcW w:w="1055" w:type="pct"/>
            <w:vAlign w:val="center"/>
          </w:tcPr>
          <w:p w14:paraId="204B45C5" w14:textId="77777777" w:rsidR="0053690B" w:rsidRDefault="00000000" w:rsidP="00EE2A13">
            <w:pPr>
              <w:ind w:firstLine="0"/>
              <w:rPr>
                <w:rFonts w:hint="eastAsia"/>
              </w:rPr>
            </w:pPr>
            <w:r>
              <w:t>参与单位</w:t>
            </w:r>
            <w:r>
              <w:rPr>
                <w:rFonts w:hint="eastAsia"/>
              </w:rPr>
              <w:t>及人员</w:t>
            </w:r>
          </w:p>
        </w:tc>
        <w:tc>
          <w:tcPr>
            <w:tcW w:w="3945" w:type="pct"/>
            <w:vAlign w:val="center"/>
          </w:tcPr>
          <w:p w14:paraId="424AED10" w14:textId="77777777" w:rsidR="0053690B" w:rsidRDefault="00000000" w:rsidP="00EE2A13">
            <w:pPr>
              <w:pStyle w:val="ad"/>
              <w:ind w:firstLine="0"/>
              <w:rPr>
                <w:rFonts w:hint="eastAsia"/>
              </w:rPr>
            </w:pPr>
            <w:r>
              <w:rPr>
                <w:rFonts w:hint="eastAsia"/>
              </w:rPr>
              <w:t>博时基金、财通资管、Charm</w:t>
            </w:r>
            <w:r>
              <w:t xml:space="preserve"> </w:t>
            </w:r>
            <w:r>
              <w:rPr>
                <w:rFonts w:hint="eastAsia"/>
              </w:rPr>
              <w:t>Partners、北京神农投资、晨曦投资、淡水泉（北京）投资管理有限公司、东北证券、东方财富证券、敦和资产、复星联合健康保险、广发基金、国海证券、国联民生证券、国泰海通资管、国泰产险、国泰基金、国信证券、国元证券、海富通基金、国源信达资本、研几私募基金、华泰保兴、华泰证券、华鑫证券、华源证券、汇丰晋信基金、合肥建投资本、昆明产业开发投资、锡创投、云南锦苑股权投资、建信保险资管、建信基金、交银施罗德基金、杰鼎基金、九方智投、九祥资产、理成资产、弥远投资、摩根大通证券、摩根基金、南银理财、宁泉资产、宁涌富私募基金、平安证券、泊通资产、浦银国际证券、</w:t>
            </w:r>
            <w:r>
              <w:t>乾瞻投资</w:t>
            </w:r>
            <w:r>
              <w:rPr>
                <w:rFonts w:hint="eastAsia"/>
              </w:rPr>
              <w:t>、</w:t>
            </w:r>
            <w:r>
              <w:t>钦沐资产</w:t>
            </w:r>
            <w:r>
              <w:rPr>
                <w:rFonts w:hint="eastAsia"/>
              </w:rPr>
              <w:t>、</w:t>
            </w:r>
            <w:r>
              <w:t>泉果基金</w:t>
            </w:r>
            <w:r>
              <w:rPr>
                <w:rFonts w:hint="eastAsia"/>
              </w:rPr>
              <w:t>、</w:t>
            </w:r>
            <w:r>
              <w:t>融通基金</w:t>
            </w:r>
            <w:r>
              <w:rPr>
                <w:rFonts w:hint="eastAsia"/>
              </w:rPr>
              <w:t>、</w:t>
            </w:r>
            <w:r>
              <w:t>睿郡资产</w:t>
            </w:r>
            <w:r>
              <w:rPr>
                <w:rFonts w:hint="eastAsia"/>
              </w:rPr>
              <w:t>、</w:t>
            </w:r>
            <w:r>
              <w:t>上海保银私募基金</w:t>
            </w:r>
            <w:r>
              <w:rPr>
                <w:rFonts w:hint="eastAsia"/>
              </w:rPr>
              <w:t>、</w:t>
            </w:r>
            <w:r>
              <w:t>上海国有资本投资</w:t>
            </w:r>
            <w:r>
              <w:rPr>
                <w:rFonts w:hint="eastAsia"/>
              </w:rPr>
              <w:t>、</w:t>
            </w:r>
            <w:r>
              <w:t>上海聆泽私募基金</w:t>
            </w:r>
            <w:r>
              <w:rPr>
                <w:rFonts w:hint="eastAsia"/>
              </w:rPr>
              <w:t>、上海证券、申万宏源证券、太平洋证券、五矿证券、西部证券、新华资产、兴业证券、兴证全球基金、银华基金、</w:t>
            </w:r>
            <w:r>
              <w:t>沅沣投资</w:t>
            </w:r>
            <w:r>
              <w:rPr>
                <w:rFonts w:hint="eastAsia"/>
              </w:rPr>
              <w:t>、</w:t>
            </w:r>
            <w:r>
              <w:t>源毅资产</w:t>
            </w:r>
            <w:r>
              <w:rPr>
                <w:rFonts w:hint="eastAsia"/>
              </w:rPr>
              <w:t>、</w:t>
            </w:r>
            <w:r>
              <w:t>远信投资</w:t>
            </w:r>
            <w:r>
              <w:rPr>
                <w:rFonts w:hint="eastAsia"/>
              </w:rPr>
              <w:t>、长城证券、长盛基金、长信基金、中庚基金、中欧基金、中信建投证券、中信证券、中银证券、中信资管、东方证券、中金公司、天冶基金等</w:t>
            </w:r>
          </w:p>
        </w:tc>
      </w:tr>
      <w:tr w:rsidR="0053690B" w14:paraId="42C94CEA" w14:textId="77777777">
        <w:trPr>
          <w:jc w:val="center"/>
        </w:trPr>
        <w:tc>
          <w:tcPr>
            <w:tcW w:w="1055" w:type="pct"/>
            <w:vAlign w:val="center"/>
          </w:tcPr>
          <w:p w14:paraId="19D0496D" w14:textId="77777777" w:rsidR="0053690B" w:rsidRDefault="00000000" w:rsidP="00EE2A13">
            <w:pPr>
              <w:ind w:firstLine="0"/>
              <w:rPr>
                <w:rFonts w:hint="eastAsia"/>
              </w:rPr>
            </w:pPr>
            <w:bookmarkStart w:id="3" w:name="_Hlk95826469"/>
            <w:r>
              <w:t>时间</w:t>
            </w:r>
            <w:bookmarkEnd w:id="3"/>
          </w:p>
        </w:tc>
        <w:tc>
          <w:tcPr>
            <w:tcW w:w="3945" w:type="pct"/>
            <w:vAlign w:val="center"/>
          </w:tcPr>
          <w:p w14:paraId="28F5BD28" w14:textId="77777777" w:rsidR="0053690B" w:rsidRDefault="00000000" w:rsidP="00EE2A13">
            <w:pPr>
              <w:ind w:firstLine="0"/>
              <w:rPr>
                <w:rFonts w:hint="eastAsia"/>
              </w:rPr>
            </w:pPr>
            <w:bookmarkStart w:id="4" w:name="_Hlk95826485"/>
            <w:r>
              <w:t>2025年9</w:t>
            </w:r>
            <w:r>
              <w:rPr>
                <w:rFonts w:hint="eastAsia"/>
              </w:rPr>
              <w:t>月</w:t>
            </w:r>
            <w:r>
              <w:t>25</w:t>
            </w:r>
            <w:r>
              <w:rPr>
                <w:rFonts w:hint="eastAsia"/>
              </w:rPr>
              <w:t>日1</w:t>
            </w:r>
            <w:r>
              <w:t>3:00</w:t>
            </w:r>
            <w:bookmarkEnd w:id="4"/>
          </w:p>
        </w:tc>
      </w:tr>
      <w:tr w:rsidR="0053690B" w14:paraId="394BB948" w14:textId="77777777">
        <w:trPr>
          <w:jc w:val="center"/>
        </w:trPr>
        <w:tc>
          <w:tcPr>
            <w:tcW w:w="1055" w:type="pct"/>
            <w:vAlign w:val="center"/>
          </w:tcPr>
          <w:p w14:paraId="5FEAFA9D" w14:textId="77777777" w:rsidR="0053690B" w:rsidRDefault="00000000" w:rsidP="00EE2A13">
            <w:pPr>
              <w:ind w:firstLine="0"/>
              <w:rPr>
                <w:rFonts w:hint="eastAsia"/>
              </w:rPr>
            </w:pPr>
            <w:r>
              <w:rPr>
                <w:rFonts w:hint="eastAsia"/>
              </w:rPr>
              <w:t>地点</w:t>
            </w:r>
          </w:p>
        </w:tc>
        <w:tc>
          <w:tcPr>
            <w:tcW w:w="3945" w:type="pct"/>
            <w:vAlign w:val="center"/>
          </w:tcPr>
          <w:p w14:paraId="14718F63" w14:textId="77777777" w:rsidR="0053690B" w:rsidRDefault="00000000" w:rsidP="00EE2A13">
            <w:pPr>
              <w:ind w:firstLine="0"/>
              <w:rPr>
                <w:rFonts w:hint="eastAsia"/>
              </w:rPr>
            </w:pPr>
            <w:r>
              <w:rPr>
                <w:rFonts w:hint="eastAsia"/>
              </w:rPr>
              <w:t>上海临港</w:t>
            </w:r>
          </w:p>
        </w:tc>
      </w:tr>
      <w:tr w:rsidR="0053690B" w14:paraId="511FD1EF" w14:textId="77777777">
        <w:trPr>
          <w:jc w:val="center"/>
        </w:trPr>
        <w:tc>
          <w:tcPr>
            <w:tcW w:w="1055" w:type="pct"/>
            <w:vAlign w:val="center"/>
          </w:tcPr>
          <w:p w14:paraId="24FABB63" w14:textId="77777777" w:rsidR="0053690B" w:rsidRDefault="00000000" w:rsidP="00EE2A13">
            <w:pPr>
              <w:ind w:firstLine="0"/>
              <w:rPr>
                <w:rFonts w:hint="eastAsia"/>
              </w:rPr>
            </w:pPr>
            <w:r>
              <w:rPr>
                <w:rFonts w:hint="eastAsia"/>
              </w:rPr>
              <w:t>公司</w:t>
            </w:r>
            <w:r>
              <w:t>接待人员</w:t>
            </w:r>
          </w:p>
        </w:tc>
        <w:tc>
          <w:tcPr>
            <w:tcW w:w="3945" w:type="pct"/>
            <w:vAlign w:val="center"/>
          </w:tcPr>
          <w:p w14:paraId="1C19A15C" w14:textId="77777777" w:rsidR="0053690B" w:rsidRDefault="00000000" w:rsidP="00EE2A13">
            <w:pPr>
              <w:ind w:firstLine="0"/>
              <w:rPr>
                <w:rFonts w:hint="eastAsia"/>
              </w:rPr>
            </w:pPr>
            <w:r>
              <w:rPr>
                <w:rFonts w:hint="eastAsia"/>
              </w:rPr>
              <w:t>董事长 杨沐，CFO、代董事会秘书 张彦茹，IR</w:t>
            </w:r>
            <w:r>
              <w:t xml:space="preserve"> </w:t>
            </w:r>
            <w:r>
              <w:rPr>
                <w:rFonts w:hint="eastAsia"/>
              </w:rPr>
              <w:t>徐国靖</w:t>
            </w:r>
          </w:p>
        </w:tc>
      </w:tr>
      <w:tr w:rsidR="0053690B" w14:paraId="0F089CC8" w14:textId="77777777">
        <w:trPr>
          <w:trHeight w:val="699"/>
          <w:jc w:val="center"/>
        </w:trPr>
        <w:tc>
          <w:tcPr>
            <w:tcW w:w="1055" w:type="pct"/>
            <w:vAlign w:val="center"/>
          </w:tcPr>
          <w:p w14:paraId="745120D2" w14:textId="77777777" w:rsidR="0053690B" w:rsidRDefault="00000000" w:rsidP="00EE2A13">
            <w:pPr>
              <w:ind w:firstLine="0"/>
              <w:rPr>
                <w:rFonts w:hint="eastAsia"/>
              </w:rPr>
            </w:pPr>
            <w:bookmarkStart w:id="5" w:name="_Hlk95826537"/>
            <w:r>
              <w:t>投资者关系活动主要内容</w:t>
            </w:r>
            <w:bookmarkEnd w:id="5"/>
            <w:r>
              <w:t>介绍</w:t>
            </w:r>
          </w:p>
        </w:tc>
        <w:tc>
          <w:tcPr>
            <w:tcW w:w="3945" w:type="pct"/>
          </w:tcPr>
          <w:p w14:paraId="2A7E5F43" w14:textId="77777777" w:rsidR="0053690B" w:rsidRDefault="00000000" w:rsidP="00EE2A13">
            <w:pPr>
              <w:ind w:firstLineChars="200"/>
              <w:jc w:val="both"/>
              <w:rPr>
                <w:rFonts w:hint="eastAsia"/>
              </w:rPr>
            </w:pPr>
            <w:r>
              <w:rPr>
                <w:rFonts w:hint="eastAsia"/>
              </w:rPr>
              <w:t>公司组织召开投资者线下调研，杨沐董事长系统分享了公司战略转型半导体业务的中长期规划，对公司产品线中长期增长机会做了具体阐述，并发布了公司未来五年增长计划。公司半导体业务集成电路解决方案（ICS）事业部、宽禁带、IGBT及模组（WIM）事业部分别介绍了公司模拟芯片和高压功率器件在AI电源及汽车中的应用进展。投资者现场参观了公司控股股东代建的临港1</w:t>
            </w:r>
            <w:r>
              <w:t>2</w:t>
            </w:r>
            <w:r>
              <w:rPr>
                <w:rFonts w:hint="eastAsia"/>
              </w:rPr>
              <w:t>吋车规晶圆产线，公司管理层现场回答了投资者提问，主要情况总结提炼如下：</w:t>
            </w:r>
          </w:p>
          <w:p w14:paraId="426B6567" w14:textId="77777777" w:rsidR="0053690B" w:rsidRDefault="00000000" w:rsidP="00EE2A13">
            <w:pPr>
              <w:ind w:firstLineChars="200"/>
              <w:jc w:val="both"/>
              <w:rPr>
                <w:rFonts w:hint="eastAsia"/>
              </w:rPr>
            </w:pPr>
            <w:r>
              <w:rPr>
                <w:rFonts w:hint="eastAsia"/>
              </w:rPr>
              <w:t>1、请介绍一下公司模拟芯片产品的收入情况及产品进展？</w:t>
            </w:r>
          </w:p>
          <w:p w14:paraId="45D0CA40" w14:textId="2FF27C26" w:rsidR="0053690B" w:rsidRDefault="00000000" w:rsidP="00EE2A13">
            <w:pPr>
              <w:ind w:firstLineChars="200"/>
              <w:jc w:val="both"/>
              <w:rPr>
                <w:rFonts w:hint="eastAsia"/>
              </w:rPr>
            </w:pPr>
            <w:r>
              <w:rPr>
                <w:rFonts w:hint="eastAsia"/>
              </w:rPr>
              <w:t>公司</w:t>
            </w:r>
            <w:r>
              <w:t>2025</w:t>
            </w:r>
            <w:r>
              <w:rPr>
                <w:rFonts w:hint="eastAsia"/>
              </w:rPr>
              <w:t>年上半年逻辑IC与模拟IC的收入占比1</w:t>
            </w:r>
            <w:r>
              <w:t>7.63%</w:t>
            </w:r>
            <w:r>
              <w:rPr>
                <w:rFonts w:hint="eastAsia"/>
              </w:rPr>
              <w:t>，其中逻辑IC出货量全球第二，2</w:t>
            </w:r>
            <w:r>
              <w:t>025</w:t>
            </w:r>
            <w:r>
              <w:rPr>
                <w:rFonts w:hint="eastAsia"/>
              </w:rPr>
              <w:t>年上半年通过国产替代显著提升了份额，公司希望未来能够做到全球第一市占率。模拟IC则是目前公司重点的投资领域，主要集中在隔离IC、I</w:t>
            </w:r>
            <w:r>
              <w:t>2</w:t>
            </w:r>
            <w:r>
              <w:rPr>
                <w:rFonts w:hint="eastAsia"/>
              </w:rPr>
              <w:t>C、信号处理和电源IC，针对车载和AI的应用做了大量布局，也是公司未来几年收入增速最快的领域之一。</w:t>
            </w:r>
          </w:p>
          <w:p w14:paraId="34206D48" w14:textId="61C23B47" w:rsidR="0053690B" w:rsidRDefault="00000000" w:rsidP="00EE2A13">
            <w:pPr>
              <w:ind w:firstLineChars="200"/>
              <w:jc w:val="both"/>
              <w:rPr>
                <w:rFonts w:hint="eastAsia"/>
              </w:rPr>
            </w:pPr>
            <w:r>
              <w:rPr>
                <w:rFonts w:hint="eastAsia"/>
              </w:rPr>
              <w:t>在汽车模拟芯片领域的新产品，主要应用于域控制器、车灯、智能座舱和三电领域：新推出的</w:t>
            </w:r>
            <w:r>
              <w:t>NCA953x</w:t>
            </w:r>
            <w:r>
              <w:rPr>
                <w:rFonts w:hint="eastAsia"/>
              </w:rPr>
              <w:t>系列用于</w:t>
            </w:r>
            <w:r>
              <w:t>I2C</w:t>
            </w:r>
            <w:r>
              <w:rPr>
                <w:rFonts w:hint="eastAsia"/>
              </w:rPr>
              <w:t>和</w:t>
            </w:r>
            <w:r>
              <w:t>SM</w:t>
            </w:r>
            <w:r>
              <w:rPr>
                <w:rFonts w:hint="eastAsia"/>
              </w:rPr>
              <w:t>总线提供</w:t>
            </w:r>
            <w:r>
              <w:t>16</w:t>
            </w:r>
            <w:r>
              <w:rPr>
                <w:rFonts w:hint="eastAsia"/>
              </w:rPr>
              <w:t>比特通用输入</w:t>
            </w:r>
            <w:r>
              <w:t>/</w:t>
            </w:r>
            <w:r>
              <w:rPr>
                <w:rFonts w:hint="eastAsia"/>
              </w:rPr>
              <w:t>输出</w:t>
            </w:r>
            <w:r>
              <w:t>(GPIO)</w:t>
            </w:r>
            <w:r>
              <w:rPr>
                <w:rFonts w:hint="eastAsia"/>
              </w:rPr>
              <w:t>扩展。其中</w:t>
            </w:r>
            <w:r>
              <w:t>NCA9535</w:t>
            </w:r>
            <w:r>
              <w:rPr>
                <w:rFonts w:hint="eastAsia"/>
              </w:rPr>
              <w:t>是业内第一个通过车规认证的同类产品。另外</w:t>
            </w:r>
            <w:r>
              <w:t>NXU</w:t>
            </w:r>
            <w:r>
              <w:rPr>
                <w:rFonts w:hint="eastAsia"/>
              </w:rPr>
              <w:t>产品系列用于</w:t>
            </w:r>
            <w:r>
              <w:t>UART, SPI, JTAG</w:t>
            </w:r>
            <w:r>
              <w:rPr>
                <w:rFonts w:hint="eastAsia"/>
              </w:rPr>
              <w:t>及通用</w:t>
            </w:r>
            <w:r>
              <w:t>I/O</w:t>
            </w:r>
            <w:r>
              <w:rPr>
                <w:rFonts w:hint="eastAsia"/>
              </w:rPr>
              <w:t>接口的固定方向电平转换更加可靠。与</w:t>
            </w:r>
            <w:r>
              <w:t>NXU953x</w:t>
            </w:r>
            <w:r>
              <w:rPr>
                <w:rFonts w:hint="eastAsia"/>
              </w:rPr>
              <w:t>系列配对的</w:t>
            </w:r>
            <w:r>
              <w:t>NXU954x</w:t>
            </w:r>
            <w:r>
              <w:rPr>
                <w:rFonts w:hint="eastAsia"/>
              </w:rPr>
              <w:t>多路复用器解决了</w:t>
            </w:r>
            <w:r>
              <w:t>I2C</w:t>
            </w:r>
            <w:r>
              <w:rPr>
                <w:rFonts w:hint="eastAsia"/>
              </w:rPr>
              <w:t>接口各类限制问题。同时配对的</w:t>
            </w:r>
            <w:r>
              <w:t>NCA6416</w:t>
            </w:r>
            <w:r>
              <w:rPr>
                <w:rFonts w:hint="eastAsia"/>
              </w:rPr>
              <w:t>提供</w:t>
            </w:r>
            <w:r>
              <w:t>I2C GPIO</w:t>
            </w:r>
            <w:r>
              <w:rPr>
                <w:rFonts w:hint="eastAsia"/>
              </w:rPr>
              <w:t>电压转换。三类产品为最新汽车电器架构从</w:t>
            </w:r>
            <w:r>
              <w:t>DCU</w:t>
            </w:r>
            <w:r>
              <w:rPr>
                <w:rFonts w:hint="eastAsia"/>
              </w:rPr>
              <w:t>到</w:t>
            </w:r>
            <w:r>
              <w:t>ZCU+CCU</w:t>
            </w:r>
            <w:r>
              <w:rPr>
                <w:rFonts w:hint="eastAsia"/>
              </w:rPr>
              <w:t>过渡的架构接口方向提供整</w:t>
            </w:r>
            <w:r>
              <w:rPr>
                <w:rFonts w:hint="eastAsia"/>
              </w:rPr>
              <w:lastRenderedPageBreak/>
              <w:t>体解决方案。在汽车智能座舱领域，基于</w:t>
            </w:r>
            <w:r>
              <w:t>USB PD3.2</w:t>
            </w:r>
            <w:r>
              <w:rPr>
                <w:rFonts w:hint="eastAsia"/>
              </w:rPr>
              <w:t>标准最高可支持</w:t>
            </w:r>
            <w:r>
              <w:t>240</w:t>
            </w:r>
            <w:r>
              <w:rPr>
                <w:rFonts w:hint="eastAsia"/>
              </w:rPr>
              <w:t>瓦的双口快充车规控制器</w:t>
            </w:r>
            <w:r>
              <w:t>IC</w:t>
            </w:r>
            <w:r>
              <w:rPr>
                <w:rFonts w:hint="eastAsia"/>
              </w:rPr>
              <w:t>在头部汽车客户实现量产。包含的具有强差异化的智能双口功率动态分配和基于温度与电池电压的功率管理，业界领先，达到系统功耗最优化及可靠保护系统与电池。在汽车车灯领域，</w:t>
            </w:r>
            <w:r>
              <w:t>12</w:t>
            </w:r>
            <w:r>
              <w:rPr>
                <w:rFonts w:hint="eastAsia"/>
              </w:rPr>
              <w:t>、</w:t>
            </w:r>
            <w:r>
              <w:t>16</w:t>
            </w:r>
            <w:r>
              <w:rPr>
                <w:rFonts w:hint="eastAsia"/>
              </w:rPr>
              <w:t>、</w:t>
            </w:r>
            <w:r>
              <w:t>24</w:t>
            </w:r>
            <w:r>
              <w:rPr>
                <w:rFonts w:hint="eastAsia"/>
              </w:rPr>
              <w:t>通道</w:t>
            </w:r>
            <w:r>
              <w:t>LED</w:t>
            </w:r>
            <w:r>
              <w:rPr>
                <w:rFonts w:hint="eastAsia"/>
              </w:rPr>
              <w:t>驱动器实现量产交付，且全系列均满足</w:t>
            </w:r>
            <w:r>
              <w:t>ISO26262 ASIL-B</w:t>
            </w:r>
            <w:r>
              <w:rPr>
                <w:rFonts w:hint="eastAsia"/>
              </w:rPr>
              <w:t>功能安全等级，与我们已经量产的</w:t>
            </w:r>
            <w:r>
              <w:t>LDO</w:t>
            </w:r>
            <w:r>
              <w:rPr>
                <w:rFonts w:hint="eastAsia"/>
              </w:rPr>
              <w:t>，</w:t>
            </w:r>
            <w:r>
              <w:t>DCDC</w:t>
            </w:r>
            <w:r>
              <w:rPr>
                <w:rFonts w:hint="eastAsia"/>
              </w:rPr>
              <w:t>，</w:t>
            </w:r>
            <w:r>
              <w:t>MOS</w:t>
            </w:r>
            <w:r>
              <w:rPr>
                <w:rFonts w:hint="eastAsia"/>
              </w:rPr>
              <w:t>组成了车灯整体解决方案。另外推出业内领先的超低待机静态电流通用低压差</w:t>
            </w:r>
            <w:r>
              <w:t>(LDO)</w:t>
            </w:r>
            <w:r>
              <w:rPr>
                <w:rFonts w:hint="eastAsia"/>
              </w:rPr>
              <w:t>稳压器，可为</w:t>
            </w:r>
            <w:r>
              <w:t>MCU</w:t>
            </w:r>
            <w:r>
              <w:rPr>
                <w:rFonts w:hint="eastAsia"/>
              </w:rPr>
              <w:t>、</w:t>
            </w:r>
            <w:r>
              <w:t>CAN/LIN</w:t>
            </w:r>
            <w:r>
              <w:rPr>
                <w:rFonts w:hint="eastAsia"/>
              </w:rPr>
              <w:t>收发器等需持续待机运行的元器件提供高效供电解决方案，适用于汽车信息娱乐系统、辅助驾驶系统、远程信息处理及照明系统、车身控制模块、区域控制单元、动力系统等汽车及工业应用。所有用于汽车的新</w:t>
            </w:r>
            <w:r>
              <w:t>IC</w:t>
            </w:r>
            <w:r>
              <w:rPr>
                <w:rFonts w:hint="eastAsia"/>
              </w:rPr>
              <w:t>均符合</w:t>
            </w:r>
            <w:r>
              <w:t xml:space="preserve">AEC-Q100 </w:t>
            </w:r>
            <w:r>
              <w:rPr>
                <w:rFonts w:hint="eastAsia"/>
              </w:rPr>
              <w:t>标准并在头部厂商批量使用。</w:t>
            </w:r>
          </w:p>
          <w:p w14:paraId="5365C4D6" w14:textId="77777777" w:rsidR="0053690B" w:rsidRDefault="00000000" w:rsidP="00EE2A13">
            <w:pPr>
              <w:ind w:firstLineChars="200"/>
              <w:jc w:val="both"/>
              <w:rPr>
                <w:rFonts w:hint="eastAsia"/>
              </w:rPr>
            </w:pPr>
            <w:r>
              <w:rPr>
                <w:rFonts w:hint="eastAsia"/>
              </w:rPr>
              <w:t>在AI电源模拟芯片领域，公司主要布局了Hot</w:t>
            </w:r>
            <w:r>
              <w:t>-</w:t>
            </w:r>
            <w:r>
              <w:rPr>
                <w:rFonts w:hint="eastAsia"/>
              </w:rPr>
              <w:t>swap、E</w:t>
            </w:r>
            <w:r>
              <w:t>-</w:t>
            </w:r>
            <w:r>
              <w:rPr>
                <w:rFonts w:hint="eastAsia"/>
              </w:rPr>
              <w:t>fuse、POL、DC-DC和SPS等核心产品，目前通过云厂商、XPU厂商进行送样，在2</w:t>
            </w:r>
            <w:r>
              <w:t>025</w:t>
            </w:r>
            <w:r>
              <w:rPr>
                <w:rFonts w:hint="eastAsia"/>
              </w:rPr>
              <w:t>年PCIM</w:t>
            </w:r>
            <w:r>
              <w:t xml:space="preserve"> </w:t>
            </w:r>
            <w:r>
              <w:rPr>
                <w:rFonts w:hint="eastAsia"/>
              </w:rPr>
              <w:t>Asia上海展会中，展示了公司在AI服务器电源中模拟IC、MOS与保护器件的完整解决方案，满足AI服务器的可扩展性、高可靠性等需求。</w:t>
            </w:r>
          </w:p>
          <w:p w14:paraId="0B5733E3" w14:textId="77777777" w:rsidR="0053690B" w:rsidRDefault="00000000" w:rsidP="00EE2A13">
            <w:pPr>
              <w:ind w:firstLineChars="200"/>
              <w:jc w:val="both"/>
              <w:rPr>
                <w:rFonts w:hint="eastAsia"/>
              </w:rPr>
            </w:pPr>
            <w:r>
              <w:rPr>
                <w:rFonts w:hint="eastAsia"/>
              </w:rPr>
              <w:t>公司</w:t>
            </w:r>
            <w:r>
              <w:t>新推出NEX82016数模混合LLC原边控制器和NEX8191X LLC副边同步整流控制器两大系列产品</w:t>
            </w:r>
            <w:r>
              <w:rPr>
                <w:rFonts w:hint="eastAsia"/>
              </w:rPr>
              <w:t>，</w:t>
            </w:r>
            <w:r>
              <w:t>支持从一百瓦到一千瓦左右的电源设计</w:t>
            </w:r>
            <w:r>
              <w:rPr>
                <w:rFonts w:hint="eastAsia"/>
              </w:rPr>
              <w:t>，</w:t>
            </w:r>
            <w:r>
              <w:t>非常适用于工业电源、医疗电源、服务器电源、TV电源和消费类电源等应用场合</w:t>
            </w:r>
            <w:r>
              <w:rPr>
                <w:rFonts w:hint="eastAsia"/>
              </w:rPr>
              <w:t>。</w:t>
            </w:r>
          </w:p>
          <w:p w14:paraId="3016FCA5" w14:textId="77777777" w:rsidR="0053690B" w:rsidRDefault="00000000" w:rsidP="00EE2A13">
            <w:pPr>
              <w:ind w:firstLineChars="200"/>
              <w:jc w:val="both"/>
              <w:rPr>
                <w:rFonts w:hint="eastAsia"/>
              </w:rPr>
            </w:pPr>
            <w:r>
              <w:rPr>
                <w:rFonts w:hint="eastAsia"/>
              </w:rPr>
              <w:t>2、</w:t>
            </w:r>
            <w:r>
              <w:t>能否分享</w:t>
            </w:r>
            <w:r>
              <w:rPr>
                <w:rFonts w:hint="eastAsia"/>
              </w:rPr>
              <w:t>公司宽禁带、IGBT及模组（WIM）等高压业务的</w:t>
            </w:r>
            <w:r>
              <w:t>进展</w:t>
            </w:r>
            <w:r>
              <w:rPr>
                <w:rFonts w:hint="eastAsia"/>
              </w:rPr>
              <w:t>，如何展望公司WIM产品线未来的发展趋势</w:t>
            </w:r>
            <w:r>
              <w:t>？</w:t>
            </w:r>
          </w:p>
          <w:p w14:paraId="0C7E9771" w14:textId="77777777" w:rsidR="0053690B" w:rsidRDefault="00000000" w:rsidP="00EE2A13">
            <w:pPr>
              <w:ind w:firstLineChars="200"/>
              <w:jc w:val="both"/>
              <w:rPr>
                <w:rFonts w:hint="eastAsia"/>
              </w:rPr>
            </w:pPr>
            <w:r>
              <w:rPr>
                <w:rFonts w:hint="eastAsia"/>
              </w:rPr>
              <w:t>公司半导体业务长期发展战略是“从低压向高压，从功率向模拟”不断拓展产品，通过高ASP、高性能的新产品快速提升收入，</w:t>
            </w:r>
            <w:proofErr w:type="spellStart"/>
            <w:r>
              <w:rPr>
                <w:rFonts w:hint="eastAsia"/>
              </w:rPr>
              <w:t>GaN</w:t>
            </w:r>
            <w:proofErr w:type="spellEnd"/>
            <w:r>
              <w:rPr>
                <w:rFonts w:hint="eastAsia"/>
              </w:rPr>
              <w:t>、</w:t>
            </w:r>
            <w:proofErr w:type="spellStart"/>
            <w:r>
              <w:rPr>
                <w:rFonts w:hint="eastAsia"/>
              </w:rPr>
              <w:t>SiC</w:t>
            </w:r>
            <w:proofErr w:type="spellEnd"/>
            <w:r>
              <w:rPr>
                <w:rFonts w:hint="eastAsia"/>
              </w:rPr>
              <w:t>和IGBT等高压产品是未来增长的重要方向，2</w:t>
            </w:r>
            <w:r>
              <w:t>024</w:t>
            </w:r>
            <w:r>
              <w:rPr>
                <w:rFonts w:hint="eastAsia"/>
              </w:rPr>
              <w:t>年起我们对公司高压产品团队进行了整合，也补充了更多的相关专业技术人才，因此无论是产品研发量产进度还是客户推广进度都显著加快，2</w:t>
            </w:r>
            <w:r>
              <w:t>025</w:t>
            </w:r>
            <w:r>
              <w:rPr>
                <w:rFonts w:hint="eastAsia"/>
              </w:rPr>
              <w:t>年公司</w:t>
            </w:r>
            <w:proofErr w:type="spellStart"/>
            <w:r>
              <w:rPr>
                <w:rFonts w:hint="eastAsia"/>
              </w:rPr>
              <w:t>GaN</w:t>
            </w:r>
            <w:proofErr w:type="spellEnd"/>
            <w:r>
              <w:rPr>
                <w:rFonts w:hint="eastAsia"/>
              </w:rPr>
              <w:t>、</w:t>
            </w:r>
            <w:proofErr w:type="spellStart"/>
            <w:r>
              <w:rPr>
                <w:rFonts w:hint="eastAsia"/>
              </w:rPr>
              <w:t>SiC</w:t>
            </w:r>
            <w:proofErr w:type="spellEnd"/>
            <w:r>
              <w:rPr>
                <w:rFonts w:hint="eastAsia"/>
              </w:rPr>
              <w:t>的新产品不断发布，也在汽车、工业和消费客户中都获得了design</w:t>
            </w:r>
            <w:r>
              <w:t xml:space="preserve"> </w:t>
            </w:r>
            <w:r>
              <w:rPr>
                <w:rFonts w:hint="eastAsia"/>
              </w:rPr>
              <w:t>in、design</w:t>
            </w:r>
            <w:r>
              <w:t xml:space="preserve"> </w:t>
            </w:r>
            <w:r>
              <w:rPr>
                <w:rFonts w:hint="eastAsia"/>
              </w:rPr>
              <w:t>win的订单。</w:t>
            </w:r>
          </w:p>
          <w:p w14:paraId="12CF3746" w14:textId="7368F253" w:rsidR="0053690B" w:rsidRDefault="00000000" w:rsidP="00EE2A13">
            <w:pPr>
              <w:ind w:firstLineChars="200"/>
              <w:jc w:val="both"/>
              <w:rPr>
                <w:rFonts w:hint="eastAsia"/>
              </w:rPr>
            </w:pPr>
            <w:r>
              <w:rPr>
                <w:rFonts w:hint="eastAsia"/>
              </w:rPr>
              <w:t>目前公司半导体业务已经完成了4</w:t>
            </w:r>
            <w:r>
              <w:t>0-700</w:t>
            </w:r>
            <w:r>
              <w:rPr>
                <w:rFonts w:hint="eastAsia"/>
              </w:rPr>
              <w:t>V</w:t>
            </w:r>
            <w:r>
              <w:t xml:space="preserve"> </w:t>
            </w:r>
            <w:r>
              <w:rPr>
                <w:rFonts w:cs="Times New Roman"/>
                <w:bCs/>
              </w:rPr>
              <w:t xml:space="preserve">新型低压和高压E-mode </w:t>
            </w:r>
            <w:proofErr w:type="spellStart"/>
            <w:r>
              <w:rPr>
                <w:rFonts w:cs="Times New Roman"/>
                <w:bCs/>
              </w:rPr>
              <w:t>GaN</w:t>
            </w:r>
            <w:proofErr w:type="spellEnd"/>
            <w:r>
              <w:rPr>
                <w:rFonts w:cs="Times New Roman"/>
                <w:bCs/>
              </w:rPr>
              <w:t xml:space="preserve"> FET</w:t>
            </w:r>
            <w:r>
              <w:rPr>
                <w:rFonts w:cs="Times New Roman" w:hint="eastAsia"/>
                <w:bCs/>
              </w:rPr>
              <w:t>产品组合</w:t>
            </w:r>
            <w:r>
              <w:rPr>
                <w:rFonts w:hint="eastAsia"/>
              </w:rPr>
              <w:t>、</w:t>
            </w:r>
            <w:r>
              <w:t>1200</w:t>
            </w:r>
            <w:r>
              <w:rPr>
                <w:rFonts w:hint="eastAsia"/>
              </w:rPr>
              <w:t>V车规级</w:t>
            </w:r>
            <w:proofErr w:type="spellStart"/>
            <w:r>
              <w:rPr>
                <w:rFonts w:hint="eastAsia"/>
              </w:rPr>
              <w:t>SiC</w:t>
            </w:r>
            <w:proofErr w:type="spellEnd"/>
            <w:r>
              <w:t xml:space="preserve"> </w:t>
            </w:r>
            <w:r>
              <w:rPr>
                <w:rFonts w:hint="eastAsia"/>
              </w:rPr>
              <w:t>MOS的正式发布，</w:t>
            </w:r>
            <w:proofErr w:type="spellStart"/>
            <w:r>
              <w:rPr>
                <w:rFonts w:hint="eastAsia"/>
              </w:rPr>
              <w:t>SiC</w:t>
            </w:r>
            <w:proofErr w:type="spellEnd"/>
            <w:r>
              <w:t xml:space="preserve"> </w:t>
            </w:r>
            <w:r>
              <w:rPr>
                <w:rFonts w:hint="eastAsia"/>
              </w:rPr>
              <w:t>Trench（沟槽型）MOS已经完成研发，性能和转化效率提升明显，量产后会实现</w:t>
            </w:r>
            <w:proofErr w:type="spellStart"/>
            <w:r>
              <w:rPr>
                <w:rFonts w:hint="eastAsia"/>
              </w:rPr>
              <w:t>SiC</w:t>
            </w:r>
            <w:proofErr w:type="spellEnd"/>
            <w:r>
              <w:t xml:space="preserve"> </w:t>
            </w:r>
            <w:r>
              <w:rPr>
                <w:rFonts w:hint="eastAsia"/>
              </w:rPr>
              <w:t>MOS的弯道超车，将成为未来公司</w:t>
            </w:r>
            <w:proofErr w:type="spellStart"/>
            <w:r>
              <w:rPr>
                <w:rFonts w:hint="eastAsia"/>
              </w:rPr>
              <w:t>SiC</w:t>
            </w:r>
            <w:proofErr w:type="spellEnd"/>
            <w:r>
              <w:t xml:space="preserve"> </w:t>
            </w:r>
            <w:r>
              <w:rPr>
                <w:rFonts w:hint="eastAsia"/>
              </w:rPr>
              <w:t>MOS的拳头产品。目前公司</w:t>
            </w:r>
            <w:proofErr w:type="spellStart"/>
            <w:r>
              <w:rPr>
                <w:rFonts w:hint="eastAsia"/>
              </w:rPr>
              <w:t>SiC</w:t>
            </w:r>
            <w:proofErr w:type="spellEnd"/>
            <w:r>
              <w:t xml:space="preserve"> </w:t>
            </w:r>
            <w:r>
              <w:rPr>
                <w:rFonts w:hint="eastAsia"/>
              </w:rPr>
              <w:t>MOS在Tier</w:t>
            </w:r>
            <w:r>
              <w:t>1</w:t>
            </w:r>
            <w:r>
              <w:rPr>
                <w:rFonts w:hint="eastAsia"/>
              </w:rPr>
              <w:t>客户OBC中开始量产交付，并送样北美、欧洲和国内新能源汽车客户，反馈良好，也获得了头部AI电源客户的des</w:t>
            </w:r>
            <w:r w:rsidR="00DD31C1">
              <w:rPr>
                <w:rFonts w:hint="eastAsia"/>
              </w:rPr>
              <w:t>ig</w:t>
            </w:r>
            <w:r>
              <w:rPr>
                <w:rFonts w:hint="eastAsia"/>
              </w:rPr>
              <w:t>n</w:t>
            </w:r>
            <w:r>
              <w:t xml:space="preserve"> </w:t>
            </w:r>
            <w:r>
              <w:rPr>
                <w:rFonts w:hint="eastAsia"/>
              </w:rPr>
              <w:t>in订单。</w:t>
            </w:r>
          </w:p>
          <w:p w14:paraId="1C8BCA5F" w14:textId="77777777" w:rsidR="0053690B" w:rsidRDefault="00000000" w:rsidP="00EE2A13">
            <w:pPr>
              <w:ind w:firstLineChars="200"/>
              <w:jc w:val="both"/>
              <w:rPr>
                <w:rFonts w:hint="eastAsia"/>
              </w:rPr>
            </w:pPr>
            <w:proofErr w:type="spellStart"/>
            <w:r>
              <w:rPr>
                <w:rFonts w:hint="eastAsia"/>
              </w:rPr>
              <w:t>GaN</w:t>
            </w:r>
            <w:proofErr w:type="spellEnd"/>
            <w:r>
              <w:rPr>
                <w:rFonts w:hint="eastAsia"/>
              </w:rPr>
              <w:t>芯片已经在北美云厂商的新一代手机、头部通信设备厂商的通讯基站设施中实现量产出货，并且在和头部车企战略合作推进</w:t>
            </w:r>
            <w:proofErr w:type="spellStart"/>
            <w:r>
              <w:rPr>
                <w:rFonts w:hint="eastAsia"/>
              </w:rPr>
              <w:t>GaN</w:t>
            </w:r>
            <w:proofErr w:type="spellEnd"/>
            <w:r>
              <w:rPr>
                <w:rFonts w:hint="eastAsia"/>
              </w:rPr>
              <w:t>上车，同时也在向头部服务器电源客户送样。</w:t>
            </w:r>
          </w:p>
          <w:p w14:paraId="171DFAE2" w14:textId="77777777" w:rsidR="0053690B" w:rsidRDefault="00000000" w:rsidP="00EE2A13">
            <w:pPr>
              <w:ind w:firstLineChars="200"/>
              <w:jc w:val="both"/>
              <w:rPr>
                <w:rFonts w:hint="eastAsia"/>
              </w:rPr>
            </w:pPr>
            <w:r>
              <w:rPr>
                <w:rFonts w:hint="eastAsia"/>
              </w:rPr>
              <w:t>2</w:t>
            </w:r>
            <w:r>
              <w:t>024</w:t>
            </w:r>
            <w:r>
              <w:rPr>
                <w:rFonts w:hint="eastAsia"/>
              </w:rPr>
              <w:t>年投资2亿美金建设的汉堡的</w:t>
            </w:r>
            <w:proofErr w:type="spellStart"/>
            <w:r>
              <w:rPr>
                <w:rFonts w:hint="eastAsia"/>
              </w:rPr>
              <w:t>GaN</w:t>
            </w:r>
            <w:proofErr w:type="spellEnd"/>
            <w:r>
              <w:rPr>
                <w:rFonts w:hint="eastAsia"/>
              </w:rPr>
              <w:t>、</w:t>
            </w:r>
            <w:proofErr w:type="spellStart"/>
            <w:r>
              <w:rPr>
                <w:rFonts w:hint="eastAsia"/>
              </w:rPr>
              <w:t>SiC</w:t>
            </w:r>
            <w:proofErr w:type="spellEnd"/>
            <w:r>
              <w:rPr>
                <w:rFonts w:hint="eastAsia"/>
              </w:rPr>
              <w:t>产线进展顺利，预计2</w:t>
            </w:r>
            <w:r>
              <w:t>025</w:t>
            </w:r>
            <w:r>
              <w:rPr>
                <w:rFonts w:hint="eastAsia"/>
              </w:rPr>
              <w:t>年底通线，工艺能力和自主化进一步提升。</w:t>
            </w:r>
          </w:p>
          <w:p w14:paraId="53C7D334" w14:textId="77777777" w:rsidR="0053690B" w:rsidRDefault="00000000" w:rsidP="00EE2A13">
            <w:pPr>
              <w:ind w:firstLineChars="200"/>
              <w:jc w:val="both"/>
              <w:rPr>
                <w:rFonts w:hint="eastAsia"/>
              </w:rPr>
            </w:pPr>
            <w:r>
              <w:rPr>
                <w:rFonts w:hint="eastAsia"/>
              </w:rPr>
              <w:t>IGBT产品方面，现有产品我们已经顺利量产到国内的空调压缩机项目，并且导入了电机和家电客户的空调控制板和马达项目，预计2</w:t>
            </w:r>
            <w:r>
              <w:t>025</w:t>
            </w:r>
            <w:r>
              <w:rPr>
                <w:rFonts w:hint="eastAsia"/>
              </w:rPr>
              <w:t>年第四季度量产交付。预计2</w:t>
            </w:r>
            <w:r>
              <w:t>025</w:t>
            </w:r>
            <w:r>
              <w:rPr>
                <w:rFonts w:hint="eastAsia"/>
              </w:rPr>
              <w:t>年底将在临港晶圆厂实现1</w:t>
            </w:r>
            <w:r>
              <w:t>2</w:t>
            </w:r>
            <w:r>
              <w:rPr>
                <w:rFonts w:hint="eastAsia"/>
              </w:rPr>
              <w:t>吋IGBT新一代产品通线量产，将会比现有产品更有竞争力。</w:t>
            </w:r>
          </w:p>
          <w:p w14:paraId="7970E142" w14:textId="77777777" w:rsidR="0053690B" w:rsidRDefault="00000000" w:rsidP="00EE2A13">
            <w:pPr>
              <w:ind w:firstLineChars="200"/>
              <w:jc w:val="both"/>
              <w:rPr>
                <w:rFonts w:hint="eastAsia"/>
              </w:rPr>
            </w:pPr>
            <w:r>
              <w:rPr>
                <w:rFonts w:hint="eastAsia"/>
              </w:rPr>
              <w:lastRenderedPageBreak/>
              <w:t>我们预计高压产品从2</w:t>
            </w:r>
            <w:r>
              <w:t>026</w:t>
            </w:r>
            <w:r>
              <w:rPr>
                <w:rFonts w:hint="eastAsia"/>
              </w:rPr>
              <w:t>年起高压产品会进入量产放量期，公司半导体业务目前在中低压功率器件销售中全球排名第三、中国排名第一，未来公司希望高压功率器件的销售也能位于全球前列。</w:t>
            </w:r>
          </w:p>
          <w:p w14:paraId="2874EB8C" w14:textId="77777777" w:rsidR="0053690B" w:rsidRDefault="00000000" w:rsidP="00EE2A13">
            <w:pPr>
              <w:ind w:firstLineChars="200"/>
              <w:jc w:val="both"/>
              <w:rPr>
                <w:rFonts w:hint="eastAsia"/>
              </w:rPr>
            </w:pPr>
            <w:r>
              <w:rPr>
                <w:rFonts w:hint="eastAsia"/>
              </w:rPr>
              <w:t>3、如何展望公司半导体业务第三季度及下半年增长趋势，各个下游市场如何展望？</w:t>
            </w:r>
          </w:p>
          <w:p w14:paraId="216D5770" w14:textId="77777777" w:rsidR="0053690B" w:rsidRDefault="00000000" w:rsidP="00EE2A13">
            <w:pPr>
              <w:ind w:firstLineChars="200"/>
              <w:jc w:val="both"/>
              <w:rPr>
                <w:rFonts w:hint="eastAsia"/>
              </w:rPr>
            </w:pPr>
            <w:r>
              <w:rPr>
                <w:rFonts w:hint="eastAsia"/>
              </w:rPr>
              <w:t>从第三季度订单情况看，公司半导体业务的收入环比持续增长。目前订单能见度下，各个下游的景气度趋势较好：</w:t>
            </w:r>
          </w:p>
          <w:p w14:paraId="341D3E00" w14:textId="77777777" w:rsidR="0053690B" w:rsidRDefault="00000000" w:rsidP="00EE2A13">
            <w:pPr>
              <w:ind w:firstLineChars="200"/>
              <w:jc w:val="both"/>
              <w:rPr>
                <w:rFonts w:hint="eastAsia"/>
              </w:rPr>
            </w:pPr>
            <w:r>
              <w:rPr>
                <w:rFonts w:hint="eastAsia"/>
              </w:rPr>
              <w:t>汽车方面中国区的增长势头延续，更重要的是欧洲汽车客户的库存健康，从第二季度逐步进入补库周期，欧洲新能源汽车的渗透率提升显著，考虑到欧洲区汽车收入占公司汽车业务整体收入接近</w:t>
            </w:r>
            <w:r>
              <w:t>4</w:t>
            </w:r>
            <w:r>
              <w:rPr>
                <w:rFonts w:hint="eastAsia"/>
              </w:rPr>
              <w:t>成，这一趋势将有力带动公司汽车领域收入的环比增长。</w:t>
            </w:r>
          </w:p>
          <w:p w14:paraId="615C79B5" w14:textId="77777777" w:rsidR="0053690B" w:rsidRDefault="00000000" w:rsidP="00EE2A13">
            <w:pPr>
              <w:ind w:firstLineChars="200"/>
              <w:jc w:val="both"/>
              <w:rPr>
                <w:rFonts w:hint="eastAsia"/>
              </w:rPr>
            </w:pPr>
            <w:r>
              <w:rPr>
                <w:rFonts w:hint="eastAsia"/>
              </w:rPr>
              <w:t>工业方面，上半年公司半导体业务工业和AI电源相关的收入同比增长超过1</w:t>
            </w:r>
            <w:r>
              <w:t>6%</w:t>
            </w:r>
            <w:r>
              <w:rPr>
                <w:rFonts w:hint="eastAsia"/>
              </w:rPr>
              <w:t>，全球性工业复苏的趋势比较明显，国内的设备更新政策、全球各个地区的再工业化以及数据中心建设需求旺盛，都带动了工业订单的上升，第三季度从订单看，工业和电源相关的订单环比仍在延续增长。</w:t>
            </w:r>
          </w:p>
          <w:p w14:paraId="045027B2" w14:textId="77777777" w:rsidR="0053690B" w:rsidRDefault="00000000" w:rsidP="00EE2A13">
            <w:pPr>
              <w:ind w:firstLineChars="200"/>
              <w:jc w:val="both"/>
              <w:rPr>
                <w:rFonts w:hint="eastAsia"/>
              </w:rPr>
            </w:pPr>
            <w:r>
              <w:rPr>
                <w:rFonts w:hint="eastAsia"/>
              </w:rPr>
              <w:t>消费类方面，上半年</w:t>
            </w:r>
            <w:r>
              <w:t>消费</w:t>
            </w:r>
            <w:r>
              <w:rPr>
                <w:rFonts w:hint="eastAsia"/>
              </w:rPr>
              <w:t>领域（家电等）</w:t>
            </w:r>
            <w:r>
              <w:t>收入同比增长逾</w:t>
            </w:r>
            <w:r>
              <w:rPr>
                <w:rFonts w:hint="eastAsia"/>
              </w:rPr>
              <w:t>5</w:t>
            </w:r>
            <w:r>
              <w:t>0%，计算</w:t>
            </w:r>
            <w:r>
              <w:rPr>
                <w:rFonts w:hint="eastAsia"/>
              </w:rPr>
              <w:t>设备受AIPC、AI服务器出货增长带动，收</w:t>
            </w:r>
            <w:r>
              <w:t>入同比增长</w:t>
            </w:r>
            <w:r>
              <w:rPr>
                <w:rFonts w:hint="eastAsia"/>
              </w:rPr>
              <w:t>超25</w:t>
            </w:r>
            <w:r>
              <w:t>%</w:t>
            </w:r>
            <w:r>
              <w:rPr>
                <w:rFonts w:hint="eastAsia"/>
              </w:rPr>
              <w:t>，</w:t>
            </w:r>
            <w:r>
              <w:t>移动及可穿戴业务符合终端出货趋势，同比增长约10%</w:t>
            </w:r>
            <w:r>
              <w:rPr>
                <w:rFonts w:hint="eastAsia"/>
              </w:rPr>
              <w:t>，下半年将持续受益于消费电子新产品旺季、消费补贴政策延续等因素。</w:t>
            </w:r>
          </w:p>
          <w:p w14:paraId="566C330F" w14:textId="77777777" w:rsidR="0053690B" w:rsidRDefault="00000000" w:rsidP="00EE2A13">
            <w:pPr>
              <w:ind w:firstLineChars="200"/>
              <w:jc w:val="both"/>
              <w:rPr>
                <w:rFonts w:hint="eastAsia"/>
              </w:rPr>
            </w:pPr>
            <w:r>
              <w:rPr>
                <w:rFonts w:hint="eastAsia"/>
              </w:rPr>
              <w:t>4、公司如何看待AI</w:t>
            </w:r>
            <w:r>
              <w:t>数据中心电源架构变化带来的机会，</w:t>
            </w:r>
            <w:r>
              <w:rPr>
                <w:rFonts w:hint="eastAsia"/>
              </w:rPr>
              <w:t>请分享公司</w:t>
            </w:r>
            <w:r>
              <w:t>在</w:t>
            </w:r>
            <w:r>
              <w:rPr>
                <w:rFonts w:hint="eastAsia"/>
              </w:rPr>
              <w:t>AIDC电源相关</w:t>
            </w:r>
            <w:r>
              <w:t>的布局</w:t>
            </w:r>
            <w:r>
              <w:rPr>
                <w:rFonts w:hint="eastAsia"/>
              </w:rPr>
              <w:t>情况及竞争优势</w:t>
            </w:r>
            <w:r>
              <w:t>？</w:t>
            </w:r>
          </w:p>
          <w:p w14:paraId="509585A2" w14:textId="77777777" w:rsidR="0053690B" w:rsidRDefault="00000000" w:rsidP="00EE2A13">
            <w:pPr>
              <w:ind w:firstLineChars="200"/>
              <w:jc w:val="both"/>
              <w:rPr>
                <w:rFonts w:hint="eastAsia"/>
              </w:rPr>
            </w:pPr>
            <w:r>
              <w:rPr>
                <w:rFonts w:hint="eastAsia"/>
              </w:rPr>
              <w:t>数据中心和服务器电源是公司半导体业务重要的下游应用，从行业整体看会相关的市场规模年化增速超过3</w:t>
            </w:r>
            <w:r>
              <w:t>0%</w:t>
            </w:r>
            <w:r>
              <w:rPr>
                <w:rFonts w:hint="eastAsia"/>
              </w:rPr>
              <w:t>，公司的功率器件、逻辑与模拟IC产品都大量应用其中。从产品和客户进展两个维度看：</w:t>
            </w:r>
          </w:p>
          <w:p w14:paraId="2925AD13" w14:textId="77777777" w:rsidR="0053690B" w:rsidRDefault="00000000" w:rsidP="00EE2A13">
            <w:pPr>
              <w:ind w:firstLineChars="200"/>
              <w:jc w:val="both"/>
              <w:rPr>
                <w:rFonts w:hint="eastAsia"/>
              </w:rPr>
            </w:pPr>
            <w:r>
              <w:rPr>
                <w:rFonts w:hint="eastAsia"/>
              </w:rPr>
              <w:t>从客户维度看，目前公司的产品主要是通过几类客户供应到AI数据中心和服务器中：第一类是海外和国内算力的头部服务器ODM厂商，公司也有专门的团队针对XPU厂商、云厂商送样产品进入参考设计中，提高公司产品价值量；第二类是供应UPS、PSU等产品的国内外电源Tier</w:t>
            </w:r>
            <w:r>
              <w:t>1</w:t>
            </w:r>
            <w:r>
              <w:rPr>
                <w:rFonts w:hint="eastAsia"/>
              </w:rPr>
              <w:t>厂商，公司与他们保持长期稳定的合作关系。</w:t>
            </w:r>
          </w:p>
          <w:p w14:paraId="3F6D5CE6" w14:textId="1C254AB2" w:rsidR="0053690B" w:rsidRDefault="00000000" w:rsidP="00EE2A13">
            <w:pPr>
              <w:ind w:firstLineChars="200"/>
              <w:jc w:val="both"/>
              <w:rPr>
                <w:rFonts w:hint="eastAsia"/>
              </w:rPr>
            </w:pPr>
            <w:r>
              <w:rPr>
                <w:rFonts w:hint="eastAsia"/>
              </w:rPr>
              <w:t>从产品</w:t>
            </w:r>
            <w:r w:rsidR="00DD31C1">
              <w:rPr>
                <w:rFonts w:hint="eastAsia"/>
              </w:rPr>
              <w:t>维</w:t>
            </w:r>
            <w:r>
              <w:rPr>
                <w:rFonts w:hint="eastAsia"/>
              </w:rPr>
              <w:t>度看，随着AI服务器单机功耗提升、可扩展性、可靠性和成本效率等需求发展，公司车规级品质、PPB级质量管控能力提供了“一站式产品组合”帮助客户应对挑战，包括：通过ESD</w:t>
            </w:r>
            <w:r>
              <w:t xml:space="preserve"> </w:t>
            </w:r>
            <w:r>
              <w:rPr>
                <w:rFonts w:hint="eastAsia"/>
              </w:rPr>
              <w:t>for</w:t>
            </w:r>
            <w:r>
              <w:t xml:space="preserve"> </w:t>
            </w:r>
            <w:r>
              <w:rPr>
                <w:rFonts w:hint="eastAsia"/>
              </w:rPr>
              <w:t>CAN、USB</w:t>
            </w:r>
            <w:r>
              <w:t>4.0</w:t>
            </w:r>
            <w:r>
              <w:rPr>
                <w:rFonts w:hint="eastAsia"/>
              </w:rPr>
              <w:t>、保护高达6</w:t>
            </w:r>
            <w:r>
              <w:t>00</w:t>
            </w:r>
            <w:r>
              <w:rPr>
                <w:rFonts w:hint="eastAsia"/>
              </w:rPr>
              <w:t>W的TVS二极管等产品提供电源保险功能；通过电源“ASSETs”系列在1</w:t>
            </w:r>
            <w:r>
              <w:t>2</w:t>
            </w:r>
            <w:r>
              <w:rPr>
                <w:rFonts w:hint="eastAsia"/>
              </w:rPr>
              <w:t>V和4</w:t>
            </w:r>
            <w:r>
              <w:t>8</w:t>
            </w:r>
            <w:r>
              <w:rPr>
                <w:rFonts w:hint="eastAsia"/>
              </w:rPr>
              <w:t>V电源架构中具有增强的安全工作区（SOA），并且具备顶级散热封装、用于热插拔的</w:t>
            </w:r>
            <w:proofErr w:type="spellStart"/>
            <w:r>
              <w:rPr>
                <w:rFonts w:hint="eastAsia"/>
              </w:rPr>
              <w:t>eMode</w:t>
            </w:r>
            <w:proofErr w:type="spellEnd"/>
            <w:r>
              <w:t xml:space="preserve"> </w:t>
            </w:r>
            <w:proofErr w:type="spellStart"/>
            <w:r>
              <w:rPr>
                <w:rFonts w:hint="eastAsia"/>
              </w:rPr>
              <w:t>GaN</w:t>
            </w:r>
            <w:proofErr w:type="spellEnd"/>
            <w:r>
              <w:rPr>
                <w:rFonts w:hint="eastAsia"/>
              </w:rPr>
              <w:t>和双向</w:t>
            </w:r>
            <w:proofErr w:type="spellStart"/>
            <w:r>
              <w:rPr>
                <w:rFonts w:hint="eastAsia"/>
              </w:rPr>
              <w:t>eGaN</w:t>
            </w:r>
            <w:proofErr w:type="spellEnd"/>
            <w:r>
              <w:rPr>
                <w:rFonts w:hint="eastAsia"/>
              </w:rPr>
              <w:t>器件；提供双向和固定方向的电压转换、GPIO扩展器、模拟多路复用器和开关等保障信号接口功能；此外还构建了一些电源管理IC，包括LDO、DC/DC、负载开关、</w:t>
            </w:r>
            <w:proofErr w:type="spellStart"/>
            <w:r>
              <w:rPr>
                <w:rFonts w:hint="eastAsia"/>
              </w:rPr>
              <w:t>eFuse</w:t>
            </w:r>
            <w:proofErr w:type="spellEnd"/>
            <w:r>
              <w:rPr>
                <w:rFonts w:hint="eastAsia"/>
              </w:rPr>
              <w:t>、理想二极管、USB</w:t>
            </w:r>
            <w:r>
              <w:t xml:space="preserve"> </w:t>
            </w:r>
            <w:r>
              <w:rPr>
                <w:rFonts w:hint="eastAsia"/>
              </w:rPr>
              <w:t>PD电源传输控制器、热插拔控制器等；提供电网、UPS、PDU、PSU等适用的宽禁带第三代半导体器件和IGBT及模组，应对未来数据中心耗电量成倍增长需求。</w:t>
            </w:r>
          </w:p>
          <w:p w14:paraId="453057DE" w14:textId="77777777" w:rsidR="0053690B" w:rsidRDefault="00000000" w:rsidP="00EE2A13">
            <w:pPr>
              <w:ind w:firstLineChars="200"/>
              <w:jc w:val="both"/>
              <w:rPr>
                <w:rFonts w:hint="eastAsia"/>
              </w:rPr>
            </w:pPr>
            <w:r>
              <w:rPr>
                <w:rFonts w:hint="eastAsia"/>
              </w:rPr>
              <w:t>这些客户和产品组合上的长期积累，帮助公司构建了“一站式分立器件和模拟IC采购平台”，从而在AI电源应用供应链生态中占据良好的供应格局。</w:t>
            </w:r>
          </w:p>
          <w:p w14:paraId="7F209956" w14:textId="77777777" w:rsidR="0053690B" w:rsidRDefault="00000000" w:rsidP="00EE2A13">
            <w:pPr>
              <w:ind w:firstLineChars="200"/>
              <w:jc w:val="both"/>
              <w:rPr>
                <w:rFonts w:hint="eastAsia"/>
              </w:rPr>
            </w:pPr>
            <w:r>
              <w:rPr>
                <w:rFonts w:hint="eastAsia"/>
              </w:rPr>
              <w:lastRenderedPageBreak/>
              <w:t>5、公司半导体业务中国区</w:t>
            </w:r>
            <w:r>
              <w:t>业务的进展情况？占比如何？后续有哪些值得期待的大客户或项目？</w:t>
            </w:r>
            <w:r>
              <w:rPr>
                <w:rFonts w:hint="eastAsia"/>
              </w:rPr>
              <w:t>如何看待公司在国内市场竞争</w:t>
            </w:r>
            <w:r>
              <w:t>的成本优势？</w:t>
            </w:r>
          </w:p>
          <w:p w14:paraId="3F5E6F76" w14:textId="77777777" w:rsidR="0053690B" w:rsidRDefault="00000000" w:rsidP="00EE2A13">
            <w:pPr>
              <w:ind w:firstLineChars="200"/>
              <w:jc w:val="both"/>
              <w:rPr>
                <w:rFonts w:hint="eastAsia"/>
              </w:rPr>
            </w:pPr>
            <w:r>
              <w:rPr>
                <w:rFonts w:hint="eastAsia"/>
              </w:rPr>
              <w:t>2</w:t>
            </w:r>
            <w:r>
              <w:t>025</w:t>
            </w:r>
            <w:r>
              <w:rPr>
                <w:rFonts w:hint="eastAsia"/>
              </w:rPr>
              <w:t>年上半年公司半导体业务中国区收入占比超过4</w:t>
            </w:r>
            <w:r>
              <w:t>8%</w:t>
            </w:r>
            <w:r>
              <w:rPr>
                <w:rFonts w:hint="eastAsia"/>
              </w:rPr>
              <w:t>，同比增长超过</w:t>
            </w:r>
            <w:r>
              <w:t>20%</w:t>
            </w:r>
            <w:r>
              <w:rPr>
                <w:rFonts w:hint="eastAsia"/>
              </w:rPr>
              <w:t>，汽车、工业和消费领域的收入增速都较好，中国区汽车客户收入同比增长接近4</w:t>
            </w:r>
            <w:r>
              <w:t>0%</w:t>
            </w:r>
            <w:r>
              <w:rPr>
                <w:rFonts w:hint="eastAsia"/>
              </w:rPr>
              <w:t>。长期看，中国区在汽车、AI和消费电子市场的引领作用较为显著，也是公司半导体业务新产品发力的重点区域之一，近期在中国区客户上的一些新产品进展包括：</w:t>
            </w:r>
          </w:p>
          <w:p w14:paraId="53808C5A" w14:textId="77777777" w:rsidR="0053690B" w:rsidRDefault="00000000" w:rsidP="00EE2A13">
            <w:pPr>
              <w:ind w:firstLineChars="200"/>
              <w:jc w:val="both"/>
              <w:rPr>
                <w:rFonts w:hint="eastAsia"/>
              </w:rPr>
            </w:pPr>
            <w:r>
              <w:rPr>
                <w:rFonts w:hint="eastAsia"/>
              </w:rPr>
              <w:t>MOSFET产品方面，公司基于临港晶圆厂1</w:t>
            </w:r>
            <w:r>
              <w:t>2</w:t>
            </w:r>
            <w:r>
              <w:rPr>
                <w:rFonts w:hint="eastAsia"/>
              </w:rPr>
              <w:t>寸工艺升级的新一代MOS产品已经成功进入国内头部新能源汽车客户供应链，预计从1</w:t>
            </w:r>
            <w:r>
              <w:t>0</w:t>
            </w:r>
            <w:r>
              <w:rPr>
                <w:rFonts w:hint="eastAsia"/>
              </w:rPr>
              <w:t>月份开始量产出货。新工艺平台下MOS产品的成本和产品性能得到极大优化，将公司MOSFET产品由40V逐步向中高压MOS产品系列拓展，更好地支撑新能源汽车、AI服务器、人形机器人等产品向48V平台架构演进。</w:t>
            </w:r>
          </w:p>
          <w:p w14:paraId="54AC2955" w14:textId="77777777" w:rsidR="0053690B" w:rsidRDefault="00000000" w:rsidP="00EE2A13">
            <w:pPr>
              <w:ind w:firstLineChars="200"/>
              <w:jc w:val="both"/>
              <w:rPr>
                <w:rFonts w:hint="eastAsia"/>
              </w:rPr>
            </w:pPr>
            <w:r>
              <w:rPr>
                <w:rFonts w:hint="eastAsia"/>
              </w:rPr>
              <w:t>高压功率器件方面，</w:t>
            </w:r>
            <w:proofErr w:type="spellStart"/>
            <w:r>
              <w:rPr>
                <w:rFonts w:hint="eastAsia"/>
              </w:rPr>
              <w:t>SiC</w:t>
            </w:r>
            <w:proofErr w:type="spellEnd"/>
            <w:r>
              <w:t xml:space="preserve"> </w:t>
            </w:r>
            <w:r>
              <w:rPr>
                <w:rFonts w:hint="eastAsia"/>
              </w:rPr>
              <w:t>MOS、IGBT都已经获得国内汽车客户、空调家电客户的订单，下半年开始交付出货，在今年上海车展上，吉利与雷诺合资的浩思动力发布的产品搭载了公司的高压</w:t>
            </w:r>
            <w:proofErr w:type="spellStart"/>
            <w:r>
              <w:rPr>
                <w:rFonts w:hint="eastAsia"/>
              </w:rPr>
              <w:t>GaN</w:t>
            </w:r>
            <w:proofErr w:type="spellEnd"/>
            <w:r>
              <w:rPr>
                <w:rFonts w:hint="eastAsia"/>
              </w:rPr>
              <w:t>器件，目前也在联合推动</w:t>
            </w:r>
            <w:proofErr w:type="spellStart"/>
            <w:r>
              <w:rPr>
                <w:rFonts w:hint="eastAsia"/>
              </w:rPr>
              <w:t>GaN</w:t>
            </w:r>
            <w:proofErr w:type="spellEnd"/>
            <w:r>
              <w:rPr>
                <w:rFonts w:hint="eastAsia"/>
              </w:rPr>
              <w:t>上车的量产工作。在PCIM</w:t>
            </w:r>
            <w:r>
              <w:t xml:space="preserve"> </w:t>
            </w:r>
            <w:r>
              <w:rPr>
                <w:rFonts w:hint="eastAsia"/>
              </w:rPr>
              <w:t>Asia展会上，公司也展出了3KW</w:t>
            </w:r>
            <w:r>
              <w:t xml:space="preserve"> </w:t>
            </w:r>
            <w:proofErr w:type="spellStart"/>
            <w:r>
              <w:rPr>
                <w:rFonts w:hint="eastAsia"/>
              </w:rPr>
              <w:t>GaN</w:t>
            </w:r>
            <w:proofErr w:type="spellEnd"/>
            <w:r>
              <w:rPr>
                <w:rFonts w:hint="eastAsia"/>
              </w:rPr>
              <w:t>马达驱动、1</w:t>
            </w:r>
            <w:r>
              <w:t>2-48</w:t>
            </w:r>
            <w:r>
              <w:rPr>
                <w:rFonts w:hint="eastAsia"/>
              </w:rPr>
              <w:t>V无刷电机驱动、充电桩AC/DC模块等高压应用，加快在工业电源、汽车驱动、机器人电机等方面的客户推广。</w:t>
            </w:r>
          </w:p>
          <w:p w14:paraId="6642DC01" w14:textId="77777777" w:rsidR="0053690B" w:rsidRDefault="00000000" w:rsidP="00EE2A13">
            <w:pPr>
              <w:ind w:firstLineChars="200"/>
              <w:jc w:val="both"/>
              <w:rPr>
                <w:rFonts w:hint="eastAsia"/>
              </w:rPr>
            </w:pPr>
            <w:r>
              <w:rPr>
                <w:rFonts w:hint="eastAsia"/>
              </w:rPr>
              <w:t>模拟芯片方面，车灯LED驱动IC、LDO稳压IC等模拟芯片新品都已经开始量产交付，</w:t>
            </w:r>
            <w:r>
              <w:rPr>
                <w:rFonts w:cs="Times New Roman" w:hint="eastAsia"/>
                <w:bCs/>
              </w:rPr>
              <w:t>基于USB PD3.2标准最高可支持240瓦的双口快充车规控制器IC成功实现量产</w:t>
            </w:r>
            <w:r>
              <w:rPr>
                <w:rFonts w:hint="eastAsia"/>
              </w:rPr>
              <w:t>。</w:t>
            </w:r>
          </w:p>
          <w:p w14:paraId="59E12814" w14:textId="5DAF61E8" w:rsidR="0053690B" w:rsidRDefault="00000000" w:rsidP="00EE2A13">
            <w:pPr>
              <w:ind w:firstLineChars="200"/>
              <w:jc w:val="both"/>
              <w:rPr>
                <w:rFonts w:hint="eastAsia"/>
              </w:rPr>
            </w:pPr>
            <w:r>
              <w:rPr>
                <w:rFonts w:hint="eastAsia"/>
              </w:rPr>
              <w:t>对于中国区的竞争问题，公司作为功率和模拟芯片国产化的重要力量，正在积极推动国产化芯片在汽车、工业和消费中的应用，2</w:t>
            </w:r>
            <w:r>
              <w:t>025</w:t>
            </w:r>
            <w:r>
              <w:rPr>
                <w:rFonts w:hint="eastAsia"/>
              </w:rPr>
              <w:t>年上半年Logic</w:t>
            </w:r>
            <w:r>
              <w:t xml:space="preserve"> </w:t>
            </w:r>
            <w:r>
              <w:rPr>
                <w:rFonts w:hint="eastAsia"/>
              </w:rPr>
              <w:t>IC和MOS等产品在中国区的国产替代订单增长显著。公司的优势在于丰富的料号储备、车规级高规格产品质量和领先的工艺技术平台，目前依托国内临港晶圆厂的产能和工艺，自动化率和效率都大幅提升，同时公司也在积极引入国产供应链，优化成本，提高竞争力。从销售和售后维护上，公司凭借全面</w:t>
            </w:r>
            <w:r w:rsidR="00E511A9">
              <w:rPr>
                <w:rFonts w:hint="eastAsia"/>
              </w:rPr>
              <w:t>、高可靠、可扩展性</w:t>
            </w:r>
            <w:r>
              <w:rPr>
                <w:rFonts w:hint="eastAsia"/>
              </w:rPr>
              <w:t>的料号</w:t>
            </w:r>
            <w:r w:rsidR="00E511A9">
              <w:rPr>
                <w:rFonts w:hint="eastAsia"/>
              </w:rPr>
              <w:t>组合</w:t>
            </w:r>
            <w:r>
              <w:rPr>
                <w:rFonts w:hint="eastAsia"/>
              </w:rPr>
              <w:t>打造“功率、模拟芯片一站式采购”服务，与客户更深度协同。随着公司更多产品实现了本地化研发、生产，中国区的FAE、失效分析等职能越发健全，客户响应速度明显提升，更好地为中国区客户的创新产品提供支撑和服务。</w:t>
            </w:r>
          </w:p>
        </w:tc>
      </w:tr>
      <w:tr w:rsidR="0053690B" w14:paraId="376C20A2" w14:textId="77777777">
        <w:trPr>
          <w:jc w:val="center"/>
        </w:trPr>
        <w:tc>
          <w:tcPr>
            <w:tcW w:w="1055" w:type="pct"/>
            <w:vAlign w:val="center"/>
          </w:tcPr>
          <w:p w14:paraId="77487F45" w14:textId="77777777" w:rsidR="0053690B" w:rsidRDefault="00000000" w:rsidP="00EE2A13">
            <w:pPr>
              <w:ind w:firstLine="0"/>
              <w:rPr>
                <w:rFonts w:hint="eastAsia"/>
              </w:rPr>
            </w:pPr>
            <w:r>
              <w:lastRenderedPageBreak/>
              <w:t>附件清单（如有）</w:t>
            </w:r>
          </w:p>
        </w:tc>
        <w:tc>
          <w:tcPr>
            <w:tcW w:w="3945" w:type="pct"/>
            <w:vAlign w:val="center"/>
          </w:tcPr>
          <w:p w14:paraId="20F29877" w14:textId="30E6222B" w:rsidR="0053690B" w:rsidRDefault="00EE2A13" w:rsidP="00EE2A13">
            <w:pPr>
              <w:ind w:firstLine="0"/>
              <w:rPr>
                <w:rFonts w:hint="eastAsia"/>
              </w:rPr>
            </w:pPr>
            <w:r>
              <w:rPr>
                <w:rFonts w:hint="eastAsia"/>
              </w:rPr>
              <w:t>无</w:t>
            </w:r>
          </w:p>
        </w:tc>
      </w:tr>
      <w:tr w:rsidR="0053690B" w14:paraId="10CC046D" w14:textId="77777777">
        <w:trPr>
          <w:jc w:val="center"/>
        </w:trPr>
        <w:tc>
          <w:tcPr>
            <w:tcW w:w="1055" w:type="pct"/>
            <w:vAlign w:val="center"/>
          </w:tcPr>
          <w:p w14:paraId="6B8A922C" w14:textId="77777777" w:rsidR="0053690B" w:rsidRDefault="00000000" w:rsidP="00EE2A13">
            <w:pPr>
              <w:ind w:firstLine="0"/>
              <w:rPr>
                <w:rFonts w:hint="eastAsia"/>
              </w:rPr>
            </w:pPr>
            <w:r>
              <w:t>日期</w:t>
            </w:r>
          </w:p>
        </w:tc>
        <w:tc>
          <w:tcPr>
            <w:tcW w:w="3945" w:type="pct"/>
            <w:vAlign w:val="bottom"/>
          </w:tcPr>
          <w:p w14:paraId="5E9B8BFD" w14:textId="5EC730E2" w:rsidR="0053690B" w:rsidRDefault="00000000" w:rsidP="00EE2A13">
            <w:pPr>
              <w:ind w:firstLine="0"/>
              <w:rPr>
                <w:rFonts w:hint="eastAsia"/>
              </w:rPr>
            </w:pPr>
            <w:r>
              <w:rPr>
                <w:rFonts w:hint="eastAsia"/>
              </w:rPr>
              <w:t>202</w:t>
            </w:r>
            <w:r>
              <w:t>5年9月</w:t>
            </w:r>
            <w:r>
              <w:rPr>
                <w:rFonts w:hint="eastAsia"/>
              </w:rPr>
              <w:t>2</w:t>
            </w:r>
            <w:r w:rsidR="00B501CA">
              <w:t>9</w:t>
            </w:r>
            <w:r>
              <w:t>日</w:t>
            </w:r>
          </w:p>
        </w:tc>
      </w:tr>
    </w:tbl>
    <w:p w14:paraId="56602B4A" w14:textId="77777777" w:rsidR="0053690B" w:rsidRDefault="0053690B" w:rsidP="00E511A9">
      <w:pPr>
        <w:rPr>
          <w:rFonts w:hint="eastAsia"/>
        </w:rPr>
      </w:pPr>
    </w:p>
    <w:sectPr w:rsidR="005369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BA14" w14:textId="77777777" w:rsidR="007C1E55" w:rsidRDefault="007C1E55" w:rsidP="00E511A9">
      <w:pPr>
        <w:rPr>
          <w:rFonts w:hint="eastAsia"/>
        </w:rPr>
      </w:pPr>
      <w:r>
        <w:separator/>
      </w:r>
    </w:p>
  </w:endnote>
  <w:endnote w:type="continuationSeparator" w:id="0">
    <w:p w14:paraId="376F71EF" w14:textId="77777777" w:rsidR="007C1E55" w:rsidRDefault="007C1E55" w:rsidP="00E511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4EDA" w14:textId="77777777" w:rsidR="0053690B" w:rsidRDefault="0053690B" w:rsidP="00E511A9">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ADB" w14:textId="77777777" w:rsidR="0053690B" w:rsidRDefault="0053690B" w:rsidP="00E511A9">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D1B1" w14:textId="77777777" w:rsidR="0053690B" w:rsidRDefault="0053690B" w:rsidP="00E511A9">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313" w14:textId="77777777" w:rsidR="007C1E55" w:rsidRDefault="007C1E55" w:rsidP="00E511A9">
      <w:pPr>
        <w:rPr>
          <w:rFonts w:hint="eastAsia"/>
        </w:rPr>
      </w:pPr>
      <w:r>
        <w:separator/>
      </w:r>
    </w:p>
  </w:footnote>
  <w:footnote w:type="continuationSeparator" w:id="0">
    <w:p w14:paraId="5A0DC11E" w14:textId="77777777" w:rsidR="007C1E55" w:rsidRDefault="007C1E55" w:rsidP="00E511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4857" w14:textId="77777777" w:rsidR="0053690B" w:rsidRDefault="0053690B" w:rsidP="00E511A9">
    <w:pPr>
      <w:pStyle w:val="ab"/>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06A0" w14:textId="77777777" w:rsidR="0053690B" w:rsidRDefault="0053690B" w:rsidP="00E511A9">
    <w:pPr>
      <w:pStyle w:val="ab"/>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523A" w14:textId="77777777" w:rsidR="0053690B" w:rsidRDefault="0053690B" w:rsidP="00E511A9">
    <w:pPr>
      <w:pStyle w:val="ab"/>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172A27"/>
    <w:rsid w:val="0000280E"/>
    <w:rsid w:val="00004270"/>
    <w:rsid w:val="000043C5"/>
    <w:rsid w:val="000113C8"/>
    <w:rsid w:val="00011AD9"/>
    <w:rsid w:val="0001500B"/>
    <w:rsid w:val="00017B38"/>
    <w:rsid w:val="000205CE"/>
    <w:rsid w:val="00020B60"/>
    <w:rsid w:val="00021AC4"/>
    <w:rsid w:val="00024144"/>
    <w:rsid w:val="000303DC"/>
    <w:rsid w:val="00030FCF"/>
    <w:rsid w:val="00033180"/>
    <w:rsid w:val="00035549"/>
    <w:rsid w:val="000373FF"/>
    <w:rsid w:val="0003796B"/>
    <w:rsid w:val="00040583"/>
    <w:rsid w:val="0004314B"/>
    <w:rsid w:val="00043AB1"/>
    <w:rsid w:val="00044275"/>
    <w:rsid w:val="00045199"/>
    <w:rsid w:val="00046D06"/>
    <w:rsid w:val="00050A9B"/>
    <w:rsid w:val="00051257"/>
    <w:rsid w:val="000519CA"/>
    <w:rsid w:val="00051A1F"/>
    <w:rsid w:val="000539D4"/>
    <w:rsid w:val="00053EE1"/>
    <w:rsid w:val="000542B1"/>
    <w:rsid w:val="000603DC"/>
    <w:rsid w:val="000618B9"/>
    <w:rsid w:val="000627F3"/>
    <w:rsid w:val="00063E29"/>
    <w:rsid w:val="000641F5"/>
    <w:rsid w:val="000647F0"/>
    <w:rsid w:val="000666AE"/>
    <w:rsid w:val="000669C5"/>
    <w:rsid w:val="000675D4"/>
    <w:rsid w:val="000773EF"/>
    <w:rsid w:val="00080727"/>
    <w:rsid w:val="00081E0F"/>
    <w:rsid w:val="00081FBA"/>
    <w:rsid w:val="00082CB9"/>
    <w:rsid w:val="00083C13"/>
    <w:rsid w:val="000875F3"/>
    <w:rsid w:val="00094700"/>
    <w:rsid w:val="00096859"/>
    <w:rsid w:val="000A01AC"/>
    <w:rsid w:val="000A4303"/>
    <w:rsid w:val="000A7ECD"/>
    <w:rsid w:val="000B3203"/>
    <w:rsid w:val="000B5678"/>
    <w:rsid w:val="000B624B"/>
    <w:rsid w:val="000C0DAF"/>
    <w:rsid w:val="000C2052"/>
    <w:rsid w:val="000D05ED"/>
    <w:rsid w:val="000D0E85"/>
    <w:rsid w:val="000D1CBB"/>
    <w:rsid w:val="000D49A8"/>
    <w:rsid w:val="000D5209"/>
    <w:rsid w:val="000D5988"/>
    <w:rsid w:val="000E03CF"/>
    <w:rsid w:val="000E1298"/>
    <w:rsid w:val="000E26B7"/>
    <w:rsid w:val="000E4BA1"/>
    <w:rsid w:val="000E50A3"/>
    <w:rsid w:val="000E7FF2"/>
    <w:rsid w:val="000F2B7D"/>
    <w:rsid w:val="000F3BD8"/>
    <w:rsid w:val="000F4FD1"/>
    <w:rsid w:val="000F5EA0"/>
    <w:rsid w:val="000F6392"/>
    <w:rsid w:val="000F71EC"/>
    <w:rsid w:val="000F7856"/>
    <w:rsid w:val="001005F4"/>
    <w:rsid w:val="00102B81"/>
    <w:rsid w:val="00103F7B"/>
    <w:rsid w:val="0010691C"/>
    <w:rsid w:val="00110CDD"/>
    <w:rsid w:val="001115A8"/>
    <w:rsid w:val="001147D7"/>
    <w:rsid w:val="00124A40"/>
    <w:rsid w:val="00124E87"/>
    <w:rsid w:val="001268CB"/>
    <w:rsid w:val="00127ADC"/>
    <w:rsid w:val="0013005D"/>
    <w:rsid w:val="00130BE1"/>
    <w:rsid w:val="00133612"/>
    <w:rsid w:val="0013411C"/>
    <w:rsid w:val="001360E1"/>
    <w:rsid w:val="00140275"/>
    <w:rsid w:val="00140B92"/>
    <w:rsid w:val="00154CA1"/>
    <w:rsid w:val="00155AE6"/>
    <w:rsid w:val="00160BB5"/>
    <w:rsid w:val="00160D78"/>
    <w:rsid w:val="0016105D"/>
    <w:rsid w:val="00163A20"/>
    <w:rsid w:val="00164388"/>
    <w:rsid w:val="001643E9"/>
    <w:rsid w:val="001649C6"/>
    <w:rsid w:val="001667B8"/>
    <w:rsid w:val="00166A94"/>
    <w:rsid w:val="001671DC"/>
    <w:rsid w:val="00167AA7"/>
    <w:rsid w:val="00172A27"/>
    <w:rsid w:val="00172C40"/>
    <w:rsid w:val="0017307A"/>
    <w:rsid w:val="001732D8"/>
    <w:rsid w:val="00173B88"/>
    <w:rsid w:val="001745C7"/>
    <w:rsid w:val="00174FA0"/>
    <w:rsid w:val="00176D81"/>
    <w:rsid w:val="0018036F"/>
    <w:rsid w:val="001806E0"/>
    <w:rsid w:val="001819ED"/>
    <w:rsid w:val="001823DD"/>
    <w:rsid w:val="00182DC6"/>
    <w:rsid w:val="00184C94"/>
    <w:rsid w:val="0018545A"/>
    <w:rsid w:val="00187764"/>
    <w:rsid w:val="0019122E"/>
    <w:rsid w:val="0019376C"/>
    <w:rsid w:val="001942AB"/>
    <w:rsid w:val="00195A79"/>
    <w:rsid w:val="0019733D"/>
    <w:rsid w:val="001A0B01"/>
    <w:rsid w:val="001A4FBB"/>
    <w:rsid w:val="001A5A6C"/>
    <w:rsid w:val="001A6AD3"/>
    <w:rsid w:val="001A6C1D"/>
    <w:rsid w:val="001A75B4"/>
    <w:rsid w:val="001B0CAA"/>
    <w:rsid w:val="001B1116"/>
    <w:rsid w:val="001B72E3"/>
    <w:rsid w:val="001C097C"/>
    <w:rsid w:val="001C0E7D"/>
    <w:rsid w:val="001C35DF"/>
    <w:rsid w:val="001C383A"/>
    <w:rsid w:val="001C389D"/>
    <w:rsid w:val="001C4F9A"/>
    <w:rsid w:val="001C6955"/>
    <w:rsid w:val="001C6AD0"/>
    <w:rsid w:val="001C6FEC"/>
    <w:rsid w:val="001C750B"/>
    <w:rsid w:val="001D07C0"/>
    <w:rsid w:val="001D22C5"/>
    <w:rsid w:val="001D2CAD"/>
    <w:rsid w:val="001D4691"/>
    <w:rsid w:val="001D69E6"/>
    <w:rsid w:val="001D77AB"/>
    <w:rsid w:val="001D7C54"/>
    <w:rsid w:val="001E12FB"/>
    <w:rsid w:val="001E23ED"/>
    <w:rsid w:val="001E7589"/>
    <w:rsid w:val="001F2798"/>
    <w:rsid w:val="001F351C"/>
    <w:rsid w:val="001F4A09"/>
    <w:rsid w:val="001F4ED5"/>
    <w:rsid w:val="001F66D4"/>
    <w:rsid w:val="001F728D"/>
    <w:rsid w:val="00200AEA"/>
    <w:rsid w:val="00200E7C"/>
    <w:rsid w:val="00203AF7"/>
    <w:rsid w:val="00204106"/>
    <w:rsid w:val="00205527"/>
    <w:rsid w:val="002075F4"/>
    <w:rsid w:val="00210458"/>
    <w:rsid w:val="00210F74"/>
    <w:rsid w:val="00212179"/>
    <w:rsid w:val="002133F6"/>
    <w:rsid w:val="002135C5"/>
    <w:rsid w:val="002149DA"/>
    <w:rsid w:val="00214E9B"/>
    <w:rsid w:val="00216763"/>
    <w:rsid w:val="002173E8"/>
    <w:rsid w:val="00217C9D"/>
    <w:rsid w:val="00220141"/>
    <w:rsid w:val="002255B2"/>
    <w:rsid w:val="002273BC"/>
    <w:rsid w:val="00227C77"/>
    <w:rsid w:val="00230CF3"/>
    <w:rsid w:val="002327A7"/>
    <w:rsid w:val="0023359F"/>
    <w:rsid w:val="00234336"/>
    <w:rsid w:val="0023520D"/>
    <w:rsid w:val="00235F39"/>
    <w:rsid w:val="002365EA"/>
    <w:rsid w:val="0023772D"/>
    <w:rsid w:val="00240E2C"/>
    <w:rsid w:val="002433E4"/>
    <w:rsid w:val="00244031"/>
    <w:rsid w:val="00244E1C"/>
    <w:rsid w:val="00245D08"/>
    <w:rsid w:val="00250D07"/>
    <w:rsid w:val="002522BA"/>
    <w:rsid w:val="002525D9"/>
    <w:rsid w:val="002558A7"/>
    <w:rsid w:val="002574A9"/>
    <w:rsid w:val="00260F8B"/>
    <w:rsid w:val="00262A04"/>
    <w:rsid w:val="002631CE"/>
    <w:rsid w:val="00263316"/>
    <w:rsid w:val="00264135"/>
    <w:rsid w:val="002658C5"/>
    <w:rsid w:val="0026615D"/>
    <w:rsid w:val="00267D6D"/>
    <w:rsid w:val="0027073B"/>
    <w:rsid w:val="002715F7"/>
    <w:rsid w:val="00276D1E"/>
    <w:rsid w:val="00277690"/>
    <w:rsid w:val="0028004A"/>
    <w:rsid w:val="0028194A"/>
    <w:rsid w:val="00282187"/>
    <w:rsid w:val="00282939"/>
    <w:rsid w:val="0028300B"/>
    <w:rsid w:val="0028533C"/>
    <w:rsid w:val="002875AC"/>
    <w:rsid w:val="00292B78"/>
    <w:rsid w:val="002A0F16"/>
    <w:rsid w:val="002A2B22"/>
    <w:rsid w:val="002A33B3"/>
    <w:rsid w:val="002A39C6"/>
    <w:rsid w:val="002A63C8"/>
    <w:rsid w:val="002A6AD6"/>
    <w:rsid w:val="002B3835"/>
    <w:rsid w:val="002B3AE8"/>
    <w:rsid w:val="002B5E06"/>
    <w:rsid w:val="002B607D"/>
    <w:rsid w:val="002C328E"/>
    <w:rsid w:val="002C416D"/>
    <w:rsid w:val="002C4D68"/>
    <w:rsid w:val="002D4B8E"/>
    <w:rsid w:val="002D5BD5"/>
    <w:rsid w:val="002D6283"/>
    <w:rsid w:val="002E2593"/>
    <w:rsid w:val="002E4CAA"/>
    <w:rsid w:val="002E68CB"/>
    <w:rsid w:val="002F274B"/>
    <w:rsid w:val="002F2E05"/>
    <w:rsid w:val="002F4C09"/>
    <w:rsid w:val="002F6AEF"/>
    <w:rsid w:val="002F79F5"/>
    <w:rsid w:val="0030121D"/>
    <w:rsid w:val="003020B4"/>
    <w:rsid w:val="00302E2D"/>
    <w:rsid w:val="0030407A"/>
    <w:rsid w:val="00310085"/>
    <w:rsid w:val="003115B6"/>
    <w:rsid w:val="00312688"/>
    <w:rsid w:val="00312C4F"/>
    <w:rsid w:val="00314B13"/>
    <w:rsid w:val="00317099"/>
    <w:rsid w:val="003202DB"/>
    <w:rsid w:val="00322FD7"/>
    <w:rsid w:val="0032309D"/>
    <w:rsid w:val="003256B2"/>
    <w:rsid w:val="00325763"/>
    <w:rsid w:val="0032608B"/>
    <w:rsid w:val="00327E52"/>
    <w:rsid w:val="00330948"/>
    <w:rsid w:val="003318CE"/>
    <w:rsid w:val="0033270B"/>
    <w:rsid w:val="003331D0"/>
    <w:rsid w:val="0033339C"/>
    <w:rsid w:val="00334053"/>
    <w:rsid w:val="0033426C"/>
    <w:rsid w:val="00335C32"/>
    <w:rsid w:val="003376C1"/>
    <w:rsid w:val="00337858"/>
    <w:rsid w:val="00340841"/>
    <w:rsid w:val="00342D99"/>
    <w:rsid w:val="00343211"/>
    <w:rsid w:val="00345A2A"/>
    <w:rsid w:val="003511A2"/>
    <w:rsid w:val="00352FD6"/>
    <w:rsid w:val="00357A68"/>
    <w:rsid w:val="003628CD"/>
    <w:rsid w:val="00362FD6"/>
    <w:rsid w:val="00364292"/>
    <w:rsid w:val="00367224"/>
    <w:rsid w:val="003674E6"/>
    <w:rsid w:val="00367FF4"/>
    <w:rsid w:val="003703C2"/>
    <w:rsid w:val="003726D9"/>
    <w:rsid w:val="00372E17"/>
    <w:rsid w:val="00373B4D"/>
    <w:rsid w:val="00373BA4"/>
    <w:rsid w:val="00373BEA"/>
    <w:rsid w:val="00373EBB"/>
    <w:rsid w:val="00375898"/>
    <w:rsid w:val="00381869"/>
    <w:rsid w:val="00382FB2"/>
    <w:rsid w:val="00383FEC"/>
    <w:rsid w:val="00384879"/>
    <w:rsid w:val="0038497A"/>
    <w:rsid w:val="00386988"/>
    <w:rsid w:val="003875AA"/>
    <w:rsid w:val="00395694"/>
    <w:rsid w:val="00395AB0"/>
    <w:rsid w:val="00396535"/>
    <w:rsid w:val="00396EAA"/>
    <w:rsid w:val="00397F03"/>
    <w:rsid w:val="003A0293"/>
    <w:rsid w:val="003A039B"/>
    <w:rsid w:val="003A4545"/>
    <w:rsid w:val="003A469D"/>
    <w:rsid w:val="003A5948"/>
    <w:rsid w:val="003A65EF"/>
    <w:rsid w:val="003A6B01"/>
    <w:rsid w:val="003A7262"/>
    <w:rsid w:val="003B0998"/>
    <w:rsid w:val="003B1286"/>
    <w:rsid w:val="003B1ED9"/>
    <w:rsid w:val="003B3AEE"/>
    <w:rsid w:val="003C3D94"/>
    <w:rsid w:val="003D2221"/>
    <w:rsid w:val="003D2814"/>
    <w:rsid w:val="003D3A0D"/>
    <w:rsid w:val="003D6040"/>
    <w:rsid w:val="003D6F7D"/>
    <w:rsid w:val="003E1DC3"/>
    <w:rsid w:val="003E2BC4"/>
    <w:rsid w:val="003E658C"/>
    <w:rsid w:val="003E6D4D"/>
    <w:rsid w:val="003E6E5D"/>
    <w:rsid w:val="003F093A"/>
    <w:rsid w:val="003F59E8"/>
    <w:rsid w:val="003F7483"/>
    <w:rsid w:val="0040613C"/>
    <w:rsid w:val="00411E72"/>
    <w:rsid w:val="00413A77"/>
    <w:rsid w:val="00413E3C"/>
    <w:rsid w:val="0041550E"/>
    <w:rsid w:val="004176AE"/>
    <w:rsid w:val="00422A40"/>
    <w:rsid w:val="004238CB"/>
    <w:rsid w:val="00424E52"/>
    <w:rsid w:val="00424F43"/>
    <w:rsid w:val="00425E40"/>
    <w:rsid w:val="004301BF"/>
    <w:rsid w:val="004316AE"/>
    <w:rsid w:val="00431D2F"/>
    <w:rsid w:val="00434272"/>
    <w:rsid w:val="00435A3A"/>
    <w:rsid w:val="00437634"/>
    <w:rsid w:val="004420D5"/>
    <w:rsid w:val="00443E22"/>
    <w:rsid w:val="0044586F"/>
    <w:rsid w:val="00451FBA"/>
    <w:rsid w:val="00452118"/>
    <w:rsid w:val="00452C4A"/>
    <w:rsid w:val="00453095"/>
    <w:rsid w:val="004532E2"/>
    <w:rsid w:val="00453C9E"/>
    <w:rsid w:val="0045497B"/>
    <w:rsid w:val="00455205"/>
    <w:rsid w:val="00457B20"/>
    <w:rsid w:val="00461D27"/>
    <w:rsid w:val="004622A9"/>
    <w:rsid w:val="004635A1"/>
    <w:rsid w:val="00463A19"/>
    <w:rsid w:val="00463D1C"/>
    <w:rsid w:val="00463E80"/>
    <w:rsid w:val="00466868"/>
    <w:rsid w:val="004674C0"/>
    <w:rsid w:val="00472022"/>
    <w:rsid w:val="00472A7C"/>
    <w:rsid w:val="00472F96"/>
    <w:rsid w:val="004731D2"/>
    <w:rsid w:val="00473C30"/>
    <w:rsid w:val="004740F5"/>
    <w:rsid w:val="00474432"/>
    <w:rsid w:val="00474A11"/>
    <w:rsid w:val="004751B9"/>
    <w:rsid w:val="004753B5"/>
    <w:rsid w:val="00476018"/>
    <w:rsid w:val="0047659E"/>
    <w:rsid w:val="00480F43"/>
    <w:rsid w:val="00483EEB"/>
    <w:rsid w:val="0048425D"/>
    <w:rsid w:val="00486830"/>
    <w:rsid w:val="0049162B"/>
    <w:rsid w:val="004947CC"/>
    <w:rsid w:val="00495430"/>
    <w:rsid w:val="004963DE"/>
    <w:rsid w:val="004965B6"/>
    <w:rsid w:val="004978D5"/>
    <w:rsid w:val="00497ACF"/>
    <w:rsid w:val="004A0A08"/>
    <w:rsid w:val="004A12B4"/>
    <w:rsid w:val="004A19B8"/>
    <w:rsid w:val="004A48B2"/>
    <w:rsid w:val="004B451B"/>
    <w:rsid w:val="004B549D"/>
    <w:rsid w:val="004B6D5A"/>
    <w:rsid w:val="004C0B0F"/>
    <w:rsid w:val="004C332A"/>
    <w:rsid w:val="004C5001"/>
    <w:rsid w:val="004C66D9"/>
    <w:rsid w:val="004C73EA"/>
    <w:rsid w:val="004D14CF"/>
    <w:rsid w:val="004D2831"/>
    <w:rsid w:val="004D3B61"/>
    <w:rsid w:val="004D4D3D"/>
    <w:rsid w:val="004D6F19"/>
    <w:rsid w:val="004E420D"/>
    <w:rsid w:val="004E4696"/>
    <w:rsid w:val="004F011D"/>
    <w:rsid w:val="004F461F"/>
    <w:rsid w:val="004F4CC2"/>
    <w:rsid w:val="004F5EF6"/>
    <w:rsid w:val="004F656A"/>
    <w:rsid w:val="00502699"/>
    <w:rsid w:val="005033FA"/>
    <w:rsid w:val="00504015"/>
    <w:rsid w:val="00505319"/>
    <w:rsid w:val="00505F1C"/>
    <w:rsid w:val="00506DEC"/>
    <w:rsid w:val="00507B29"/>
    <w:rsid w:val="00507FC2"/>
    <w:rsid w:val="005109EE"/>
    <w:rsid w:val="0051643A"/>
    <w:rsid w:val="0051767B"/>
    <w:rsid w:val="005176F6"/>
    <w:rsid w:val="0052053B"/>
    <w:rsid w:val="00520C2D"/>
    <w:rsid w:val="00523C0B"/>
    <w:rsid w:val="00523F1B"/>
    <w:rsid w:val="005279A5"/>
    <w:rsid w:val="005303A7"/>
    <w:rsid w:val="0053313C"/>
    <w:rsid w:val="0053690B"/>
    <w:rsid w:val="005372B8"/>
    <w:rsid w:val="005378B6"/>
    <w:rsid w:val="00540E79"/>
    <w:rsid w:val="0054186E"/>
    <w:rsid w:val="00542F97"/>
    <w:rsid w:val="00544974"/>
    <w:rsid w:val="0054667C"/>
    <w:rsid w:val="00550F54"/>
    <w:rsid w:val="00552202"/>
    <w:rsid w:val="00552F39"/>
    <w:rsid w:val="005565EC"/>
    <w:rsid w:val="005576BF"/>
    <w:rsid w:val="0056130F"/>
    <w:rsid w:val="00562397"/>
    <w:rsid w:val="00564C16"/>
    <w:rsid w:val="005654CC"/>
    <w:rsid w:val="005668D6"/>
    <w:rsid w:val="00566982"/>
    <w:rsid w:val="00567485"/>
    <w:rsid w:val="005713EC"/>
    <w:rsid w:val="00572953"/>
    <w:rsid w:val="00574B19"/>
    <w:rsid w:val="005765CD"/>
    <w:rsid w:val="005771F2"/>
    <w:rsid w:val="00580A80"/>
    <w:rsid w:val="00584423"/>
    <w:rsid w:val="00584B4A"/>
    <w:rsid w:val="00585F95"/>
    <w:rsid w:val="005867E7"/>
    <w:rsid w:val="00587A49"/>
    <w:rsid w:val="00590F0D"/>
    <w:rsid w:val="005921ED"/>
    <w:rsid w:val="005943F7"/>
    <w:rsid w:val="00594746"/>
    <w:rsid w:val="00595BC2"/>
    <w:rsid w:val="005970BC"/>
    <w:rsid w:val="005A07EF"/>
    <w:rsid w:val="005A3F5B"/>
    <w:rsid w:val="005A7B3A"/>
    <w:rsid w:val="005B05FA"/>
    <w:rsid w:val="005B0CC7"/>
    <w:rsid w:val="005B128A"/>
    <w:rsid w:val="005B1818"/>
    <w:rsid w:val="005B1FDA"/>
    <w:rsid w:val="005B3539"/>
    <w:rsid w:val="005B3964"/>
    <w:rsid w:val="005B489B"/>
    <w:rsid w:val="005C10BC"/>
    <w:rsid w:val="005C3A45"/>
    <w:rsid w:val="005C52C8"/>
    <w:rsid w:val="005C64F6"/>
    <w:rsid w:val="005C6776"/>
    <w:rsid w:val="005C692F"/>
    <w:rsid w:val="005C6E3A"/>
    <w:rsid w:val="005D3395"/>
    <w:rsid w:val="005D412E"/>
    <w:rsid w:val="005D42D6"/>
    <w:rsid w:val="005D42E8"/>
    <w:rsid w:val="005D4F04"/>
    <w:rsid w:val="005D4F7A"/>
    <w:rsid w:val="005E2D67"/>
    <w:rsid w:val="005E3E89"/>
    <w:rsid w:val="005E4441"/>
    <w:rsid w:val="005F1B7E"/>
    <w:rsid w:val="005F1D1E"/>
    <w:rsid w:val="006005A1"/>
    <w:rsid w:val="00601F57"/>
    <w:rsid w:val="006032E4"/>
    <w:rsid w:val="0060351D"/>
    <w:rsid w:val="006051C3"/>
    <w:rsid w:val="006117FB"/>
    <w:rsid w:val="00611CE7"/>
    <w:rsid w:val="006163B8"/>
    <w:rsid w:val="0061653D"/>
    <w:rsid w:val="0061663F"/>
    <w:rsid w:val="00617E0C"/>
    <w:rsid w:val="00620CA8"/>
    <w:rsid w:val="00620EFB"/>
    <w:rsid w:val="00621654"/>
    <w:rsid w:val="00623507"/>
    <w:rsid w:val="006244FC"/>
    <w:rsid w:val="00624EC7"/>
    <w:rsid w:val="00626218"/>
    <w:rsid w:val="00627801"/>
    <w:rsid w:val="006311F9"/>
    <w:rsid w:val="00632244"/>
    <w:rsid w:val="00633357"/>
    <w:rsid w:val="0064056A"/>
    <w:rsid w:val="00640A5F"/>
    <w:rsid w:val="006416F6"/>
    <w:rsid w:val="00642147"/>
    <w:rsid w:val="00642F2E"/>
    <w:rsid w:val="00643298"/>
    <w:rsid w:val="00643AEA"/>
    <w:rsid w:val="00643F16"/>
    <w:rsid w:val="00643F94"/>
    <w:rsid w:val="0064410E"/>
    <w:rsid w:val="00646D23"/>
    <w:rsid w:val="00646EC1"/>
    <w:rsid w:val="0064709C"/>
    <w:rsid w:val="00647758"/>
    <w:rsid w:val="00650733"/>
    <w:rsid w:val="00651C44"/>
    <w:rsid w:val="00651CBC"/>
    <w:rsid w:val="0065288E"/>
    <w:rsid w:val="00653A2B"/>
    <w:rsid w:val="0065416C"/>
    <w:rsid w:val="006560A5"/>
    <w:rsid w:val="0065729E"/>
    <w:rsid w:val="00662080"/>
    <w:rsid w:val="0066610B"/>
    <w:rsid w:val="0066644C"/>
    <w:rsid w:val="00666FDA"/>
    <w:rsid w:val="00667932"/>
    <w:rsid w:val="00670351"/>
    <w:rsid w:val="00671D1F"/>
    <w:rsid w:val="00672626"/>
    <w:rsid w:val="006737CB"/>
    <w:rsid w:val="00673F83"/>
    <w:rsid w:val="006741B0"/>
    <w:rsid w:val="00676339"/>
    <w:rsid w:val="006769AD"/>
    <w:rsid w:val="00677122"/>
    <w:rsid w:val="00677AEE"/>
    <w:rsid w:val="00680503"/>
    <w:rsid w:val="0068250F"/>
    <w:rsid w:val="00682BBE"/>
    <w:rsid w:val="00683921"/>
    <w:rsid w:val="00683C06"/>
    <w:rsid w:val="006844C1"/>
    <w:rsid w:val="006855A5"/>
    <w:rsid w:val="006857C5"/>
    <w:rsid w:val="0068618F"/>
    <w:rsid w:val="006905AE"/>
    <w:rsid w:val="00691D5F"/>
    <w:rsid w:val="00695833"/>
    <w:rsid w:val="006A028C"/>
    <w:rsid w:val="006A14A6"/>
    <w:rsid w:val="006A1DBB"/>
    <w:rsid w:val="006A1DDA"/>
    <w:rsid w:val="006A2034"/>
    <w:rsid w:val="006A250B"/>
    <w:rsid w:val="006A368D"/>
    <w:rsid w:val="006A3BDE"/>
    <w:rsid w:val="006A6674"/>
    <w:rsid w:val="006B0A9F"/>
    <w:rsid w:val="006B1249"/>
    <w:rsid w:val="006B20FF"/>
    <w:rsid w:val="006B3446"/>
    <w:rsid w:val="006B3F1F"/>
    <w:rsid w:val="006B453A"/>
    <w:rsid w:val="006B482F"/>
    <w:rsid w:val="006C0CE7"/>
    <w:rsid w:val="006C0E78"/>
    <w:rsid w:val="006C16F8"/>
    <w:rsid w:val="006D03EF"/>
    <w:rsid w:val="006D0484"/>
    <w:rsid w:val="006D1651"/>
    <w:rsid w:val="006D1A9F"/>
    <w:rsid w:val="006D1FFF"/>
    <w:rsid w:val="006D299C"/>
    <w:rsid w:val="006D3034"/>
    <w:rsid w:val="006D3124"/>
    <w:rsid w:val="006D347B"/>
    <w:rsid w:val="006E07FC"/>
    <w:rsid w:val="006E1182"/>
    <w:rsid w:val="006E135D"/>
    <w:rsid w:val="006E3B5F"/>
    <w:rsid w:val="006E4158"/>
    <w:rsid w:val="006E4493"/>
    <w:rsid w:val="006E4C1E"/>
    <w:rsid w:val="006E56B9"/>
    <w:rsid w:val="006F01BA"/>
    <w:rsid w:val="006F3710"/>
    <w:rsid w:val="006F4954"/>
    <w:rsid w:val="006F4CA2"/>
    <w:rsid w:val="006F6EE1"/>
    <w:rsid w:val="00702D09"/>
    <w:rsid w:val="00702F31"/>
    <w:rsid w:val="00703571"/>
    <w:rsid w:val="00705B97"/>
    <w:rsid w:val="00706B61"/>
    <w:rsid w:val="007072B7"/>
    <w:rsid w:val="007077C2"/>
    <w:rsid w:val="00711005"/>
    <w:rsid w:val="0071301C"/>
    <w:rsid w:val="00723F5D"/>
    <w:rsid w:val="007243B5"/>
    <w:rsid w:val="007245D1"/>
    <w:rsid w:val="00724729"/>
    <w:rsid w:val="00725117"/>
    <w:rsid w:val="00727A95"/>
    <w:rsid w:val="00731969"/>
    <w:rsid w:val="00732268"/>
    <w:rsid w:val="0073457A"/>
    <w:rsid w:val="00735AF6"/>
    <w:rsid w:val="00740686"/>
    <w:rsid w:val="00745ACE"/>
    <w:rsid w:val="00746919"/>
    <w:rsid w:val="0074692C"/>
    <w:rsid w:val="00747E65"/>
    <w:rsid w:val="00750908"/>
    <w:rsid w:val="00751BD5"/>
    <w:rsid w:val="007546A3"/>
    <w:rsid w:val="00756327"/>
    <w:rsid w:val="00756948"/>
    <w:rsid w:val="007570F9"/>
    <w:rsid w:val="00757D54"/>
    <w:rsid w:val="00761CCF"/>
    <w:rsid w:val="00761E5C"/>
    <w:rsid w:val="00767B59"/>
    <w:rsid w:val="00772E2D"/>
    <w:rsid w:val="007733DB"/>
    <w:rsid w:val="00773804"/>
    <w:rsid w:val="00774CF6"/>
    <w:rsid w:val="007753E9"/>
    <w:rsid w:val="00776AFB"/>
    <w:rsid w:val="00781BE8"/>
    <w:rsid w:val="00790F78"/>
    <w:rsid w:val="0079288D"/>
    <w:rsid w:val="007937DE"/>
    <w:rsid w:val="00793EF5"/>
    <w:rsid w:val="007950E1"/>
    <w:rsid w:val="00796BC4"/>
    <w:rsid w:val="00797CC7"/>
    <w:rsid w:val="007A0758"/>
    <w:rsid w:val="007A18BA"/>
    <w:rsid w:val="007A1ACE"/>
    <w:rsid w:val="007A2541"/>
    <w:rsid w:val="007A71CD"/>
    <w:rsid w:val="007B07E4"/>
    <w:rsid w:val="007B2950"/>
    <w:rsid w:val="007B42C2"/>
    <w:rsid w:val="007B4D04"/>
    <w:rsid w:val="007B61F6"/>
    <w:rsid w:val="007B794D"/>
    <w:rsid w:val="007C09B1"/>
    <w:rsid w:val="007C1E4E"/>
    <w:rsid w:val="007C1E55"/>
    <w:rsid w:val="007C3EFD"/>
    <w:rsid w:val="007C4131"/>
    <w:rsid w:val="007C70AC"/>
    <w:rsid w:val="007D0CF7"/>
    <w:rsid w:val="007D0F52"/>
    <w:rsid w:val="007D355F"/>
    <w:rsid w:val="007D7D0D"/>
    <w:rsid w:val="007E266B"/>
    <w:rsid w:val="007E36C9"/>
    <w:rsid w:val="007E5F88"/>
    <w:rsid w:val="007F0422"/>
    <w:rsid w:val="007F0701"/>
    <w:rsid w:val="007F10AE"/>
    <w:rsid w:val="007F15B9"/>
    <w:rsid w:val="007F225A"/>
    <w:rsid w:val="007F3DEA"/>
    <w:rsid w:val="00800A2D"/>
    <w:rsid w:val="00800F1B"/>
    <w:rsid w:val="008022AE"/>
    <w:rsid w:val="00802DAA"/>
    <w:rsid w:val="008040D4"/>
    <w:rsid w:val="00806588"/>
    <w:rsid w:val="0081014E"/>
    <w:rsid w:val="00810487"/>
    <w:rsid w:val="00814B53"/>
    <w:rsid w:val="008200D6"/>
    <w:rsid w:val="008210DE"/>
    <w:rsid w:val="0082263A"/>
    <w:rsid w:val="00822752"/>
    <w:rsid w:val="00823B4C"/>
    <w:rsid w:val="00824073"/>
    <w:rsid w:val="008307BD"/>
    <w:rsid w:val="00830F85"/>
    <w:rsid w:val="008326FE"/>
    <w:rsid w:val="00834A2B"/>
    <w:rsid w:val="008363E3"/>
    <w:rsid w:val="00836DB7"/>
    <w:rsid w:val="00840D75"/>
    <w:rsid w:val="008415D5"/>
    <w:rsid w:val="00841E5A"/>
    <w:rsid w:val="00842976"/>
    <w:rsid w:val="00845994"/>
    <w:rsid w:val="008524E7"/>
    <w:rsid w:val="00852DCD"/>
    <w:rsid w:val="00853EC3"/>
    <w:rsid w:val="00856284"/>
    <w:rsid w:val="008572B1"/>
    <w:rsid w:val="008716E3"/>
    <w:rsid w:val="008726EF"/>
    <w:rsid w:val="00872DEC"/>
    <w:rsid w:val="008730E8"/>
    <w:rsid w:val="0087448B"/>
    <w:rsid w:val="008750EF"/>
    <w:rsid w:val="008752A7"/>
    <w:rsid w:val="008753BA"/>
    <w:rsid w:val="0088132B"/>
    <w:rsid w:val="00883919"/>
    <w:rsid w:val="00884D43"/>
    <w:rsid w:val="0088609D"/>
    <w:rsid w:val="00886102"/>
    <w:rsid w:val="00886C9A"/>
    <w:rsid w:val="008901C4"/>
    <w:rsid w:val="0089132B"/>
    <w:rsid w:val="00892989"/>
    <w:rsid w:val="00892DFB"/>
    <w:rsid w:val="00894314"/>
    <w:rsid w:val="00897C84"/>
    <w:rsid w:val="008A0677"/>
    <w:rsid w:val="008A1DD0"/>
    <w:rsid w:val="008A5CDF"/>
    <w:rsid w:val="008A6184"/>
    <w:rsid w:val="008A7743"/>
    <w:rsid w:val="008B26C0"/>
    <w:rsid w:val="008B3479"/>
    <w:rsid w:val="008B5912"/>
    <w:rsid w:val="008B6BEB"/>
    <w:rsid w:val="008C0739"/>
    <w:rsid w:val="008C0BCB"/>
    <w:rsid w:val="008C4A77"/>
    <w:rsid w:val="008C502A"/>
    <w:rsid w:val="008C50FE"/>
    <w:rsid w:val="008D010F"/>
    <w:rsid w:val="008D1704"/>
    <w:rsid w:val="008D1DDF"/>
    <w:rsid w:val="008D23C3"/>
    <w:rsid w:val="008D3238"/>
    <w:rsid w:val="008D4DDC"/>
    <w:rsid w:val="008D75AD"/>
    <w:rsid w:val="008D7921"/>
    <w:rsid w:val="008E0923"/>
    <w:rsid w:val="008E4275"/>
    <w:rsid w:val="008E45F9"/>
    <w:rsid w:val="008F0FB1"/>
    <w:rsid w:val="00901803"/>
    <w:rsid w:val="00902412"/>
    <w:rsid w:val="009028AB"/>
    <w:rsid w:val="009034CC"/>
    <w:rsid w:val="00903CBE"/>
    <w:rsid w:val="00903F46"/>
    <w:rsid w:val="00905CA8"/>
    <w:rsid w:val="00907538"/>
    <w:rsid w:val="009112CC"/>
    <w:rsid w:val="00911889"/>
    <w:rsid w:val="00911D61"/>
    <w:rsid w:val="00915619"/>
    <w:rsid w:val="00915CB0"/>
    <w:rsid w:val="00916E69"/>
    <w:rsid w:val="00917260"/>
    <w:rsid w:val="009175A7"/>
    <w:rsid w:val="009202C8"/>
    <w:rsid w:val="009232E4"/>
    <w:rsid w:val="00924605"/>
    <w:rsid w:val="009246A6"/>
    <w:rsid w:val="00924EBE"/>
    <w:rsid w:val="00925B9B"/>
    <w:rsid w:val="00926495"/>
    <w:rsid w:val="00926535"/>
    <w:rsid w:val="0092667E"/>
    <w:rsid w:val="00930385"/>
    <w:rsid w:val="009304DE"/>
    <w:rsid w:val="00931625"/>
    <w:rsid w:val="0093518F"/>
    <w:rsid w:val="00936628"/>
    <w:rsid w:val="0093782E"/>
    <w:rsid w:val="00937F5D"/>
    <w:rsid w:val="00940838"/>
    <w:rsid w:val="009425E9"/>
    <w:rsid w:val="009502B7"/>
    <w:rsid w:val="009508F0"/>
    <w:rsid w:val="0095193E"/>
    <w:rsid w:val="009551E9"/>
    <w:rsid w:val="0096053E"/>
    <w:rsid w:val="009641FA"/>
    <w:rsid w:val="00964396"/>
    <w:rsid w:val="00964444"/>
    <w:rsid w:val="00965FA8"/>
    <w:rsid w:val="00966F1C"/>
    <w:rsid w:val="00967162"/>
    <w:rsid w:val="009711B7"/>
    <w:rsid w:val="00972A53"/>
    <w:rsid w:val="00974384"/>
    <w:rsid w:val="00974410"/>
    <w:rsid w:val="00976C86"/>
    <w:rsid w:val="00976F7F"/>
    <w:rsid w:val="009778A3"/>
    <w:rsid w:val="0098167E"/>
    <w:rsid w:val="00981984"/>
    <w:rsid w:val="009826D0"/>
    <w:rsid w:val="00984986"/>
    <w:rsid w:val="009853A7"/>
    <w:rsid w:val="00986957"/>
    <w:rsid w:val="00991158"/>
    <w:rsid w:val="0099145F"/>
    <w:rsid w:val="00991578"/>
    <w:rsid w:val="00991AB5"/>
    <w:rsid w:val="00991DD7"/>
    <w:rsid w:val="00991FF5"/>
    <w:rsid w:val="0099395F"/>
    <w:rsid w:val="00993C08"/>
    <w:rsid w:val="009950DF"/>
    <w:rsid w:val="00995C59"/>
    <w:rsid w:val="009A051A"/>
    <w:rsid w:val="009A179A"/>
    <w:rsid w:val="009A52E6"/>
    <w:rsid w:val="009A705F"/>
    <w:rsid w:val="009B359C"/>
    <w:rsid w:val="009B35AA"/>
    <w:rsid w:val="009B390A"/>
    <w:rsid w:val="009B487F"/>
    <w:rsid w:val="009C05EC"/>
    <w:rsid w:val="009C3161"/>
    <w:rsid w:val="009C46DF"/>
    <w:rsid w:val="009C4829"/>
    <w:rsid w:val="009C4F40"/>
    <w:rsid w:val="009C6B18"/>
    <w:rsid w:val="009C70BD"/>
    <w:rsid w:val="009C7B47"/>
    <w:rsid w:val="009C7C43"/>
    <w:rsid w:val="009D01E1"/>
    <w:rsid w:val="009D06F1"/>
    <w:rsid w:val="009D2C20"/>
    <w:rsid w:val="009D36A8"/>
    <w:rsid w:val="009D4208"/>
    <w:rsid w:val="009D45FE"/>
    <w:rsid w:val="009D63A2"/>
    <w:rsid w:val="009D6711"/>
    <w:rsid w:val="009D7E40"/>
    <w:rsid w:val="009E0C46"/>
    <w:rsid w:val="009E1584"/>
    <w:rsid w:val="009E17E8"/>
    <w:rsid w:val="009E4619"/>
    <w:rsid w:val="009E4679"/>
    <w:rsid w:val="009E6A3F"/>
    <w:rsid w:val="009E73C6"/>
    <w:rsid w:val="009F0F90"/>
    <w:rsid w:val="009F1033"/>
    <w:rsid w:val="009F2249"/>
    <w:rsid w:val="009F2C6F"/>
    <w:rsid w:val="009F7A2B"/>
    <w:rsid w:val="00A021A7"/>
    <w:rsid w:val="00A03DEC"/>
    <w:rsid w:val="00A071AB"/>
    <w:rsid w:val="00A0780C"/>
    <w:rsid w:val="00A0782F"/>
    <w:rsid w:val="00A10A19"/>
    <w:rsid w:val="00A11C92"/>
    <w:rsid w:val="00A1546C"/>
    <w:rsid w:val="00A15547"/>
    <w:rsid w:val="00A1715B"/>
    <w:rsid w:val="00A2104C"/>
    <w:rsid w:val="00A21101"/>
    <w:rsid w:val="00A21B0C"/>
    <w:rsid w:val="00A22DC1"/>
    <w:rsid w:val="00A22EA9"/>
    <w:rsid w:val="00A24FC5"/>
    <w:rsid w:val="00A25964"/>
    <w:rsid w:val="00A278BF"/>
    <w:rsid w:val="00A30D90"/>
    <w:rsid w:val="00A30F11"/>
    <w:rsid w:val="00A3489E"/>
    <w:rsid w:val="00A35DF2"/>
    <w:rsid w:val="00A36992"/>
    <w:rsid w:val="00A405B2"/>
    <w:rsid w:val="00A40B07"/>
    <w:rsid w:val="00A40F46"/>
    <w:rsid w:val="00A41F3E"/>
    <w:rsid w:val="00A42E3F"/>
    <w:rsid w:val="00A4361C"/>
    <w:rsid w:val="00A43A64"/>
    <w:rsid w:val="00A43ACB"/>
    <w:rsid w:val="00A43E24"/>
    <w:rsid w:val="00A44D34"/>
    <w:rsid w:val="00A44ECE"/>
    <w:rsid w:val="00A46D2E"/>
    <w:rsid w:val="00A5275E"/>
    <w:rsid w:val="00A52EF0"/>
    <w:rsid w:val="00A54E6F"/>
    <w:rsid w:val="00A56F17"/>
    <w:rsid w:val="00A573A5"/>
    <w:rsid w:val="00A61191"/>
    <w:rsid w:val="00A63288"/>
    <w:rsid w:val="00A644CB"/>
    <w:rsid w:val="00A669CA"/>
    <w:rsid w:val="00A67824"/>
    <w:rsid w:val="00A71ACC"/>
    <w:rsid w:val="00A71B81"/>
    <w:rsid w:val="00A7594B"/>
    <w:rsid w:val="00A75BDD"/>
    <w:rsid w:val="00A81214"/>
    <w:rsid w:val="00A86303"/>
    <w:rsid w:val="00A86691"/>
    <w:rsid w:val="00A917A9"/>
    <w:rsid w:val="00A931E6"/>
    <w:rsid w:val="00A96226"/>
    <w:rsid w:val="00AA3637"/>
    <w:rsid w:val="00AA4DB0"/>
    <w:rsid w:val="00AA656A"/>
    <w:rsid w:val="00AA68A3"/>
    <w:rsid w:val="00AB01BE"/>
    <w:rsid w:val="00AB0B7B"/>
    <w:rsid w:val="00AB1327"/>
    <w:rsid w:val="00AB5E66"/>
    <w:rsid w:val="00AB6BB9"/>
    <w:rsid w:val="00AC26B9"/>
    <w:rsid w:val="00AC3CB4"/>
    <w:rsid w:val="00AC44A5"/>
    <w:rsid w:val="00AC65C1"/>
    <w:rsid w:val="00AC6751"/>
    <w:rsid w:val="00AD1DD5"/>
    <w:rsid w:val="00AD2C89"/>
    <w:rsid w:val="00AD3C16"/>
    <w:rsid w:val="00AD760F"/>
    <w:rsid w:val="00AE12CC"/>
    <w:rsid w:val="00AE57FC"/>
    <w:rsid w:val="00AE5A10"/>
    <w:rsid w:val="00AE5E4F"/>
    <w:rsid w:val="00AE625D"/>
    <w:rsid w:val="00AE7058"/>
    <w:rsid w:val="00AE77A3"/>
    <w:rsid w:val="00AF1B9B"/>
    <w:rsid w:val="00AF2E9D"/>
    <w:rsid w:val="00AF3391"/>
    <w:rsid w:val="00AF3E31"/>
    <w:rsid w:val="00AF6607"/>
    <w:rsid w:val="00AF7C2C"/>
    <w:rsid w:val="00B01422"/>
    <w:rsid w:val="00B030C1"/>
    <w:rsid w:val="00B05699"/>
    <w:rsid w:val="00B05E27"/>
    <w:rsid w:val="00B07F68"/>
    <w:rsid w:val="00B10DF3"/>
    <w:rsid w:val="00B11026"/>
    <w:rsid w:val="00B1191C"/>
    <w:rsid w:val="00B139C1"/>
    <w:rsid w:val="00B14368"/>
    <w:rsid w:val="00B146D8"/>
    <w:rsid w:val="00B149F4"/>
    <w:rsid w:val="00B15FC8"/>
    <w:rsid w:val="00B161C1"/>
    <w:rsid w:val="00B172B8"/>
    <w:rsid w:val="00B2291E"/>
    <w:rsid w:val="00B24728"/>
    <w:rsid w:val="00B2586E"/>
    <w:rsid w:val="00B360DF"/>
    <w:rsid w:val="00B3654F"/>
    <w:rsid w:val="00B405B7"/>
    <w:rsid w:val="00B40843"/>
    <w:rsid w:val="00B40D61"/>
    <w:rsid w:val="00B41B9E"/>
    <w:rsid w:val="00B43B02"/>
    <w:rsid w:val="00B44688"/>
    <w:rsid w:val="00B44E0B"/>
    <w:rsid w:val="00B47B01"/>
    <w:rsid w:val="00B501CA"/>
    <w:rsid w:val="00B529DC"/>
    <w:rsid w:val="00B52C36"/>
    <w:rsid w:val="00B535D5"/>
    <w:rsid w:val="00B56204"/>
    <w:rsid w:val="00B565C4"/>
    <w:rsid w:val="00B57C0B"/>
    <w:rsid w:val="00B57D0A"/>
    <w:rsid w:val="00B60AA2"/>
    <w:rsid w:val="00B60EC3"/>
    <w:rsid w:val="00B64070"/>
    <w:rsid w:val="00B647EE"/>
    <w:rsid w:val="00B64D6D"/>
    <w:rsid w:val="00B66A39"/>
    <w:rsid w:val="00B70A61"/>
    <w:rsid w:val="00B731CE"/>
    <w:rsid w:val="00B73AFD"/>
    <w:rsid w:val="00B759EC"/>
    <w:rsid w:val="00B7614C"/>
    <w:rsid w:val="00B76EC0"/>
    <w:rsid w:val="00B85500"/>
    <w:rsid w:val="00B87615"/>
    <w:rsid w:val="00B9283C"/>
    <w:rsid w:val="00B95AC5"/>
    <w:rsid w:val="00B96D6C"/>
    <w:rsid w:val="00BA0607"/>
    <w:rsid w:val="00BA06FD"/>
    <w:rsid w:val="00BA32A8"/>
    <w:rsid w:val="00BA515E"/>
    <w:rsid w:val="00BA6FFB"/>
    <w:rsid w:val="00BB19D3"/>
    <w:rsid w:val="00BB3BE3"/>
    <w:rsid w:val="00BB3EF1"/>
    <w:rsid w:val="00BB55E3"/>
    <w:rsid w:val="00BB7C30"/>
    <w:rsid w:val="00BC0025"/>
    <w:rsid w:val="00BC14F5"/>
    <w:rsid w:val="00BC3860"/>
    <w:rsid w:val="00BC4F51"/>
    <w:rsid w:val="00BC53B3"/>
    <w:rsid w:val="00BC7804"/>
    <w:rsid w:val="00BC7A17"/>
    <w:rsid w:val="00BC7CEF"/>
    <w:rsid w:val="00BD11A5"/>
    <w:rsid w:val="00BD19B1"/>
    <w:rsid w:val="00BD2117"/>
    <w:rsid w:val="00BD5184"/>
    <w:rsid w:val="00BD7348"/>
    <w:rsid w:val="00BE018B"/>
    <w:rsid w:val="00BE1A22"/>
    <w:rsid w:val="00BE2C8C"/>
    <w:rsid w:val="00BE33AA"/>
    <w:rsid w:val="00BE45DC"/>
    <w:rsid w:val="00BE47EB"/>
    <w:rsid w:val="00BE66BD"/>
    <w:rsid w:val="00BE674F"/>
    <w:rsid w:val="00BF2DA4"/>
    <w:rsid w:val="00BF2FB1"/>
    <w:rsid w:val="00BF405E"/>
    <w:rsid w:val="00BF4FBE"/>
    <w:rsid w:val="00C02897"/>
    <w:rsid w:val="00C02CF3"/>
    <w:rsid w:val="00C05B72"/>
    <w:rsid w:val="00C07FE9"/>
    <w:rsid w:val="00C10148"/>
    <w:rsid w:val="00C1069F"/>
    <w:rsid w:val="00C109B8"/>
    <w:rsid w:val="00C1155A"/>
    <w:rsid w:val="00C11ACC"/>
    <w:rsid w:val="00C1553C"/>
    <w:rsid w:val="00C168D8"/>
    <w:rsid w:val="00C26545"/>
    <w:rsid w:val="00C30833"/>
    <w:rsid w:val="00C32E2E"/>
    <w:rsid w:val="00C32FF3"/>
    <w:rsid w:val="00C334D8"/>
    <w:rsid w:val="00C3386E"/>
    <w:rsid w:val="00C35F05"/>
    <w:rsid w:val="00C37CAE"/>
    <w:rsid w:val="00C40468"/>
    <w:rsid w:val="00C451F5"/>
    <w:rsid w:val="00C503C4"/>
    <w:rsid w:val="00C50BF7"/>
    <w:rsid w:val="00C51745"/>
    <w:rsid w:val="00C53F8D"/>
    <w:rsid w:val="00C57773"/>
    <w:rsid w:val="00C6059B"/>
    <w:rsid w:val="00C62838"/>
    <w:rsid w:val="00C637F8"/>
    <w:rsid w:val="00C65336"/>
    <w:rsid w:val="00C65E4C"/>
    <w:rsid w:val="00C7069B"/>
    <w:rsid w:val="00C70CB7"/>
    <w:rsid w:val="00C71971"/>
    <w:rsid w:val="00C72180"/>
    <w:rsid w:val="00C722F5"/>
    <w:rsid w:val="00C725F7"/>
    <w:rsid w:val="00C73415"/>
    <w:rsid w:val="00C75826"/>
    <w:rsid w:val="00C82965"/>
    <w:rsid w:val="00C82EA7"/>
    <w:rsid w:val="00C8374A"/>
    <w:rsid w:val="00C83E58"/>
    <w:rsid w:val="00C84545"/>
    <w:rsid w:val="00C855FC"/>
    <w:rsid w:val="00C8584A"/>
    <w:rsid w:val="00C879F9"/>
    <w:rsid w:val="00C9053F"/>
    <w:rsid w:val="00C91217"/>
    <w:rsid w:val="00C912C6"/>
    <w:rsid w:val="00C91585"/>
    <w:rsid w:val="00C91F0D"/>
    <w:rsid w:val="00C936A0"/>
    <w:rsid w:val="00C93959"/>
    <w:rsid w:val="00C97AA6"/>
    <w:rsid w:val="00CA089C"/>
    <w:rsid w:val="00CA2F77"/>
    <w:rsid w:val="00CA3367"/>
    <w:rsid w:val="00CA4279"/>
    <w:rsid w:val="00CA55C1"/>
    <w:rsid w:val="00CA6B10"/>
    <w:rsid w:val="00CB18AD"/>
    <w:rsid w:val="00CB7344"/>
    <w:rsid w:val="00CC3481"/>
    <w:rsid w:val="00CC4AEE"/>
    <w:rsid w:val="00CC792D"/>
    <w:rsid w:val="00CD1F18"/>
    <w:rsid w:val="00CD3235"/>
    <w:rsid w:val="00CD34FA"/>
    <w:rsid w:val="00CD514C"/>
    <w:rsid w:val="00CD6069"/>
    <w:rsid w:val="00CD67D3"/>
    <w:rsid w:val="00CD6D0C"/>
    <w:rsid w:val="00CD7C51"/>
    <w:rsid w:val="00CE02FF"/>
    <w:rsid w:val="00CE0FAB"/>
    <w:rsid w:val="00CE5157"/>
    <w:rsid w:val="00CE6964"/>
    <w:rsid w:val="00CF20FC"/>
    <w:rsid w:val="00CF2D74"/>
    <w:rsid w:val="00CF301F"/>
    <w:rsid w:val="00CF444E"/>
    <w:rsid w:val="00CF4A38"/>
    <w:rsid w:val="00CF5F4B"/>
    <w:rsid w:val="00D04185"/>
    <w:rsid w:val="00D05984"/>
    <w:rsid w:val="00D05F6E"/>
    <w:rsid w:val="00D10595"/>
    <w:rsid w:val="00D11373"/>
    <w:rsid w:val="00D1234C"/>
    <w:rsid w:val="00D127FC"/>
    <w:rsid w:val="00D13D5D"/>
    <w:rsid w:val="00D15B47"/>
    <w:rsid w:val="00D15C8E"/>
    <w:rsid w:val="00D2100A"/>
    <w:rsid w:val="00D21928"/>
    <w:rsid w:val="00D22161"/>
    <w:rsid w:val="00D221BB"/>
    <w:rsid w:val="00D22ACB"/>
    <w:rsid w:val="00D33A30"/>
    <w:rsid w:val="00D33CD9"/>
    <w:rsid w:val="00D35A01"/>
    <w:rsid w:val="00D35CBA"/>
    <w:rsid w:val="00D41C73"/>
    <w:rsid w:val="00D42F12"/>
    <w:rsid w:val="00D435A9"/>
    <w:rsid w:val="00D44001"/>
    <w:rsid w:val="00D50E26"/>
    <w:rsid w:val="00D51761"/>
    <w:rsid w:val="00D52505"/>
    <w:rsid w:val="00D52C7E"/>
    <w:rsid w:val="00D54E40"/>
    <w:rsid w:val="00D550C8"/>
    <w:rsid w:val="00D57372"/>
    <w:rsid w:val="00D63300"/>
    <w:rsid w:val="00D63C82"/>
    <w:rsid w:val="00D66D8B"/>
    <w:rsid w:val="00D67AE8"/>
    <w:rsid w:val="00D70DE9"/>
    <w:rsid w:val="00D715B1"/>
    <w:rsid w:val="00D72E24"/>
    <w:rsid w:val="00D73B65"/>
    <w:rsid w:val="00D748C2"/>
    <w:rsid w:val="00D802BC"/>
    <w:rsid w:val="00D82438"/>
    <w:rsid w:val="00D8250E"/>
    <w:rsid w:val="00D834C0"/>
    <w:rsid w:val="00D85947"/>
    <w:rsid w:val="00D86870"/>
    <w:rsid w:val="00D86C9A"/>
    <w:rsid w:val="00D876CF"/>
    <w:rsid w:val="00D87799"/>
    <w:rsid w:val="00D87DB3"/>
    <w:rsid w:val="00D90A23"/>
    <w:rsid w:val="00D93FB4"/>
    <w:rsid w:val="00D94479"/>
    <w:rsid w:val="00DA21CD"/>
    <w:rsid w:val="00DA34C4"/>
    <w:rsid w:val="00DA692B"/>
    <w:rsid w:val="00DA6BBA"/>
    <w:rsid w:val="00DB11EC"/>
    <w:rsid w:val="00DB2AFF"/>
    <w:rsid w:val="00DB302F"/>
    <w:rsid w:val="00DB7984"/>
    <w:rsid w:val="00DC1B93"/>
    <w:rsid w:val="00DC2E33"/>
    <w:rsid w:val="00DC3560"/>
    <w:rsid w:val="00DC3C77"/>
    <w:rsid w:val="00DC3FA7"/>
    <w:rsid w:val="00DC7E65"/>
    <w:rsid w:val="00DD0E44"/>
    <w:rsid w:val="00DD29E7"/>
    <w:rsid w:val="00DD2CCB"/>
    <w:rsid w:val="00DD31C1"/>
    <w:rsid w:val="00DD577C"/>
    <w:rsid w:val="00DD5BD3"/>
    <w:rsid w:val="00DD5D9E"/>
    <w:rsid w:val="00DD6248"/>
    <w:rsid w:val="00DD6FA2"/>
    <w:rsid w:val="00DE0CA1"/>
    <w:rsid w:val="00DE275D"/>
    <w:rsid w:val="00DE3626"/>
    <w:rsid w:val="00DE40EF"/>
    <w:rsid w:val="00DE41BE"/>
    <w:rsid w:val="00DE5301"/>
    <w:rsid w:val="00DE7D58"/>
    <w:rsid w:val="00DF0B07"/>
    <w:rsid w:val="00DF4197"/>
    <w:rsid w:val="00DF45ED"/>
    <w:rsid w:val="00DF6833"/>
    <w:rsid w:val="00DF7C13"/>
    <w:rsid w:val="00E004BC"/>
    <w:rsid w:val="00E01123"/>
    <w:rsid w:val="00E03C25"/>
    <w:rsid w:val="00E03E96"/>
    <w:rsid w:val="00E046FA"/>
    <w:rsid w:val="00E04CE0"/>
    <w:rsid w:val="00E04FD7"/>
    <w:rsid w:val="00E054FB"/>
    <w:rsid w:val="00E10E24"/>
    <w:rsid w:val="00E11551"/>
    <w:rsid w:val="00E12C79"/>
    <w:rsid w:val="00E13577"/>
    <w:rsid w:val="00E13663"/>
    <w:rsid w:val="00E15E12"/>
    <w:rsid w:val="00E17836"/>
    <w:rsid w:val="00E17E32"/>
    <w:rsid w:val="00E264A0"/>
    <w:rsid w:val="00E27C14"/>
    <w:rsid w:val="00E304BF"/>
    <w:rsid w:val="00E305F5"/>
    <w:rsid w:val="00E315B6"/>
    <w:rsid w:val="00E31A9F"/>
    <w:rsid w:val="00E31B9D"/>
    <w:rsid w:val="00E3578E"/>
    <w:rsid w:val="00E401FB"/>
    <w:rsid w:val="00E4209B"/>
    <w:rsid w:val="00E42910"/>
    <w:rsid w:val="00E434C4"/>
    <w:rsid w:val="00E4495A"/>
    <w:rsid w:val="00E46A4C"/>
    <w:rsid w:val="00E46E27"/>
    <w:rsid w:val="00E511A9"/>
    <w:rsid w:val="00E522AB"/>
    <w:rsid w:val="00E5698A"/>
    <w:rsid w:val="00E56CB6"/>
    <w:rsid w:val="00E57804"/>
    <w:rsid w:val="00E60337"/>
    <w:rsid w:val="00E61C32"/>
    <w:rsid w:val="00E62E32"/>
    <w:rsid w:val="00E6306A"/>
    <w:rsid w:val="00E66426"/>
    <w:rsid w:val="00E6745C"/>
    <w:rsid w:val="00E72BAC"/>
    <w:rsid w:val="00E76501"/>
    <w:rsid w:val="00E772F3"/>
    <w:rsid w:val="00E80F53"/>
    <w:rsid w:val="00E811A2"/>
    <w:rsid w:val="00E85575"/>
    <w:rsid w:val="00E85FCC"/>
    <w:rsid w:val="00E86268"/>
    <w:rsid w:val="00E91AE3"/>
    <w:rsid w:val="00E93180"/>
    <w:rsid w:val="00E96C18"/>
    <w:rsid w:val="00E977B9"/>
    <w:rsid w:val="00EA082B"/>
    <w:rsid w:val="00EA1FA4"/>
    <w:rsid w:val="00EA4C42"/>
    <w:rsid w:val="00EA4C7F"/>
    <w:rsid w:val="00EA7C50"/>
    <w:rsid w:val="00EB0DE7"/>
    <w:rsid w:val="00EB103E"/>
    <w:rsid w:val="00EB2ABE"/>
    <w:rsid w:val="00EB3FE3"/>
    <w:rsid w:val="00EB54E3"/>
    <w:rsid w:val="00EB6D27"/>
    <w:rsid w:val="00EB726F"/>
    <w:rsid w:val="00EB7CA3"/>
    <w:rsid w:val="00EC1851"/>
    <w:rsid w:val="00EC217C"/>
    <w:rsid w:val="00EC4BAA"/>
    <w:rsid w:val="00EC64D6"/>
    <w:rsid w:val="00EC70B7"/>
    <w:rsid w:val="00ED10F3"/>
    <w:rsid w:val="00ED1637"/>
    <w:rsid w:val="00ED43D2"/>
    <w:rsid w:val="00ED5E2B"/>
    <w:rsid w:val="00ED69FD"/>
    <w:rsid w:val="00ED77FC"/>
    <w:rsid w:val="00EE2A13"/>
    <w:rsid w:val="00EE5984"/>
    <w:rsid w:val="00EE5E14"/>
    <w:rsid w:val="00EE6452"/>
    <w:rsid w:val="00EE66C2"/>
    <w:rsid w:val="00EE67D1"/>
    <w:rsid w:val="00EE7388"/>
    <w:rsid w:val="00EF045F"/>
    <w:rsid w:val="00EF3464"/>
    <w:rsid w:val="00EF3FB2"/>
    <w:rsid w:val="00EF4A10"/>
    <w:rsid w:val="00EF5917"/>
    <w:rsid w:val="00F01C26"/>
    <w:rsid w:val="00F04707"/>
    <w:rsid w:val="00F06EB6"/>
    <w:rsid w:val="00F075D0"/>
    <w:rsid w:val="00F07E28"/>
    <w:rsid w:val="00F11AB6"/>
    <w:rsid w:val="00F11FBB"/>
    <w:rsid w:val="00F122FF"/>
    <w:rsid w:val="00F12459"/>
    <w:rsid w:val="00F15457"/>
    <w:rsid w:val="00F15D86"/>
    <w:rsid w:val="00F16254"/>
    <w:rsid w:val="00F174AB"/>
    <w:rsid w:val="00F17EB3"/>
    <w:rsid w:val="00F2698B"/>
    <w:rsid w:val="00F27338"/>
    <w:rsid w:val="00F314AB"/>
    <w:rsid w:val="00F31B6A"/>
    <w:rsid w:val="00F35B49"/>
    <w:rsid w:val="00F369E3"/>
    <w:rsid w:val="00F37A71"/>
    <w:rsid w:val="00F37B24"/>
    <w:rsid w:val="00F43520"/>
    <w:rsid w:val="00F4361A"/>
    <w:rsid w:val="00F449EE"/>
    <w:rsid w:val="00F44D2D"/>
    <w:rsid w:val="00F50EDF"/>
    <w:rsid w:val="00F514B6"/>
    <w:rsid w:val="00F51C34"/>
    <w:rsid w:val="00F54E7C"/>
    <w:rsid w:val="00F56ADF"/>
    <w:rsid w:val="00F60B60"/>
    <w:rsid w:val="00F63404"/>
    <w:rsid w:val="00F6405B"/>
    <w:rsid w:val="00F64D0B"/>
    <w:rsid w:val="00F66190"/>
    <w:rsid w:val="00F678E5"/>
    <w:rsid w:val="00F67FEC"/>
    <w:rsid w:val="00F71592"/>
    <w:rsid w:val="00F71F20"/>
    <w:rsid w:val="00F72227"/>
    <w:rsid w:val="00F72B65"/>
    <w:rsid w:val="00F72D26"/>
    <w:rsid w:val="00F73ED9"/>
    <w:rsid w:val="00F76C27"/>
    <w:rsid w:val="00F80024"/>
    <w:rsid w:val="00F80780"/>
    <w:rsid w:val="00F81774"/>
    <w:rsid w:val="00F83AD3"/>
    <w:rsid w:val="00F83C3E"/>
    <w:rsid w:val="00F860F5"/>
    <w:rsid w:val="00F861FB"/>
    <w:rsid w:val="00F92051"/>
    <w:rsid w:val="00F936D1"/>
    <w:rsid w:val="00F95CFD"/>
    <w:rsid w:val="00F964A4"/>
    <w:rsid w:val="00F979D4"/>
    <w:rsid w:val="00FA06E7"/>
    <w:rsid w:val="00FA0C85"/>
    <w:rsid w:val="00FA4B51"/>
    <w:rsid w:val="00FA63A0"/>
    <w:rsid w:val="00FA6BC2"/>
    <w:rsid w:val="00FA6E73"/>
    <w:rsid w:val="00FA772D"/>
    <w:rsid w:val="00FA7F2D"/>
    <w:rsid w:val="00FB15DD"/>
    <w:rsid w:val="00FB1A22"/>
    <w:rsid w:val="00FB2F09"/>
    <w:rsid w:val="00FB3CA8"/>
    <w:rsid w:val="00FB6B74"/>
    <w:rsid w:val="00FC0F7C"/>
    <w:rsid w:val="00FC16C9"/>
    <w:rsid w:val="00FC431D"/>
    <w:rsid w:val="00FC57E2"/>
    <w:rsid w:val="00FC7CEF"/>
    <w:rsid w:val="00FD0414"/>
    <w:rsid w:val="00FD053D"/>
    <w:rsid w:val="00FD4247"/>
    <w:rsid w:val="00FD6339"/>
    <w:rsid w:val="00FD7B52"/>
    <w:rsid w:val="00FE0BEC"/>
    <w:rsid w:val="00FE1471"/>
    <w:rsid w:val="00FE1727"/>
    <w:rsid w:val="00FE529E"/>
    <w:rsid w:val="00FE608A"/>
    <w:rsid w:val="00FE6DB1"/>
    <w:rsid w:val="00FF0D57"/>
    <w:rsid w:val="00FF11E6"/>
    <w:rsid w:val="00FF24A2"/>
    <w:rsid w:val="00FF4E5E"/>
    <w:rsid w:val="00FF69D1"/>
    <w:rsid w:val="012E39C8"/>
    <w:rsid w:val="01A500C9"/>
    <w:rsid w:val="04C93200"/>
    <w:rsid w:val="0BEA7C90"/>
    <w:rsid w:val="1557566D"/>
    <w:rsid w:val="157C2FFF"/>
    <w:rsid w:val="16AD3B1C"/>
    <w:rsid w:val="17B552C4"/>
    <w:rsid w:val="1BA71FA4"/>
    <w:rsid w:val="20154384"/>
    <w:rsid w:val="23F22704"/>
    <w:rsid w:val="27911C69"/>
    <w:rsid w:val="28E11633"/>
    <w:rsid w:val="2AEE19E4"/>
    <w:rsid w:val="2CBD7AE7"/>
    <w:rsid w:val="2DAE467F"/>
    <w:rsid w:val="2FBF40F0"/>
    <w:rsid w:val="32D60E52"/>
    <w:rsid w:val="33775DDE"/>
    <w:rsid w:val="34DB5C03"/>
    <w:rsid w:val="35A002DC"/>
    <w:rsid w:val="38125295"/>
    <w:rsid w:val="383E63BA"/>
    <w:rsid w:val="3B0F14FD"/>
    <w:rsid w:val="3EEB797F"/>
    <w:rsid w:val="3F67427B"/>
    <w:rsid w:val="4083373C"/>
    <w:rsid w:val="41975A69"/>
    <w:rsid w:val="433A7AB2"/>
    <w:rsid w:val="463A2578"/>
    <w:rsid w:val="4BF14671"/>
    <w:rsid w:val="50A74A15"/>
    <w:rsid w:val="515C2E1B"/>
    <w:rsid w:val="52D37266"/>
    <w:rsid w:val="5C52142F"/>
    <w:rsid w:val="5EA240D4"/>
    <w:rsid w:val="62955272"/>
    <w:rsid w:val="66234685"/>
    <w:rsid w:val="6C603F86"/>
    <w:rsid w:val="6F1A1FDA"/>
    <w:rsid w:val="6F2C75D2"/>
    <w:rsid w:val="709E00BD"/>
    <w:rsid w:val="7253486E"/>
    <w:rsid w:val="72852EB3"/>
    <w:rsid w:val="7517020C"/>
    <w:rsid w:val="7A8F0D44"/>
    <w:rsid w:val="7DDB21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AD61D"/>
  <w15:docId w15:val="{B7810897-FE7E-4588-B871-6F53D325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iPriority="0"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511A9"/>
    <w:pPr>
      <w:ind w:firstLine="480"/>
    </w:pPr>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style>
  <w:style w:type="paragraph" w:styleId="a5">
    <w:name w:val="Body Text"/>
    <w:basedOn w:val="a"/>
    <w:link w:val="a6"/>
    <w:autoRedefine/>
    <w:uiPriority w:val="99"/>
    <w:qFormat/>
    <w:pPr>
      <w:spacing w:after="120"/>
    </w:pPr>
    <w:rPr>
      <w:rFonts w:eastAsiaTheme="minorEastAsia"/>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Helvetica" w:hAnsi="Helvetica" w:cs="Helvetica"/>
      <w:szCs w:val="21"/>
    </w:rPr>
  </w:style>
  <w:style w:type="paragraph" w:styleId="ad">
    <w:name w:val="Normal (Web)"/>
    <w:basedOn w:val="a"/>
    <w:autoRedefine/>
    <w:uiPriority w:val="99"/>
    <w:unhideWhenUsed/>
    <w:qFormat/>
    <w:pPr>
      <w:spacing w:beforeAutospacing="1" w:afterAutospacing="1"/>
    </w:p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llowedHyperlink"/>
    <w:basedOn w:val="a0"/>
    <w:autoRedefine/>
    <w:uiPriority w:val="99"/>
    <w:semiHidden/>
    <w:unhideWhenUsed/>
    <w:qFormat/>
    <w:rPr>
      <w:color w:val="333333"/>
      <w:sz w:val="18"/>
      <w:szCs w:val="18"/>
      <w:u w:val="none"/>
    </w:rPr>
  </w:style>
  <w:style w:type="character" w:styleId="af2">
    <w:name w:val="Emphasis"/>
    <w:basedOn w:val="a0"/>
    <w:autoRedefine/>
    <w:uiPriority w:val="20"/>
    <w:qFormat/>
  </w:style>
  <w:style w:type="character" w:styleId="HTML1">
    <w:name w:val="HTML Acronym"/>
    <w:basedOn w:val="a0"/>
    <w:autoRedefine/>
    <w:uiPriority w:val="99"/>
    <w:semiHidden/>
    <w:unhideWhenUsed/>
    <w:qFormat/>
  </w:style>
  <w:style w:type="character" w:styleId="af3">
    <w:name w:val="Hyperlink"/>
    <w:basedOn w:val="a0"/>
    <w:autoRedefine/>
    <w:uiPriority w:val="99"/>
    <w:semiHidden/>
    <w:unhideWhenUsed/>
    <w:qFormat/>
    <w:rPr>
      <w:color w:val="333333"/>
      <w:sz w:val="18"/>
      <w:szCs w:val="18"/>
      <w:u w:val="none"/>
    </w:rPr>
  </w:style>
  <w:style w:type="character" w:styleId="HTML2">
    <w:name w:val="HTML Code"/>
    <w:autoRedefine/>
    <w:semiHidden/>
    <w:qFormat/>
    <w:rPr>
      <w:rFonts w:ascii="Courier New" w:hAnsi="Courier New" w:cs="Courier New"/>
      <w:sz w:val="20"/>
      <w:szCs w:val="20"/>
    </w:rPr>
  </w:style>
  <w:style w:type="character" w:styleId="af4">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 w:type="character" w:customStyle="1" w:styleId="con">
    <w:name w:val="con"/>
    <w:basedOn w:val="a0"/>
    <w:autoRedefine/>
    <w:qFormat/>
    <w:rPr>
      <w:rFonts w:ascii="微软雅黑" w:eastAsia="微软雅黑" w:hAnsi="微软雅黑" w:cs="微软雅黑" w:hint="eastAsia"/>
      <w:color w:val="555555"/>
      <w:sz w:val="21"/>
      <w:szCs w:val="21"/>
    </w:rPr>
  </w:style>
  <w:style w:type="character" w:customStyle="1" w:styleId="tit">
    <w:name w:val="tit"/>
    <w:basedOn w:val="a0"/>
    <w:autoRedefine/>
    <w:qFormat/>
    <w:rPr>
      <w:rFonts w:ascii="微软雅黑" w:eastAsia="微软雅黑" w:hAnsi="微软雅黑" w:cs="微软雅黑" w:hint="eastAsia"/>
      <w:color w:val="666666"/>
      <w:sz w:val="21"/>
      <w:szCs w:val="21"/>
    </w:rPr>
  </w:style>
  <w:style w:type="paragraph" w:styleId="af5">
    <w:name w:val="List Paragraph"/>
    <w:basedOn w:val="a"/>
    <w:autoRedefine/>
    <w:uiPriority w:val="34"/>
    <w:qFormat/>
  </w:style>
  <w:style w:type="character" w:customStyle="1" w:styleId="a8">
    <w:name w:val="批注框文本 字符"/>
    <w:basedOn w:val="a0"/>
    <w:link w:val="a7"/>
    <w:autoRedefine/>
    <w:uiPriority w:val="99"/>
    <w:semiHidden/>
    <w:qFormat/>
    <w:rPr>
      <w:kern w:val="2"/>
      <w:sz w:val="18"/>
      <w:szCs w:val="18"/>
    </w:rPr>
  </w:style>
  <w:style w:type="character" w:customStyle="1" w:styleId="a4">
    <w:name w:val="批注文字 字符"/>
    <w:basedOn w:val="a0"/>
    <w:link w:val="a3"/>
    <w:autoRedefine/>
    <w:uiPriority w:val="99"/>
    <w:semiHidden/>
    <w:qFormat/>
    <w:rPr>
      <w:kern w:val="2"/>
      <w:sz w:val="21"/>
      <w:szCs w:val="24"/>
    </w:rPr>
  </w:style>
  <w:style w:type="character" w:customStyle="1" w:styleId="af">
    <w:name w:val="批注主题 字符"/>
    <w:basedOn w:val="a4"/>
    <w:link w:val="ae"/>
    <w:autoRedefine/>
    <w:uiPriority w:val="99"/>
    <w:semiHidden/>
    <w:qFormat/>
    <w:rPr>
      <w:b/>
      <w:bCs/>
      <w:kern w:val="2"/>
      <w:sz w:val="21"/>
      <w:szCs w:val="24"/>
    </w:rPr>
  </w:style>
  <w:style w:type="character" w:customStyle="1" w:styleId="HTML0">
    <w:name w:val="HTML 预设格式 字符"/>
    <w:basedOn w:val="a0"/>
    <w:link w:val="HTML"/>
    <w:autoRedefine/>
    <w:uiPriority w:val="99"/>
    <w:semiHidden/>
    <w:qFormat/>
    <w:rPr>
      <w:rFonts w:ascii="Helvetica" w:hAnsi="Helvetica" w:cs="Helvetica"/>
      <w:sz w:val="21"/>
      <w:szCs w:val="21"/>
    </w:rPr>
  </w:style>
  <w:style w:type="paragraph" w:styleId="af6">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msonormal0">
    <w:name w:val="msonormal"/>
    <w:basedOn w:val="a"/>
    <w:autoRedefine/>
    <w:qFormat/>
    <w:pPr>
      <w:spacing w:before="100" w:beforeAutospacing="1" w:after="100" w:afterAutospacing="1"/>
    </w:pPr>
  </w:style>
  <w:style w:type="paragraph" w:customStyle="1" w:styleId="font5">
    <w:name w:val="font5"/>
    <w:basedOn w:val="a"/>
    <w:autoRedefine/>
    <w:qFormat/>
    <w:pPr>
      <w:spacing w:before="100" w:beforeAutospacing="1" w:after="100" w:afterAutospacing="1"/>
    </w:pPr>
    <w:rPr>
      <w:rFonts w:ascii="等线" w:eastAsia="等线" w:hAnsi="等线"/>
      <w:sz w:val="18"/>
      <w:szCs w:val="18"/>
    </w:rPr>
  </w:style>
  <w:style w:type="paragraph" w:customStyle="1" w:styleId="xl65">
    <w:name w:val="xl6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
    <w:name w:val="修订1"/>
    <w:autoRedefine/>
    <w:hidden/>
    <w:uiPriority w:val="99"/>
    <w:semiHidden/>
    <w:qFormat/>
    <w:rPr>
      <w:kern w:val="2"/>
      <w:sz w:val="21"/>
      <w:szCs w:val="24"/>
    </w:rPr>
  </w:style>
  <w:style w:type="character" w:customStyle="1" w:styleId="a6">
    <w:name w:val="正文文本 字符"/>
    <w:basedOn w:val="a0"/>
    <w:link w:val="a5"/>
    <w:uiPriority w:val="99"/>
    <w:rPr>
      <w:rFonts w:eastAsiaTheme="minorEastAsia"/>
      <w:kern w:val="2"/>
      <w:sz w:val="21"/>
      <w:szCs w:val="24"/>
    </w:rPr>
  </w:style>
  <w:style w:type="paragraph" w:customStyle="1" w:styleId="2">
    <w:name w:val="修订2"/>
    <w:hidden/>
    <w:uiPriority w:val="99"/>
    <w:semiHidden/>
    <w:rPr>
      <w:kern w:val="2"/>
      <w:sz w:val="21"/>
      <w:szCs w:val="24"/>
    </w:rPr>
  </w:style>
  <w:style w:type="paragraph" w:styleId="af7">
    <w:name w:val="Revision"/>
    <w:hidden/>
    <w:uiPriority w:val="99"/>
    <w:unhideWhenUsed/>
    <w:rsid w:val="006844C1"/>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0771-BE89-43E2-A7D7-5A22A398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759</Words>
  <Characters>4328</Characters>
  <Application>Microsoft Office Word</Application>
  <DocSecurity>0</DocSecurity>
  <Lines>36</Lines>
  <Paragraphs>10</Paragraphs>
  <ScaleCrop>false</ScaleCrop>
  <Company>微软中国</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wym</dc:creator>
  <cp:lastModifiedBy>子斌 包</cp:lastModifiedBy>
  <cp:revision>5</cp:revision>
  <dcterms:created xsi:type="dcterms:W3CDTF">2025-09-29T01:14:00Z</dcterms:created>
  <dcterms:modified xsi:type="dcterms:W3CDTF">2025-09-29T05:35:00Z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5ED6C6F038AF49AF8A7914ECA2E61024_13</vt:lpwstr>
  </property>
  <property fmtid="{D5CDD505-2E9C-101B-9397-08002B2CF9AE}" pid="4" name="KSOTemplateDocerSaveRecord">
    <vt:lpwstr>eyJoZGlkIjoiNmZhMDdkNWQxNTVjZGNjYmY5MmVjYjk3NTViOWJjNWIiLCJ1c2VySWQiOiIyODEyNTQ2NDEifQ==</vt:lpwstr>
  </property>
</Properties>
</file>