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DF620">
      <w:pPr>
        <w:jc w:val="center"/>
        <w:rPr>
          <w:rFonts w:hint="eastAsia" w:cs="宋体" w:asciiTheme="majorEastAsia" w:hAnsiTheme="majorEastAsia" w:eastAsiaTheme="majorEastAsia"/>
          <w:b/>
          <w:bCs/>
          <w:color w:val="000000"/>
          <w:sz w:val="32"/>
          <w:szCs w:val="32"/>
        </w:rPr>
      </w:pPr>
      <w:bookmarkStart w:id="0" w:name="_Toc17751_WPSOffice_Level1"/>
      <w:bookmarkStart w:id="1" w:name="_Toc9583_WPSOffice_Level1"/>
      <w:bookmarkStart w:id="2" w:name="_Toc26562_WPSOffice_Level1"/>
      <w:bookmarkStart w:id="10" w:name="_GoBack"/>
      <w:bookmarkEnd w:id="10"/>
      <w:r>
        <w:rPr>
          <w:rFonts w:hint="eastAsia" w:cs="宋体" w:asciiTheme="majorEastAsia" w:hAnsiTheme="majorEastAsia" w:eastAsiaTheme="majorEastAsia"/>
          <w:b/>
          <w:bCs/>
          <w:color w:val="000000"/>
          <w:sz w:val="32"/>
          <w:szCs w:val="32"/>
        </w:rPr>
        <w:t>上海妙可蓝多食品科技股份有限公司</w:t>
      </w:r>
    </w:p>
    <w:p w14:paraId="1C71349C">
      <w:pPr>
        <w:jc w:val="center"/>
        <w:rPr>
          <w:rFonts w:hint="eastAsia" w:cs="宋体" w:asciiTheme="majorEastAsia" w:hAnsiTheme="majorEastAsia" w:eastAsiaTheme="majorEastAsia"/>
          <w:b/>
          <w:bCs/>
          <w:color w:val="000000"/>
          <w:sz w:val="32"/>
          <w:szCs w:val="32"/>
        </w:rPr>
      </w:pPr>
      <w:r>
        <w:rPr>
          <w:rFonts w:hint="eastAsia" w:cs="宋体" w:asciiTheme="majorEastAsia" w:hAnsiTheme="majorEastAsia" w:eastAsiaTheme="majorEastAsia"/>
          <w:b/>
          <w:bCs/>
          <w:color w:val="000000"/>
          <w:sz w:val="32"/>
          <w:szCs w:val="32"/>
        </w:rPr>
        <w:t>投资者接待活动记录表</w:t>
      </w:r>
      <w:bookmarkEnd w:id="0"/>
      <w:bookmarkEnd w:id="1"/>
      <w:bookmarkEnd w:id="2"/>
    </w:p>
    <w:p w14:paraId="14B79051">
      <w:pPr>
        <w:jc w:val="right"/>
        <w:rPr>
          <w:rFonts w:hint="eastAsia" w:cs="宋体" w:asciiTheme="majorEastAsia" w:hAnsiTheme="majorEastAsia" w:eastAsiaTheme="majorEastAsia"/>
          <w:b/>
          <w:bCs/>
          <w:color w:val="000000"/>
          <w:sz w:val="24"/>
        </w:rPr>
      </w:pPr>
      <w:r>
        <w:rPr>
          <w:rFonts w:hint="eastAsia" w:cs="宋体" w:asciiTheme="majorEastAsia" w:hAnsiTheme="majorEastAsia" w:eastAsiaTheme="majorEastAsia"/>
          <w:b/>
          <w:bCs/>
          <w:color w:val="000000"/>
          <w:sz w:val="24"/>
        </w:rPr>
        <w:t xml:space="preserve">   编号：</w:t>
      </w:r>
      <w:r>
        <w:rPr>
          <w:rFonts w:ascii="Times New Roman" w:hAnsi="Times New Roman" w:eastAsiaTheme="majorEastAsia"/>
          <w:b/>
          <w:bCs/>
          <w:color w:val="000000"/>
          <w:sz w:val="24"/>
        </w:rPr>
        <w:t>2025</w:t>
      </w:r>
      <w:r>
        <w:rPr>
          <w:rFonts w:hint="eastAsia" w:cs="宋体" w:asciiTheme="majorEastAsia" w:hAnsiTheme="majorEastAsia" w:eastAsiaTheme="majorEastAsia"/>
          <w:b/>
          <w:bCs/>
          <w:color w:val="000000"/>
          <w:sz w:val="24"/>
        </w:rPr>
        <w:t>-</w:t>
      </w:r>
      <w:r>
        <w:rPr>
          <w:rFonts w:ascii="Times New Roman" w:hAnsi="Times New Roman" w:eastAsiaTheme="majorEastAsia"/>
          <w:b/>
          <w:bCs/>
          <w:color w:val="000000"/>
          <w:sz w:val="24"/>
        </w:rPr>
        <w:t>008</w:t>
      </w:r>
    </w:p>
    <w:tbl>
      <w:tblPr>
        <w:tblStyle w:val="8"/>
        <w:tblW w:w="9498" w:type="dxa"/>
        <w:tblInd w:w="-601" w:type="dxa"/>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513"/>
      </w:tblGrid>
      <w:tr w14:paraId="305FB526">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4D46633">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投资者关系</w:t>
            </w:r>
          </w:p>
          <w:p w14:paraId="78F02362">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活动类别</w:t>
            </w:r>
          </w:p>
        </w:tc>
        <w:tc>
          <w:tcPr>
            <w:tcW w:w="7513" w:type="dxa"/>
            <w:vAlign w:val="center"/>
          </w:tcPr>
          <w:p w14:paraId="617FEBBD">
            <w:pPr>
              <w:rPr>
                <w:rFonts w:hint="eastAsia" w:asciiTheme="majorEastAsia" w:hAnsiTheme="majorEastAsia" w:eastAsiaTheme="majorEastAsia" w:cstheme="minorEastAsia"/>
                <w:sz w:val="24"/>
              </w:rPr>
            </w:pPr>
          </w:p>
          <w:p w14:paraId="548B4B8C">
            <w:pPr>
              <w:rPr>
                <w:rFonts w:hint="eastAsia" w:asciiTheme="majorEastAsia" w:hAnsiTheme="majorEastAsia" w:eastAsiaTheme="majorEastAsia" w:cstheme="minorEastAsia"/>
                <w:sz w:val="24"/>
              </w:rPr>
            </w:pPr>
            <w:r>
              <w:rPr>
                <w:rFonts w:hint="eastAsia" w:asciiTheme="majorEastAsia" w:hAnsiTheme="majorEastAsia" w:eastAsiaTheme="majorEastAsia" w:cstheme="minorEastAsia"/>
                <w:sz w:val="24"/>
              </w:rPr>
              <w:t>□特定对象调研□分析师会议</w:t>
            </w:r>
          </w:p>
          <w:p w14:paraId="7A39C206">
            <w:pPr>
              <w:rPr>
                <w:rFonts w:hint="eastAsia" w:asciiTheme="majorEastAsia" w:hAnsiTheme="majorEastAsia" w:eastAsiaTheme="majorEastAsia" w:cstheme="minorEastAsia"/>
                <w:sz w:val="24"/>
              </w:rPr>
            </w:pPr>
            <w:r>
              <w:rPr>
                <w:rFonts w:hint="eastAsia" w:asciiTheme="majorEastAsia" w:hAnsiTheme="majorEastAsia" w:eastAsiaTheme="majorEastAsia" w:cstheme="minorEastAsia"/>
                <w:sz w:val="24"/>
              </w:rPr>
              <w:t>□媒体采访□业绩说明会</w:t>
            </w:r>
          </w:p>
          <w:p w14:paraId="72A22D2D">
            <w:pPr>
              <w:rPr>
                <w:rFonts w:hint="eastAsia" w:asciiTheme="majorEastAsia" w:hAnsiTheme="majorEastAsia" w:eastAsiaTheme="majorEastAsia" w:cstheme="minorEastAsia"/>
                <w:sz w:val="24"/>
              </w:rPr>
            </w:pPr>
            <w:r>
              <w:rPr>
                <w:rFonts w:hint="eastAsia" w:asciiTheme="majorEastAsia" w:hAnsiTheme="majorEastAsia" w:eastAsiaTheme="majorEastAsia" w:cstheme="minorEastAsia"/>
                <w:sz w:val="24"/>
              </w:rPr>
              <w:t>□新闻发布会□路演活动</w:t>
            </w:r>
          </w:p>
          <w:p w14:paraId="2FCD012A">
            <w:pPr>
              <w:rPr>
                <w:rFonts w:hint="eastAsia" w:asciiTheme="majorEastAsia" w:hAnsiTheme="majorEastAsia" w:eastAsiaTheme="majorEastAsia" w:cstheme="minorEastAsia"/>
                <w:sz w:val="24"/>
              </w:rPr>
            </w:pPr>
            <w:r>
              <w:rPr>
                <w:rFonts w:hint="eastAsia" w:asciiTheme="majorEastAsia" w:hAnsiTheme="majorEastAsia" w:eastAsiaTheme="majorEastAsia" w:cstheme="minorEastAsia"/>
                <w:sz w:val="24"/>
              </w:rPr>
              <w:sym w:font="Wingdings 2" w:char="F052"/>
            </w:r>
            <w:r>
              <w:rPr>
                <w:rFonts w:hint="eastAsia" w:asciiTheme="majorEastAsia" w:hAnsiTheme="majorEastAsia" w:eastAsiaTheme="majorEastAsia" w:cstheme="minorEastAsia"/>
                <w:sz w:val="24"/>
              </w:rPr>
              <w:t>现场接待</w:t>
            </w:r>
          </w:p>
          <w:p w14:paraId="659BEAD7">
            <w:pPr>
              <w:rPr>
                <w:rFonts w:hint="eastAsia" w:asciiTheme="majorEastAsia" w:hAnsiTheme="majorEastAsia" w:eastAsiaTheme="majorEastAsia" w:cstheme="minorEastAsia"/>
                <w:sz w:val="24"/>
                <w:u w:val="single"/>
              </w:rPr>
            </w:pPr>
            <w:r>
              <w:rPr>
                <w:rFonts w:hint="eastAsia" w:asciiTheme="majorEastAsia" w:hAnsiTheme="majorEastAsia" w:eastAsiaTheme="majorEastAsia" w:cstheme="minorEastAsia"/>
                <w:sz w:val="24"/>
              </w:rPr>
              <w:t>□其他（请文字说明其他活动内容）</w:t>
            </w:r>
          </w:p>
          <w:p w14:paraId="4EAA00A1">
            <w:pPr>
              <w:rPr>
                <w:rFonts w:hint="eastAsia" w:asciiTheme="majorEastAsia" w:hAnsiTheme="majorEastAsia" w:eastAsiaTheme="majorEastAsia" w:cstheme="minorEastAsia"/>
                <w:sz w:val="24"/>
              </w:rPr>
            </w:pPr>
          </w:p>
        </w:tc>
      </w:tr>
      <w:tr w14:paraId="6240796F">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85" w:type="dxa"/>
            <w:vAlign w:val="center"/>
          </w:tcPr>
          <w:p w14:paraId="1B5E7A3E">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接待时间</w:t>
            </w:r>
          </w:p>
        </w:tc>
        <w:tc>
          <w:tcPr>
            <w:tcW w:w="7513" w:type="dxa"/>
            <w:vAlign w:val="center"/>
          </w:tcPr>
          <w:p w14:paraId="1C2EC1F6">
            <w:pPr>
              <w:rPr>
                <w:rFonts w:hint="eastAsia" w:asciiTheme="majorEastAsia" w:hAnsiTheme="majorEastAsia" w:eastAsiaTheme="majorEastAsia" w:cstheme="minorEastAsia"/>
                <w:sz w:val="24"/>
              </w:rPr>
            </w:pPr>
            <w:r>
              <w:rPr>
                <w:rFonts w:ascii="Times New Roman" w:hAnsi="Times New Roman" w:eastAsiaTheme="majorEastAsia"/>
                <w:sz w:val="24"/>
              </w:rPr>
              <w:t>2025</w:t>
            </w:r>
            <w:r>
              <w:rPr>
                <w:rFonts w:hint="eastAsia" w:asciiTheme="majorEastAsia" w:hAnsiTheme="majorEastAsia" w:eastAsiaTheme="majorEastAsia" w:cstheme="minorEastAsia"/>
                <w:sz w:val="24"/>
              </w:rPr>
              <w:t>年</w:t>
            </w:r>
            <w:r>
              <w:rPr>
                <w:rFonts w:ascii="Times New Roman" w:hAnsi="Times New Roman" w:eastAsiaTheme="majorEastAsia"/>
                <w:sz w:val="24"/>
              </w:rPr>
              <w:t>9</w:t>
            </w:r>
            <w:r>
              <w:rPr>
                <w:rFonts w:hint="eastAsia" w:asciiTheme="majorEastAsia" w:hAnsiTheme="majorEastAsia" w:eastAsiaTheme="majorEastAsia" w:cstheme="minorEastAsia"/>
                <w:sz w:val="24"/>
              </w:rPr>
              <w:t>月</w:t>
            </w:r>
            <w:r>
              <w:rPr>
                <w:rFonts w:ascii="Times New Roman" w:hAnsi="Times New Roman" w:eastAsiaTheme="majorEastAsia"/>
                <w:sz w:val="24"/>
              </w:rPr>
              <w:t>29</w:t>
            </w:r>
            <w:r>
              <w:rPr>
                <w:rFonts w:hint="eastAsia" w:asciiTheme="majorEastAsia" w:hAnsiTheme="majorEastAsia" w:eastAsiaTheme="majorEastAsia" w:cstheme="minorEastAsia"/>
                <w:sz w:val="24"/>
              </w:rPr>
              <w:t>日</w:t>
            </w:r>
            <w:r>
              <w:rPr>
                <w:rFonts w:ascii="Times New Roman" w:hAnsi="Times New Roman" w:eastAsiaTheme="majorEastAsia"/>
                <w:sz w:val="24"/>
              </w:rPr>
              <w:t>14</w:t>
            </w:r>
            <w:r>
              <w:rPr>
                <w:rFonts w:hint="eastAsia" w:asciiTheme="majorEastAsia" w:hAnsiTheme="majorEastAsia" w:eastAsiaTheme="majorEastAsia" w:cstheme="minorEastAsia"/>
                <w:sz w:val="24"/>
              </w:rPr>
              <w:t>:</w:t>
            </w:r>
            <w:r>
              <w:rPr>
                <w:rFonts w:ascii="Times New Roman" w:hAnsi="Times New Roman" w:eastAsiaTheme="majorEastAsia"/>
                <w:sz w:val="24"/>
              </w:rPr>
              <w:t>30</w:t>
            </w:r>
            <w:r>
              <w:rPr>
                <w:rFonts w:hint="eastAsia" w:asciiTheme="majorEastAsia" w:hAnsiTheme="majorEastAsia" w:eastAsiaTheme="majorEastAsia" w:cstheme="minorEastAsia"/>
                <w:sz w:val="24"/>
              </w:rPr>
              <w:t>-</w:t>
            </w:r>
            <w:r>
              <w:rPr>
                <w:rFonts w:ascii="Times New Roman" w:hAnsi="Times New Roman" w:eastAsiaTheme="majorEastAsia"/>
                <w:sz w:val="24"/>
              </w:rPr>
              <w:t>15</w:t>
            </w:r>
            <w:r>
              <w:rPr>
                <w:rFonts w:hint="eastAsia" w:asciiTheme="majorEastAsia" w:hAnsiTheme="majorEastAsia" w:eastAsiaTheme="majorEastAsia" w:cstheme="minorEastAsia"/>
                <w:sz w:val="24"/>
              </w:rPr>
              <w:t>:</w:t>
            </w:r>
            <w:r>
              <w:rPr>
                <w:rFonts w:ascii="Times New Roman" w:hAnsi="Times New Roman" w:eastAsiaTheme="majorEastAsia"/>
                <w:sz w:val="24"/>
              </w:rPr>
              <w:t>30</w:t>
            </w:r>
          </w:p>
        </w:tc>
      </w:tr>
      <w:tr w14:paraId="02B1CCBC">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85" w:type="dxa"/>
            <w:vAlign w:val="center"/>
          </w:tcPr>
          <w:p w14:paraId="28CABF7B">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接待地点</w:t>
            </w:r>
          </w:p>
        </w:tc>
        <w:tc>
          <w:tcPr>
            <w:tcW w:w="7513" w:type="dxa"/>
            <w:vAlign w:val="center"/>
          </w:tcPr>
          <w:p w14:paraId="0DB5B72F">
            <w:pPr>
              <w:rPr>
                <w:rFonts w:hint="eastAsia" w:asciiTheme="majorEastAsia" w:hAnsiTheme="majorEastAsia" w:eastAsiaTheme="majorEastAsia" w:cstheme="minorEastAsia"/>
                <w:sz w:val="24"/>
              </w:rPr>
            </w:pPr>
            <w:r>
              <w:rPr>
                <w:rFonts w:asciiTheme="majorEastAsia" w:hAnsiTheme="majorEastAsia" w:eastAsiaTheme="majorEastAsia" w:cstheme="minorEastAsia"/>
                <w:sz w:val="24"/>
              </w:rPr>
              <w:t xml:space="preserve">上海市浦东新区金桥路 </w:t>
            </w:r>
            <w:r>
              <w:rPr>
                <w:rFonts w:ascii="Times New Roman" w:hAnsi="Times New Roman" w:eastAsiaTheme="majorEastAsia"/>
                <w:sz w:val="24"/>
              </w:rPr>
              <w:t>1398</w:t>
            </w:r>
            <w:r>
              <w:rPr>
                <w:rFonts w:asciiTheme="majorEastAsia" w:hAnsiTheme="majorEastAsia" w:eastAsiaTheme="majorEastAsia" w:cstheme="minorEastAsia"/>
                <w:sz w:val="24"/>
              </w:rPr>
              <w:t xml:space="preserve"> 号金台大厦 </w:t>
            </w:r>
            <w:r>
              <w:rPr>
                <w:rFonts w:ascii="Times New Roman" w:hAnsi="Times New Roman" w:eastAsiaTheme="majorEastAsia"/>
                <w:sz w:val="24"/>
              </w:rPr>
              <w:t>11</w:t>
            </w:r>
            <w:r>
              <w:rPr>
                <w:rFonts w:asciiTheme="majorEastAsia" w:hAnsiTheme="majorEastAsia" w:eastAsiaTheme="majorEastAsia" w:cstheme="minorEastAsia"/>
                <w:sz w:val="24"/>
              </w:rPr>
              <w:t xml:space="preserve"> 楼会议室</w:t>
            </w:r>
          </w:p>
        </w:tc>
      </w:tr>
      <w:tr w14:paraId="7141B27C">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985" w:type="dxa"/>
            <w:vAlign w:val="center"/>
          </w:tcPr>
          <w:p w14:paraId="4BEFC4B6">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上市公司</w:t>
            </w:r>
          </w:p>
          <w:p w14:paraId="2A6435C4">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接待人员姓名</w:t>
            </w:r>
          </w:p>
        </w:tc>
        <w:tc>
          <w:tcPr>
            <w:tcW w:w="7513" w:type="dxa"/>
            <w:vAlign w:val="center"/>
          </w:tcPr>
          <w:p w14:paraId="37C20B38">
            <w:pPr>
              <w:jc w:val="left"/>
              <w:rPr>
                <w:rFonts w:hint="eastAsia" w:asciiTheme="majorEastAsia" w:hAnsiTheme="majorEastAsia" w:eastAsiaTheme="majorEastAsia" w:cstheme="minorEastAsia"/>
                <w:sz w:val="24"/>
              </w:rPr>
            </w:pPr>
            <w:r>
              <w:rPr>
                <w:rFonts w:ascii="Times New Roman" w:hAnsi="Times New Roman" w:cstheme="minorEastAsia"/>
                <w:sz w:val="24"/>
              </w:rPr>
              <w:t>创始人、总裁：柴琇女士</w:t>
            </w:r>
          </w:p>
          <w:p w14:paraId="36730650">
            <w:pPr>
              <w:jc w:val="left"/>
              <w:rPr>
                <w:rFonts w:hint="eastAsia" w:asciiTheme="majorEastAsia" w:hAnsiTheme="majorEastAsia" w:eastAsiaTheme="majorEastAsia" w:cstheme="minorEastAsia"/>
                <w:sz w:val="24"/>
              </w:rPr>
            </w:pPr>
            <w:r>
              <w:rPr>
                <w:rFonts w:hint="eastAsia" w:asciiTheme="majorEastAsia" w:hAnsiTheme="majorEastAsia" w:eastAsiaTheme="majorEastAsia" w:cstheme="minorEastAsia"/>
                <w:sz w:val="24"/>
              </w:rPr>
              <w:t>投资者关系副总裁：胡宗田先生</w:t>
            </w:r>
          </w:p>
          <w:p w14:paraId="02EFA0AA">
            <w:pPr>
              <w:jc w:val="left"/>
              <w:rPr>
                <w:rFonts w:hint="eastAsia" w:asciiTheme="majorEastAsia" w:hAnsiTheme="majorEastAsia" w:eastAsiaTheme="majorEastAsia" w:cstheme="minorEastAsia"/>
                <w:sz w:val="24"/>
              </w:rPr>
            </w:pPr>
            <w:r>
              <w:rPr>
                <w:rFonts w:hint="eastAsia" w:asciiTheme="majorEastAsia" w:hAnsiTheme="majorEastAsia" w:eastAsiaTheme="majorEastAsia" w:cstheme="minorEastAsia"/>
                <w:sz w:val="24"/>
              </w:rPr>
              <w:t>投资者关系高级经理：周紫瑞女士</w:t>
            </w:r>
          </w:p>
          <w:p w14:paraId="5710A49B">
            <w:pPr>
              <w:jc w:val="left"/>
              <w:rPr>
                <w:rFonts w:hint="eastAsia" w:asciiTheme="majorEastAsia" w:hAnsiTheme="majorEastAsia" w:eastAsiaTheme="majorEastAsia" w:cstheme="minorEastAsia"/>
                <w:sz w:val="24"/>
              </w:rPr>
            </w:pPr>
            <w:r>
              <w:rPr>
                <w:rFonts w:asciiTheme="majorEastAsia" w:hAnsiTheme="majorEastAsia" w:eastAsiaTheme="majorEastAsia" w:cstheme="minorEastAsia"/>
                <w:sz w:val="24"/>
              </w:rPr>
              <w:t>证券事务</w:t>
            </w:r>
            <w:r>
              <w:rPr>
                <w:rFonts w:hint="eastAsia" w:asciiTheme="majorEastAsia" w:hAnsiTheme="majorEastAsia" w:eastAsiaTheme="majorEastAsia" w:cstheme="minorEastAsia"/>
                <w:sz w:val="24"/>
              </w:rPr>
              <w:t>高级经理：周阳帅先生</w:t>
            </w:r>
          </w:p>
        </w:tc>
      </w:tr>
      <w:tr w14:paraId="7CB4123E">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985" w:type="dxa"/>
            <w:vAlign w:val="center"/>
          </w:tcPr>
          <w:p w14:paraId="327F967A">
            <w:pPr>
              <w:jc w:val="center"/>
              <w:rPr>
                <w:rFonts w:hint="eastAsia" w:asciiTheme="majorEastAsia" w:hAnsiTheme="majorEastAsia" w:eastAsiaTheme="majorEastAsia" w:cstheme="minorEastAsia"/>
                <w:b/>
                <w:bCs/>
                <w:sz w:val="24"/>
              </w:rPr>
            </w:pPr>
            <w:bookmarkStart w:id="3" w:name="_Hlk208930425"/>
            <w:r>
              <w:rPr>
                <w:rFonts w:hint="eastAsia" w:asciiTheme="majorEastAsia" w:hAnsiTheme="majorEastAsia" w:eastAsiaTheme="majorEastAsia" w:cstheme="minorEastAsia"/>
                <w:b/>
                <w:bCs/>
                <w:sz w:val="24"/>
              </w:rPr>
              <w:t>参与单位</w:t>
            </w:r>
          </w:p>
          <w:p w14:paraId="13A3FD15">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名称及人员姓名</w:t>
            </w:r>
          </w:p>
        </w:tc>
        <w:tc>
          <w:tcPr>
            <w:tcW w:w="7513" w:type="dxa"/>
            <w:vAlign w:val="center"/>
          </w:tcPr>
          <w:p w14:paraId="01469EB0">
            <w:pPr>
              <w:ind w:right="120"/>
              <w:jc w:val="left"/>
              <w:rPr>
                <w:rFonts w:hint="eastAsia" w:asciiTheme="majorEastAsia" w:hAnsiTheme="majorEastAsia" w:eastAsiaTheme="majorEastAsia" w:cstheme="minorEastAsia"/>
                <w:sz w:val="24"/>
              </w:rPr>
            </w:pPr>
            <w:bookmarkStart w:id="4" w:name="OLE_LINK3"/>
            <w:r>
              <w:rPr>
                <w:rFonts w:hint="eastAsia" w:asciiTheme="majorEastAsia" w:hAnsiTheme="majorEastAsia" w:eastAsiaTheme="majorEastAsia" w:cstheme="minorEastAsia"/>
                <w:sz w:val="24"/>
              </w:rPr>
              <w:t>爱建证券资管、承风金萍、丹弈投资、德邦基金、亘曦资产、国信自营、华安基金、华西证券、浦银安盛、泉果基金、睿郡资产、霜叶创投、太平基金、彤源投资、兴业基金、中泰资管、紫金信托</w:t>
            </w:r>
            <w:bookmarkEnd w:id="4"/>
            <w:r>
              <w:rPr>
                <w:rFonts w:hint="eastAsia" w:asciiTheme="majorEastAsia" w:hAnsiTheme="majorEastAsia" w:eastAsiaTheme="majorEastAsia" w:cstheme="minorEastAsia"/>
                <w:sz w:val="24"/>
              </w:rPr>
              <w:t>（排名不分先后）</w:t>
            </w:r>
          </w:p>
        </w:tc>
      </w:tr>
      <w:bookmarkEnd w:id="3"/>
      <w:tr w14:paraId="6ED55EB1">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1985" w:type="dxa"/>
            <w:vAlign w:val="center"/>
          </w:tcPr>
          <w:p w14:paraId="14299470">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投资者关系活动</w:t>
            </w:r>
          </w:p>
          <w:p w14:paraId="55D4DFC2">
            <w:pPr>
              <w:jc w:val="center"/>
              <w:rPr>
                <w:rFonts w:hint="eastAsia" w:asciiTheme="majorEastAsia" w:hAnsiTheme="majorEastAsia" w:eastAsiaTheme="majorEastAsia" w:cstheme="minorEastAsia"/>
                <w:b/>
                <w:bCs/>
                <w:sz w:val="24"/>
              </w:rPr>
            </w:pPr>
            <w:r>
              <w:rPr>
                <w:rFonts w:hint="eastAsia" w:asciiTheme="majorEastAsia" w:hAnsiTheme="majorEastAsia" w:eastAsiaTheme="majorEastAsia" w:cstheme="minorEastAsia"/>
                <w:b/>
                <w:bCs/>
                <w:sz w:val="24"/>
              </w:rPr>
              <w:t>主要内容介绍</w:t>
            </w:r>
          </w:p>
        </w:tc>
        <w:tc>
          <w:tcPr>
            <w:tcW w:w="7513" w:type="dxa"/>
            <w:vAlign w:val="center"/>
          </w:tcPr>
          <w:p w14:paraId="01546CA3">
            <w:pPr>
              <w:rPr>
                <w:rFonts w:hint="eastAsia" w:asciiTheme="majorEastAsia" w:hAnsiTheme="majorEastAsia" w:eastAsiaTheme="majorEastAsia"/>
                <w:b/>
                <w:bCs/>
                <w:sz w:val="24"/>
              </w:rPr>
            </w:pPr>
            <w:r>
              <w:rPr>
                <w:rFonts w:asciiTheme="majorEastAsia" w:hAnsiTheme="majorEastAsia" w:eastAsiaTheme="majorEastAsia"/>
                <w:b/>
                <w:bCs/>
                <w:sz w:val="24"/>
              </w:rPr>
              <w:t>一、</w:t>
            </w:r>
            <w:r>
              <w:rPr>
                <w:rFonts w:hint="eastAsia" w:asciiTheme="majorEastAsia" w:hAnsiTheme="majorEastAsia" w:eastAsiaTheme="majorEastAsia"/>
                <w:b/>
                <w:bCs/>
                <w:sz w:val="24"/>
              </w:rPr>
              <w:t>公司“店效倍增”战略</w:t>
            </w:r>
            <w:r>
              <w:rPr>
                <w:rFonts w:asciiTheme="majorEastAsia" w:hAnsiTheme="majorEastAsia" w:eastAsiaTheme="majorEastAsia"/>
                <w:b/>
                <w:bCs/>
                <w:sz w:val="24"/>
              </w:rPr>
              <w:t>简要介绍</w:t>
            </w:r>
          </w:p>
          <w:p w14:paraId="67785D40">
            <w:pPr>
              <w:rPr>
                <w:rFonts w:hint="eastAsia" w:asciiTheme="majorEastAsia" w:hAnsiTheme="majorEastAsia" w:eastAsiaTheme="majorEastAsia"/>
                <w:sz w:val="24"/>
              </w:rPr>
            </w:pPr>
            <w:r>
              <w:rPr>
                <w:rFonts w:hint="eastAsia" w:asciiTheme="majorEastAsia" w:hAnsiTheme="majorEastAsia" w:eastAsiaTheme="majorEastAsia"/>
                <w:sz w:val="24"/>
              </w:rPr>
              <w:t>公司内部明确 “店效倍增” 为头号工程，作为未来三年的长期战略，核心是以消费者为中心推动营销与经营转型：打造倒三角组织模型，将业务活动、资源配置向一线倾斜，从资源投入转向能力提升，既赋能造势又洞察消费需求，</w:t>
            </w:r>
            <w:r>
              <w:rPr>
                <w:rFonts w:ascii="Times New Roman" w:hAnsi="Times New Roman" w:eastAsiaTheme="majorEastAsia"/>
                <w:sz w:val="24"/>
              </w:rPr>
              <w:t>B</w:t>
            </w:r>
            <w:r>
              <w:rPr>
                <w:rFonts w:hint="eastAsia" w:asciiTheme="majorEastAsia" w:hAnsiTheme="majorEastAsia" w:eastAsiaTheme="majorEastAsia"/>
                <w:sz w:val="24"/>
              </w:rPr>
              <w:t>端和</w:t>
            </w:r>
            <w:r>
              <w:rPr>
                <w:rFonts w:ascii="Times New Roman" w:hAnsi="Times New Roman" w:eastAsiaTheme="majorEastAsia"/>
                <w:sz w:val="24"/>
              </w:rPr>
              <w:t>C</w:t>
            </w:r>
            <w:r>
              <w:rPr>
                <w:rFonts w:hint="eastAsia" w:asciiTheme="majorEastAsia" w:hAnsiTheme="majorEastAsia" w:eastAsiaTheme="majorEastAsia"/>
                <w:sz w:val="24"/>
              </w:rPr>
              <w:t>端、线上线下同步实施店效倍增战略，为高质量发展注入动力。</w:t>
            </w:r>
          </w:p>
          <w:p w14:paraId="5BA220AC">
            <w:pPr>
              <w:rPr>
                <w:rFonts w:hint="eastAsia" w:asciiTheme="majorEastAsia" w:hAnsiTheme="majorEastAsia" w:eastAsiaTheme="majorEastAsia"/>
                <w:sz w:val="24"/>
              </w:rPr>
            </w:pPr>
          </w:p>
          <w:p w14:paraId="131A5CF6">
            <w:pPr>
              <w:rPr>
                <w:rFonts w:hint="eastAsia" w:asciiTheme="majorEastAsia" w:hAnsiTheme="majorEastAsia" w:eastAsiaTheme="majorEastAsia"/>
                <w:b/>
                <w:bCs/>
                <w:sz w:val="24"/>
              </w:rPr>
            </w:pPr>
            <w:r>
              <w:rPr>
                <w:rFonts w:hint="eastAsia" w:asciiTheme="majorEastAsia" w:hAnsiTheme="majorEastAsia" w:eastAsiaTheme="majorEastAsia"/>
                <w:b/>
                <w:bCs/>
                <w:sz w:val="24"/>
              </w:rPr>
              <w:t>二</w:t>
            </w:r>
            <w:r>
              <w:rPr>
                <w:rFonts w:asciiTheme="majorEastAsia" w:hAnsiTheme="majorEastAsia" w:eastAsiaTheme="majorEastAsia"/>
                <w:b/>
                <w:bCs/>
                <w:sz w:val="24"/>
              </w:rPr>
              <w:t>、</w:t>
            </w:r>
            <w:r>
              <w:rPr>
                <w:rFonts w:hint="eastAsia" w:asciiTheme="majorEastAsia" w:hAnsiTheme="majorEastAsia" w:eastAsiaTheme="majorEastAsia"/>
                <w:b/>
                <w:bCs/>
                <w:sz w:val="24"/>
              </w:rPr>
              <w:t>投资者互动问答</w:t>
            </w:r>
          </w:p>
          <w:p w14:paraId="2565434A">
            <w:pPr>
              <w:rPr>
                <w:rFonts w:hint="eastAsia" w:asciiTheme="majorEastAsia" w:hAnsiTheme="majorEastAsia" w:eastAsiaTheme="majorEastAsia"/>
                <w:b/>
                <w:bCs/>
                <w:sz w:val="24"/>
              </w:rPr>
            </w:pPr>
            <w:r>
              <w:rPr>
                <w:rFonts w:ascii="Times New Roman" w:hAnsi="Times New Roman" w:eastAsiaTheme="majorEastAsia"/>
                <w:b/>
                <w:bCs/>
                <w:sz w:val="24"/>
              </w:rPr>
              <w:t>1</w:t>
            </w:r>
            <w:r>
              <w:rPr>
                <w:rFonts w:asciiTheme="majorEastAsia" w:hAnsiTheme="majorEastAsia" w:eastAsiaTheme="majorEastAsia"/>
                <w:b/>
                <w:bCs/>
                <w:sz w:val="24"/>
              </w:rPr>
              <w:t>、</w:t>
            </w:r>
            <w:r>
              <w:rPr>
                <w:rFonts w:hint="eastAsia" w:asciiTheme="majorEastAsia" w:hAnsiTheme="majorEastAsia" w:eastAsiaTheme="majorEastAsia"/>
                <w:b/>
                <w:bCs/>
                <w:sz w:val="24"/>
              </w:rPr>
              <w:t>请教一下</w:t>
            </w:r>
            <w:bookmarkStart w:id="5" w:name="OLE_LINK8"/>
            <w:r>
              <w:rPr>
                <w:rFonts w:ascii="Times New Roman" w:hAnsi="Times New Roman" w:eastAsiaTheme="majorEastAsia"/>
                <w:b/>
                <w:bCs/>
                <w:sz w:val="24"/>
              </w:rPr>
              <w:t>B</w:t>
            </w:r>
            <w:r>
              <w:rPr>
                <w:rFonts w:hint="eastAsia" w:asciiTheme="majorEastAsia" w:hAnsiTheme="majorEastAsia" w:eastAsiaTheme="majorEastAsia"/>
                <w:b/>
                <w:bCs/>
                <w:sz w:val="24"/>
              </w:rPr>
              <w:t>端</w:t>
            </w:r>
            <w:r>
              <w:rPr>
                <w:rFonts w:ascii="Times New Roman" w:hAnsi="Times New Roman" w:eastAsiaTheme="majorEastAsia"/>
                <w:b/>
                <w:bCs/>
                <w:sz w:val="24"/>
              </w:rPr>
              <w:t>C</w:t>
            </w:r>
            <w:r>
              <w:rPr>
                <w:rFonts w:asciiTheme="majorEastAsia" w:hAnsiTheme="majorEastAsia" w:eastAsiaTheme="majorEastAsia"/>
                <w:b/>
                <w:bCs/>
                <w:sz w:val="24"/>
              </w:rPr>
              <w:t>端</w:t>
            </w:r>
            <w:bookmarkEnd w:id="5"/>
            <w:r>
              <w:rPr>
                <w:rFonts w:asciiTheme="majorEastAsia" w:hAnsiTheme="majorEastAsia" w:eastAsiaTheme="majorEastAsia"/>
                <w:b/>
                <w:bCs/>
                <w:sz w:val="24"/>
              </w:rPr>
              <w:t>业务发展情况</w:t>
            </w:r>
            <w:r>
              <w:rPr>
                <w:rFonts w:hint="eastAsia" w:asciiTheme="majorEastAsia" w:hAnsiTheme="majorEastAsia" w:eastAsiaTheme="majorEastAsia"/>
                <w:b/>
                <w:bCs/>
                <w:sz w:val="24"/>
              </w:rPr>
              <w:t>，从</w:t>
            </w:r>
            <w:r>
              <w:rPr>
                <w:rFonts w:asciiTheme="majorEastAsia" w:hAnsiTheme="majorEastAsia" w:eastAsiaTheme="majorEastAsia"/>
                <w:b/>
                <w:bCs/>
                <w:sz w:val="24"/>
              </w:rPr>
              <w:t>国产替代进展、</w:t>
            </w:r>
            <w:r>
              <w:rPr>
                <w:rFonts w:ascii="Times New Roman" w:hAnsi="Times New Roman" w:eastAsiaTheme="majorEastAsia"/>
                <w:b/>
                <w:bCs/>
                <w:sz w:val="24"/>
              </w:rPr>
              <w:t>B</w:t>
            </w:r>
            <w:r>
              <w:rPr>
                <w:rFonts w:asciiTheme="majorEastAsia" w:hAnsiTheme="majorEastAsia" w:eastAsiaTheme="majorEastAsia"/>
                <w:b/>
                <w:bCs/>
                <w:sz w:val="24"/>
              </w:rPr>
              <w:t>端与外资竞争优势、</w:t>
            </w:r>
            <w:r>
              <w:rPr>
                <w:rFonts w:ascii="Times New Roman" w:hAnsi="Times New Roman" w:eastAsiaTheme="majorEastAsia"/>
                <w:b/>
                <w:bCs/>
                <w:sz w:val="24"/>
              </w:rPr>
              <w:t>C</w:t>
            </w:r>
            <w:r>
              <w:rPr>
                <w:rFonts w:asciiTheme="majorEastAsia" w:hAnsiTheme="majorEastAsia" w:eastAsiaTheme="majorEastAsia"/>
                <w:b/>
                <w:bCs/>
                <w:sz w:val="24"/>
              </w:rPr>
              <w:t>端山姆业务进展，以及</w:t>
            </w:r>
            <w:r>
              <w:rPr>
                <w:rFonts w:ascii="Times New Roman" w:hAnsi="Times New Roman" w:eastAsiaTheme="majorEastAsia"/>
                <w:b/>
                <w:bCs/>
                <w:sz w:val="24"/>
              </w:rPr>
              <w:t>9</w:t>
            </w:r>
            <w:r>
              <w:rPr>
                <w:rFonts w:asciiTheme="majorEastAsia" w:hAnsiTheme="majorEastAsia" w:eastAsiaTheme="majorEastAsia"/>
                <w:b/>
                <w:bCs/>
                <w:sz w:val="24"/>
              </w:rPr>
              <w:t>月发货环比增速、</w:t>
            </w:r>
            <w:r>
              <w:rPr>
                <w:rFonts w:hint="eastAsia" w:asciiTheme="majorEastAsia" w:hAnsiTheme="majorEastAsia" w:eastAsiaTheme="majorEastAsia"/>
                <w:b/>
                <w:bCs/>
                <w:sz w:val="24"/>
              </w:rPr>
              <w:t>下半年</w:t>
            </w:r>
            <w:r>
              <w:rPr>
                <w:rFonts w:asciiTheme="majorEastAsia" w:hAnsiTheme="majorEastAsia" w:eastAsiaTheme="majorEastAsia"/>
                <w:b/>
                <w:bCs/>
                <w:sz w:val="24"/>
              </w:rPr>
              <w:t>利润率趋势</w:t>
            </w:r>
            <w:r>
              <w:rPr>
                <w:rFonts w:hint="eastAsia" w:asciiTheme="majorEastAsia" w:hAnsiTheme="majorEastAsia" w:eastAsiaTheme="majorEastAsia"/>
                <w:b/>
                <w:bCs/>
                <w:sz w:val="24"/>
              </w:rPr>
              <w:t>几个角度和大家分享一下公司近况</w:t>
            </w:r>
            <w:r>
              <w:rPr>
                <w:rFonts w:asciiTheme="majorEastAsia" w:hAnsiTheme="majorEastAsia" w:eastAsiaTheme="majorEastAsia"/>
                <w:b/>
                <w:bCs/>
                <w:sz w:val="24"/>
              </w:rPr>
              <w:t>？</w:t>
            </w:r>
          </w:p>
          <w:p w14:paraId="44E953D2">
            <w:pPr>
              <w:rPr>
                <w:rFonts w:hint="eastAsia" w:asciiTheme="majorEastAsia" w:hAnsiTheme="majorEastAsia" w:eastAsiaTheme="majorEastAsia"/>
                <w:sz w:val="24"/>
              </w:rPr>
            </w:pPr>
            <w:r>
              <w:rPr>
                <w:rFonts w:asciiTheme="majorEastAsia" w:hAnsiTheme="majorEastAsia" w:eastAsiaTheme="majorEastAsia"/>
                <w:b/>
                <w:bCs/>
                <w:sz w:val="24"/>
              </w:rPr>
              <w:t>答：</w:t>
            </w:r>
            <w:r>
              <w:rPr>
                <w:rFonts w:asciiTheme="majorEastAsia" w:hAnsiTheme="majorEastAsia" w:eastAsiaTheme="majorEastAsia"/>
                <w:sz w:val="24"/>
              </w:rPr>
              <w:t>当前市场整体趋势向好，</w:t>
            </w:r>
            <w:bookmarkStart w:id="6" w:name="OLE_LINK9"/>
            <w:r>
              <w:rPr>
                <w:rFonts w:asciiTheme="majorEastAsia" w:hAnsiTheme="majorEastAsia" w:eastAsiaTheme="majorEastAsia"/>
                <w:sz w:val="24"/>
              </w:rPr>
              <w:t>公司</w:t>
            </w:r>
            <w:r>
              <w:rPr>
                <w:rFonts w:ascii="Times New Roman" w:hAnsi="Times New Roman" w:eastAsiaTheme="majorEastAsia"/>
                <w:sz w:val="24"/>
              </w:rPr>
              <w:t>B</w:t>
            </w:r>
            <w:r>
              <w:rPr>
                <w:rFonts w:hint="eastAsia" w:asciiTheme="majorEastAsia" w:hAnsiTheme="majorEastAsia" w:eastAsiaTheme="majorEastAsia"/>
                <w:sz w:val="24"/>
              </w:rPr>
              <w:t>端</w:t>
            </w:r>
            <w:r>
              <w:rPr>
                <w:rFonts w:ascii="Times New Roman" w:hAnsi="Times New Roman" w:eastAsiaTheme="majorEastAsia"/>
                <w:sz w:val="24"/>
              </w:rPr>
              <w:t>C</w:t>
            </w:r>
            <w:r>
              <w:rPr>
                <w:rFonts w:asciiTheme="majorEastAsia" w:hAnsiTheme="majorEastAsia" w:eastAsiaTheme="majorEastAsia"/>
                <w:sz w:val="24"/>
              </w:rPr>
              <w:t>端</w:t>
            </w:r>
            <w:bookmarkEnd w:id="6"/>
            <w:r>
              <w:rPr>
                <w:rFonts w:asciiTheme="majorEastAsia" w:hAnsiTheme="majorEastAsia" w:eastAsiaTheme="majorEastAsia"/>
                <w:sz w:val="24"/>
              </w:rPr>
              <w:t>业务协同推进成效显著。公司自</w:t>
            </w:r>
            <w:r>
              <w:rPr>
                <w:rFonts w:ascii="Times New Roman" w:hAnsi="Times New Roman" w:eastAsiaTheme="majorEastAsia"/>
                <w:sz w:val="24"/>
              </w:rPr>
              <w:t>2023</w:t>
            </w:r>
            <w:r>
              <w:rPr>
                <w:rFonts w:asciiTheme="majorEastAsia" w:hAnsiTheme="majorEastAsia" w:eastAsiaTheme="majorEastAsia"/>
                <w:sz w:val="24"/>
              </w:rPr>
              <w:t>年启动国产原制奶酪项目以来，原料国产化占比持续提升，四季度将进一步深化，不仅有效控制成本，更逐步摆脱对国外原料的依赖；自蒙牛奶酪业务并入妙可蓝多后，蒙牛</w:t>
            </w:r>
            <w:r>
              <w:rPr>
                <w:rFonts w:hint="eastAsia" w:asciiTheme="majorEastAsia" w:hAnsiTheme="majorEastAsia" w:eastAsiaTheme="majorEastAsia"/>
                <w:sz w:val="24"/>
              </w:rPr>
              <w:t>集团就</w:t>
            </w:r>
            <w:r>
              <w:rPr>
                <w:rFonts w:asciiTheme="majorEastAsia" w:hAnsiTheme="majorEastAsia" w:eastAsiaTheme="majorEastAsia"/>
                <w:sz w:val="24"/>
              </w:rPr>
              <w:t>将妙可蓝多供应链</w:t>
            </w:r>
            <w:r>
              <w:rPr>
                <w:rFonts w:hint="eastAsia" w:asciiTheme="majorEastAsia" w:hAnsiTheme="majorEastAsia" w:eastAsiaTheme="majorEastAsia"/>
                <w:sz w:val="24"/>
              </w:rPr>
              <w:t>赋能</w:t>
            </w:r>
            <w:r>
              <w:rPr>
                <w:rFonts w:asciiTheme="majorEastAsia" w:hAnsiTheme="majorEastAsia" w:eastAsiaTheme="majorEastAsia"/>
                <w:sz w:val="24"/>
              </w:rPr>
              <w:t>纳入集团大战略，为</w:t>
            </w:r>
            <w:r>
              <w:rPr>
                <w:rFonts w:hint="eastAsia" w:asciiTheme="majorEastAsia" w:hAnsiTheme="majorEastAsia" w:eastAsiaTheme="majorEastAsia"/>
                <w:sz w:val="24"/>
              </w:rPr>
              <w:t>妙可蓝多</w:t>
            </w:r>
            <w:r>
              <w:rPr>
                <w:rFonts w:asciiTheme="majorEastAsia" w:hAnsiTheme="majorEastAsia" w:eastAsiaTheme="majorEastAsia"/>
                <w:sz w:val="24"/>
              </w:rPr>
              <w:t>国产供应链替代提供坚实保障。</w:t>
            </w:r>
            <w:r>
              <w:rPr>
                <w:rFonts w:ascii="Times New Roman" w:hAnsi="Times New Roman" w:eastAsiaTheme="majorEastAsia"/>
                <w:sz w:val="24"/>
              </w:rPr>
              <w:t>B</w:t>
            </w:r>
            <w:r>
              <w:rPr>
                <w:rFonts w:asciiTheme="majorEastAsia" w:hAnsiTheme="majorEastAsia" w:eastAsiaTheme="majorEastAsia"/>
                <w:sz w:val="24"/>
              </w:rPr>
              <w:t>端合作方面，公司凭借供应链国产化带来的成本优势、蒙牛赋能下的</w:t>
            </w:r>
            <w:r>
              <w:rPr>
                <w:rFonts w:hint="eastAsia" w:asciiTheme="majorEastAsia" w:hAnsiTheme="majorEastAsia" w:eastAsiaTheme="majorEastAsia"/>
                <w:sz w:val="24"/>
              </w:rPr>
              <w:t>奶源布局、</w:t>
            </w:r>
            <w:r>
              <w:rPr>
                <w:rFonts w:asciiTheme="majorEastAsia" w:hAnsiTheme="majorEastAsia" w:eastAsiaTheme="majorEastAsia"/>
                <w:sz w:val="24"/>
              </w:rPr>
              <w:t>产能保障和及时的服务响应能力，相较外资品牌更具竞争力；</w:t>
            </w:r>
            <w:r>
              <w:rPr>
                <w:rFonts w:ascii="Times New Roman" w:hAnsi="Times New Roman" w:eastAsiaTheme="majorEastAsia"/>
                <w:sz w:val="24"/>
              </w:rPr>
              <w:t>C</w:t>
            </w:r>
            <w:r>
              <w:rPr>
                <w:rFonts w:asciiTheme="majorEastAsia" w:hAnsiTheme="majorEastAsia" w:eastAsiaTheme="majorEastAsia"/>
                <w:sz w:val="24"/>
              </w:rPr>
              <w:t>端产品进入山姆渠道进展顺利，奶酪新品</w:t>
            </w:r>
            <w:r>
              <w:rPr>
                <w:rFonts w:hint="eastAsia" w:asciiTheme="majorEastAsia" w:hAnsiTheme="majorEastAsia" w:eastAsiaTheme="majorEastAsia"/>
                <w:sz w:val="24"/>
              </w:rPr>
              <w:t>奶酪坚果脆</w:t>
            </w:r>
            <w:r>
              <w:rPr>
                <w:rFonts w:asciiTheme="majorEastAsia" w:hAnsiTheme="majorEastAsia" w:eastAsiaTheme="majorEastAsia"/>
                <w:sz w:val="24"/>
              </w:rPr>
              <w:t>入驻山姆首月便展现良好势头，后续</w:t>
            </w:r>
            <w:r>
              <w:rPr>
                <w:rFonts w:hint="eastAsia" w:asciiTheme="majorEastAsia" w:hAnsiTheme="majorEastAsia" w:eastAsiaTheme="majorEastAsia"/>
                <w:sz w:val="24"/>
              </w:rPr>
              <w:t>通过</w:t>
            </w:r>
            <w:r>
              <w:rPr>
                <w:rFonts w:asciiTheme="majorEastAsia" w:hAnsiTheme="majorEastAsia" w:eastAsiaTheme="majorEastAsia"/>
                <w:sz w:val="24"/>
              </w:rPr>
              <w:t>开展试吃</w:t>
            </w:r>
            <w:r>
              <w:rPr>
                <w:rFonts w:hint="eastAsia" w:asciiTheme="majorEastAsia" w:hAnsiTheme="majorEastAsia" w:eastAsiaTheme="majorEastAsia"/>
                <w:sz w:val="24"/>
              </w:rPr>
              <w:t>等方式</w:t>
            </w:r>
            <w:r>
              <w:rPr>
                <w:rFonts w:asciiTheme="majorEastAsia" w:hAnsiTheme="majorEastAsia" w:eastAsiaTheme="majorEastAsia"/>
                <w:sz w:val="24"/>
              </w:rPr>
              <w:t>，为“店效倍增”提供</w:t>
            </w:r>
            <w:r>
              <w:rPr>
                <w:rFonts w:hint="eastAsia" w:asciiTheme="majorEastAsia" w:hAnsiTheme="majorEastAsia" w:eastAsiaTheme="majorEastAsia"/>
                <w:sz w:val="24"/>
              </w:rPr>
              <w:t>业绩</w:t>
            </w:r>
            <w:r>
              <w:rPr>
                <w:rFonts w:asciiTheme="majorEastAsia" w:hAnsiTheme="majorEastAsia" w:eastAsiaTheme="majorEastAsia"/>
                <w:sz w:val="24"/>
              </w:rPr>
              <w:t>支撑。</w:t>
            </w:r>
            <w:r>
              <w:rPr>
                <w:rFonts w:hint="eastAsia" w:asciiTheme="majorEastAsia" w:hAnsiTheme="majorEastAsia" w:eastAsiaTheme="majorEastAsia"/>
                <w:sz w:val="24"/>
              </w:rPr>
              <w:t>虽然</w:t>
            </w:r>
            <w:r>
              <w:rPr>
                <w:rFonts w:asciiTheme="majorEastAsia" w:hAnsiTheme="majorEastAsia" w:eastAsiaTheme="majorEastAsia"/>
                <w:sz w:val="24"/>
              </w:rPr>
              <w:t>历史上三季度</w:t>
            </w:r>
            <w:r>
              <w:rPr>
                <w:rFonts w:hint="eastAsia" w:asciiTheme="majorEastAsia" w:hAnsiTheme="majorEastAsia" w:eastAsiaTheme="majorEastAsia"/>
                <w:sz w:val="24"/>
              </w:rPr>
              <w:t>，</w:t>
            </w:r>
            <w:r>
              <w:rPr>
                <w:rFonts w:asciiTheme="majorEastAsia" w:hAnsiTheme="majorEastAsia" w:eastAsiaTheme="majorEastAsia"/>
                <w:sz w:val="24"/>
              </w:rPr>
              <w:t>尤其</w:t>
            </w:r>
            <w:r>
              <w:rPr>
                <w:rFonts w:hint="eastAsia" w:asciiTheme="majorEastAsia" w:hAnsiTheme="majorEastAsia" w:eastAsiaTheme="majorEastAsia"/>
                <w:sz w:val="24"/>
              </w:rPr>
              <w:t>是</w:t>
            </w:r>
            <w:r>
              <w:rPr>
                <w:rFonts w:ascii="Times New Roman" w:hAnsi="Times New Roman" w:eastAsiaTheme="majorEastAsia"/>
                <w:sz w:val="24"/>
              </w:rPr>
              <w:t>7</w:t>
            </w:r>
            <w:r>
              <w:rPr>
                <w:rFonts w:asciiTheme="majorEastAsia" w:hAnsiTheme="majorEastAsia" w:eastAsiaTheme="majorEastAsia"/>
                <w:sz w:val="24"/>
              </w:rPr>
              <w:t>-</w:t>
            </w:r>
            <w:r>
              <w:rPr>
                <w:rFonts w:ascii="Times New Roman" w:hAnsi="Times New Roman" w:eastAsiaTheme="majorEastAsia"/>
                <w:sz w:val="24"/>
              </w:rPr>
              <w:t>8</w:t>
            </w:r>
            <w:r>
              <w:rPr>
                <w:rFonts w:asciiTheme="majorEastAsia" w:hAnsiTheme="majorEastAsia" w:eastAsiaTheme="majorEastAsia"/>
                <w:sz w:val="24"/>
              </w:rPr>
              <w:t>月</w:t>
            </w:r>
            <w:r>
              <w:rPr>
                <w:rFonts w:hint="eastAsia" w:asciiTheme="majorEastAsia" w:hAnsiTheme="majorEastAsia" w:eastAsiaTheme="majorEastAsia"/>
                <w:sz w:val="24"/>
              </w:rPr>
              <w:t>是传统</w:t>
            </w:r>
            <w:r>
              <w:rPr>
                <w:rFonts w:asciiTheme="majorEastAsia" w:hAnsiTheme="majorEastAsia" w:eastAsiaTheme="majorEastAsia"/>
                <w:sz w:val="24"/>
              </w:rPr>
              <w:t>淡季，而今年依托“店效倍增”战略</w:t>
            </w:r>
            <w:r>
              <w:rPr>
                <w:rFonts w:hint="eastAsia" w:asciiTheme="majorEastAsia" w:hAnsiTheme="majorEastAsia" w:eastAsiaTheme="majorEastAsia"/>
                <w:sz w:val="24"/>
              </w:rPr>
              <w:t>，强化</w:t>
            </w:r>
            <w:r>
              <w:rPr>
                <w:rFonts w:asciiTheme="majorEastAsia" w:hAnsiTheme="majorEastAsia" w:eastAsiaTheme="majorEastAsia"/>
                <w:sz w:val="24"/>
              </w:rPr>
              <w:t>动销</w:t>
            </w:r>
            <w:r>
              <w:rPr>
                <w:rFonts w:hint="eastAsia" w:asciiTheme="majorEastAsia" w:hAnsiTheme="majorEastAsia" w:eastAsiaTheme="majorEastAsia"/>
                <w:sz w:val="24"/>
              </w:rPr>
              <w:t>，</w:t>
            </w:r>
            <w:r>
              <w:rPr>
                <w:rFonts w:ascii="Times New Roman" w:hAnsi="Times New Roman" w:eastAsiaTheme="majorEastAsia"/>
                <w:sz w:val="24"/>
              </w:rPr>
              <w:t>9</w:t>
            </w:r>
            <w:r>
              <w:rPr>
                <w:rFonts w:asciiTheme="majorEastAsia" w:hAnsiTheme="majorEastAsia" w:eastAsiaTheme="majorEastAsia"/>
                <w:sz w:val="24"/>
              </w:rPr>
              <w:t>月</w:t>
            </w:r>
            <w:r>
              <w:rPr>
                <w:rFonts w:ascii="Times New Roman" w:hAnsi="Times New Roman" w:eastAsiaTheme="majorEastAsia"/>
                <w:sz w:val="24"/>
              </w:rPr>
              <w:t>B</w:t>
            </w:r>
            <w:r>
              <w:rPr>
                <w:rFonts w:asciiTheme="majorEastAsia" w:hAnsiTheme="majorEastAsia" w:eastAsiaTheme="majorEastAsia"/>
                <w:sz w:val="24"/>
              </w:rPr>
              <w:t>端</w:t>
            </w:r>
            <w:r>
              <w:rPr>
                <w:rFonts w:ascii="Times New Roman" w:hAnsi="Times New Roman" w:eastAsiaTheme="majorEastAsia"/>
                <w:sz w:val="24"/>
              </w:rPr>
              <w:t>C</w:t>
            </w:r>
            <w:r>
              <w:rPr>
                <w:rFonts w:asciiTheme="majorEastAsia" w:hAnsiTheme="majorEastAsia" w:eastAsiaTheme="majorEastAsia"/>
                <w:sz w:val="24"/>
              </w:rPr>
              <w:t>端均有不错表现，</w:t>
            </w:r>
            <w:r>
              <w:rPr>
                <w:rFonts w:hint="eastAsia" w:asciiTheme="majorEastAsia" w:hAnsiTheme="majorEastAsia" w:eastAsiaTheme="majorEastAsia"/>
                <w:sz w:val="24"/>
              </w:rPr>
              <w:t>公司经营持续稳扎稳打</w:t>
            </w:r>
            <w:r>
              <w:rPr>
                <w:rFonts w:asciiTheme="majorEastAsia" w:hAnsiTheme="majorEastAsia" w:eastAsiaTheme="majorEastAsia"/>
                <w:sz w:val="24"/>
              </w:rPr>
              <w:t>。</w:t>
            </w:r>
          </w:p>
          <w:p w14:paraId="04444844">
            <w:pPr>
              <w:rPr>
                <w:rFonts w:hint="eastAsia" w:asciiTheme="majorEastAsia" w:hAnsiTheme="majorEastAsia" w:eastAsiaTheme="majorEastAsia"/>
                <w:sz w:val="24"/>
              </w:rPr>
            </w:pPr>
          </w:p>
          <w:p w14:paraId="435936FA">
            <w:pPr>
              <w:rPr>
                <w:rFonts w:hint="eastAsia" w:asciiTheme="majorEastAsia" w:hAnsiTheme="majorEastAsia" w:eastAsiaTheme="majorEastAsia"/>
                <w:b/>
                <w:bCs/>
                <w:sz w:val="24"/>
              </w:rPr>
            </w:pPr>
            <w:r>
              <w:rPr>
                <w:rFonts w:ascii="Times New Roman" w:hAnsi="Times New Roman" w:eastAsiaTheme="majorEastAsia"/>
                <w:b/>
                <w:bCs/>
                <w:sz w:val="24"/>
              </w:rPr>
              <w:t>2</w:t>
            </w:r>
            <w:r>
              <w:rPr>
                <w:rFonts w:asciiTheme="majorEastAsia" w:hAnsiTheme="majorEastAsia" w:eastAsiaTheme="majorEastAsia"/>
                <w:b/>
                <w:bCs/>
                <w:sz w:val="24"/>
              </w:rPr>
              <w:t>、</w:t>
            </w:r>
            <w:r>
              <w:rPr>
                <w:rFonts w:hint="eastAsia" w:asciiTheme="majorEastAsia" w:hAnsiTheme="majorEastAsia" w:eastAsiaTheme="majorEastAsia"/>
                <w:b/>
                <w:bCs/>
                <w:sz w:val="24"/>
              </w:rPr>
              <w:t>公司在</w:t>
            </w:r>
            <w:r>
              <w:rPr>
                <w:rFonts w:asciiTheme="majorEastAsia" w:hAnsiTheme="majorEastAsia" w:eastAsiaTheme="majorEastAsia"/>
                <w:b/>
                <w:bCs/>
                <w:sz w:val="24"/>
              </w:rPr>
              <w:t>抖音平台</w:t>
            </w:r>
            <w:r>
              <w:rPr>
                <w:rFonts w:hint="eastAsia" w:asciiTheme="majorEastAsia" w:hAnsiTheme="majorEastAsia" w:eastAsiaTheme="majorEastAsia"/>
                <w:b/>
                <w:bCs/>
                <w:sz w:val="24"/>
              </w:rPr>
              <w:t>的</w:t>
            </w:r>
            <w:r>
              <w:rPr>
                <w:rFonts w:asciiTheme="majorEastAsia" w:hAnsiTheme="majorEastAsia" w:eastAsiaTheme="majorEastAsia"/>
                <w:b/>
                <w:bCs/>
                <w:sz w:val="24"/>
              </w:rPr>
              <w:t>盈利情况如何？</w:t>
            </w:r>
            <w:r>
              <w:rPr>
                <w:rFonts w:hint="eastAsia" w:asciiTheme="majorEastAsia" w:hAnsiTheme="majorEastAsia" w:eastAsiaTheme="majorEastAsia"/>
                <w:b/>
                <w:bCs/>
                <w:sz w:val="24"/>
              </w:rPr>
              <w:t>可以分享一下公司在会员商超和零食量贩渠道奶酪品类的打法和布局情况吗？</w:t>
            </w:r>
          </w:p>
          <w:p w14:paraId="7B4038EA">
            <w:pPr>
              <w:rPr>
                <w:rFonts w:hint="eastAsia" w:asciiTheme="majorEastAsia" w:hAnsiTheme="majorEastAsia" w:eastAsiaTheme="majorEastAsia"/>
                <w:sz w:val="24"/>
              </w:rPr>
            </w:pPr>
            <w:r>
              <w:rPr>
                <w:rFonts w:asciiTheme="majorEastAsia" w:hAnsiTheme="majorEastAsia" w:eastAsiaTheme="majorEastAsia"/>
                <w:b/>
                <w:bCs/>
                <w:sz w:val="24"/>
              </w:rPr>
              <w:t>答：</w:t>
            </w:r>
            <w:r>
              <w:rPr>
                <w:rFonts w:asciiTheme="majorEastAsia" w:hAnsiTheme="majorEastAsia" w:eastAsiaTheme="majorEastAsia"/>
                <w:sz w:val="24"/>
              </w:rPr>
              <w:t>抖音平台当前定位为品牌宣传与新品导入阵地，</w:t>
            </w:r>
            <w:r>
              <w:rPr>
                <w:rFonts w:hint="eastAsia" w:asciiTheme="majorEastAsia" w:hAnsiTheme="majorEastAsia" w:eastAsiaTheme="majorEastAsia"/>
                <w:sz w:val="24"/>
              </w:rPr>
              <w:t>线上投流侧重种草引流，承担引流费用，</w:t>
            </w:r>
            <w:r>
              <w:rPr>
                <w:rFonts w:asciiTheme="majorEastAsia" w:hAnsiTheme="majorEastAsia" w:eastAsiaTheme="majorEastAsia"/>
                <w:sz w:val="24"/>
              </w:rPr>
              <w:t>短期内仍处于市场培育阶段，</w:t>
            </w:r>
            <w:r>
              <w:rPr>
                <w:rFonts w:hint="eastAsia" w:asciiTheme="majorEastAsia" w:hAnsiTheme="majorEastAsia" w:eastAsiaTheme="majorEastAsia"/>
                <w:sz w:val="24"/>
              </w:rPr>
              <w:t>但通过带动</w:t>
            </w:r>
            <w:r>
              <w:rPr>
                <w:rFonts w:asciiTheme="majorEastAsia" w:hAnsiTheme="majorEastAsia" w:eastAsiaTheme="majorEastAsia"/>
                <w:sz w:val="24"/>
              </w:rPr>
              <w:t>天猫、京东等线上渠道</w:t>
            </w:r>
            <w:r>
              <w:rPr>
                <w:rFonts w:hint="eastAsia" w:asciiTheme="majorEastAsia" w:hAnsiTheme="majorEastAsia" w:eastAsiaTheme="majorEastAsia"/>
                <w:sz w:val="24"/>
              </w:rPr>
              <w:t>以及线下低温产品网点铺设与经销商联动，实现线上</w:t>
            </w:r>
            <w:r>
              <w:rPr>
                <w:rFonts w:asciiTheme="majorEastAsia" w:hAnsiTheme="majorEastAsia" w:eastAsiaTheme="majorEastAsia"/>
                <w:sz w:val="24"/>
              </w:rPr>
              <w:t>与</w:t>
            </w:r>
            <w:r>
              <w:rPr>
                <w:rFonts w:hint="eastAsia" w:asciiTheme="majorEastAsia" w:hAnsiTheme="majorEastAsia" w:eastAsiaTheme="majorEastAsia"/>
                <w:sz w:val="24"/>
              </w:rPr>
              <w:t>线下整合盈利，儿童成长杯、奶酪小三角等产品通过该模式已初见成效，</w:t>
            </w:r>
            <w:r>
              <w:rPr>
                <w:rFonts w:asciiTheme="majorEastAsia" w:hAnsiTheme="majorEastAsia" w:eastAsiaTheme="majorEastAsia"/>
                <w:sz w:val="24"/>
              </w:rPr>
              <w:t>明年公司抖音渠道</w:t>
            </w:r>
            <w:r>
              <w:rPr>
                <w:rFonts w:hint="eastAsia" w:asciiTheme="majorEastAsia" w:hAnsiTheme="majorEastAsia" w:eastAsiaTheme="majorEastAsia"/>
                <w:sz w:val="24"/>
              </w:rPr>
              <w:t>有望</w:t>
            </w:r>
            <w:r>
              <w:rPr>
                <w:rFonts w:asciiTheme="majorEastAsia" w:hAnsiTheme="majorEastAsia" w:eastAsiaTheme="majorEastAsia"/>
                <w:sz w:val="24"/>
              </w:rPr>
              <w:t>实现更大增长。</w:t>
            </w:r>
          </w:p>
          <w:p w14:paraId="4C0496F2">
            <w:pPr>
              <w:rPr>
                <w:rFonts w:hint="eastAsia" w:asciiTheme="majorEastAsia" w:hAnsiTheme="majorEastAsia" w:eastAsiaTheme="majorEastAsia"/>
                <w:sz w:val="24"/>
              </w:rPr>
            </w:pPr>
            <w:r>
              <w:rPr>
                <w:rFonts w:hint="eastAsia" w:asciiTheme="majorEastAsia" w:hAnsiTheme="majorEastAsia" w:eastAsiaTheme="majorEastAsia"/>
                <w:sz w:val="24"/>
              </w:rPr>
              <w:t>目前</w:t>
            </w:r>
            <w:r>
              <w:rPr>
                <w:rFonts w:asciiTheme="majorEastAsia" w:hAnsiTheme="majorEastAsia" w:eastAsiaTheme="majorEastAsia"/>
                <w:sz w:val="24"/>
              </w:rPr>
              <w:t>公司</w:t>
            </w:r>
            <w:r>
              <w:rPr>
                <w:rFonts w:hint="eastAsia" w:asciiTheme="majorEastAsia" w:hAnsiTheme="majorEastAsia" w:eastAsiaTheme="majorEastAsia"/>
                <w:sz w:val="24"/>
              </w:rPr>
              <w:t>已与诸多头部商超建立深度合作，在奶酪品类中的龙头地位持续强化，渠道话语权不断提升。依托强劲的研发实力，公司可针对性为渠道定制产品，进一步巩固渠道优势。（</w:t>
            </w:r>
            <w:r>
              <w:rPr>
                <w:rFonts w:ascii="Times New Roman" w:hAnsi="Times New Roman" w:eastAsiaTheme="majorEastAsia"/>
                <w:sz w:val="24"/>
              </w:rPr>
              <w:t>1</w:t>
            </w:r>
            <w:r>
              <w:rPr>
                <w:rFonts w:hint="eastAsia" w:asciiTheme="majorEastAsia" w:hAnsiTheme="majorEastAsia" w:eastAsiaTheme="majorEastAsia"/>
                <w:sz w:val="24"/>
              </w:rPr>
              <w:t>）</w:t>
            </w:r>
            <w:r>
              <w:rPr>
                <w:rFonts w:asciiTheme="majorEastAsia" w:hAnsiTheme="majorEastAsia" w:eastAsiaTheme="majorEastAsia"/>
                <w:sz w:val="24"/>
              </w:rPr>
              <w:t>超市方面，奥乐齐</w:t>
            </w:r>
            <w:r>
              <w:rPr>
                <w:rFonts w:hint="eastAsia" w:asciiTheme="majorEastAsia" w:hAnsiTheme="majorEastAsia" w:eastAsiaTheme="majorEastAsia"/>
                <w:sz w:val="24"/>
              </w:rPr>
              <w:t>部分</w:t>
            </w:r>
            <w:r>
              <w:rPr>
                <w:rFonts w:asciiTheme="majorEastAsia" w:hAnsiTheme="majorEastAsia" w:eastAsiaTheme="majorEastAsia"/>
                <w:sz w:val="24"/>
              </w:rPr>
              <w:t>自有品牌奶酪产品由公司代工，依托公司充足产能可轻松满足需求；</w:t>
            </w:r>
            <w:r>
              <w:rPr>
                <w:rFonts w:hint="eastAsia" w:asciiTheme="majorEastAsia" w:hAnsiTheme="majorEastAsia" w:eastAsiaTheme="majorEastAsia"/>
                <w:sz w:val="24"/>
              </w:rPr>
              <w:t>与会员商超</w:t>
            </w:r>
            <w:r>
              <w:rPr>
                <w:rFonts w:asciiTheme="majorEastAsia" w:hAnsiTheme="majorEastAsia" w:eastAsiaTheme="majorEastAsia"/>
                <w:sz w:val="24"/>
              </w:rPr>
              <w:t>山姆合作，公司使用“妙可蓝多”品牌，通过品牌差异化强化市场竞争力。</w:t>
            </w:r>
            <w:r>
              <w:rPr>
                <w:rFonts w:hint="eastAsia" w:asciiTheme="majorEastAsia" w:hAnsiTheme="majorEastAsia" w:eastAsiaTheme="majorEastAsia"/>
                <w:sz w:val="24"/>
              </w:rPr>
              <w:t>（</w:t>
            </w:r>
            <w:r>
              <w:rPr>
                <w:rFonts w:ascii="Times New Roman" w:hAnsi="Times New Roman" w:eastAsiaTheme="majorEastAsia"/>
                <w:sz w:val="24"/>
              </w:rPr>
              <w:t>2</w:t>
            </w:r>
            <w:r>
              <w:rPr>
                <w:rFonts w:hint="eastAsia" w:asciiTheme="majorEastAsia" w:hAnsiTheme="majorEastAsia" w:eastAsiaTheme="majorEastAsia"/>
                <w:sz w:val="24"/>
              </w:rPr>
              <w:t>）</w:t>
            </w:r>
            <w:r>
              <w:rPr>
                <w:rFonts w:asciiTheme="majorEastAsia" w:hAnsiTheme="majorEastAsia" w:eastAsiaTheme="majorEastAsia"/>
                <w:sz w:val="24"/>
              </w:rPr>
              <w:t>在零食量贩渠道布局中，采用双品牌定价策略，</w:t>
            </w:r>
            <w:r>
              <w:rPr>
                <w:rFonts w:hint="eastAsia" w:asciiTheme="majorEastAsia" w:hAnsiTheme="majorEastAsia" w:eastAsiaTheme="majorEastAsia"/>
                <w:sz w:val="24"/>
              </w:rPr>
              <w:t>加大产品铺设，同时为零食量贩渠道提供奶酪产品定制。</w:t>
            </w:r>
          </w:p>
          <w:p w14:paraId="48E93059">
            <w:pPr>
              <w:rPr>
                <w:rFonts w:hint="eastAsia" w:asciiTheme="majorEastAsia" w:hAnsiTheme="majorEastAsia" w:eastAsiaTheme="majorEastAsia"/>
                <w:sz w:val="24"/>
              </w:rPr>
            </w:pPr>
          </w:p>
          <w:p w14:paraId="69D2AE12">
            <w:pPr>
              <w:rPr>
                <w:rFonts w:hint="eastAsia" w:asciiTheme="majorEastAsia" w:hAnsiTheme="majorEastAsia" w:eastAsiaTheme="majorEastAsia"/>
                <w:b/>
                <w:bCs/>
                <w:sz w:val="24"/>
              </w:rPr>
            </w:pPr>
            <w:r>
              <w:rPr>
                <w:rFonts w:ascii="Times New Roman" w:hAnsi="Times New Roman" w:eastAsiaTheme="majorEastAsia"/>
                <w:b/>
                <w:bCs/>
                <w:sz w:val="24"/>
              </w:rPr>
              <w:t>3</w:t>
            </w:r>
            <w:r>
              <w:rPr>
                <w:rFonts w:asciiTheme="majorEastAsia" w:hAnsiTheme="majorEastAsia" w:eastAsiaTheme="majorEastAsia"/>
                <w:b/>
                <w:bCs/>
                <w:sz w:val="24"/>
              </w:rPr>
              <w:t>、“店效倍增”作为公司目前头号工程，新品及产品矩阵将发挥何种作用？</w:t>
            </w:r>
          </w:p>
          <w:p w14:paraId="668AF133">
            <w:pPr>
              <w:rPr>
                <w:rFonts w:hint="eastAsia" w:asciiTheme="majorEastAsia" w:hAnsiTheme="majorEastAsia" w:eastAsiaTheme="majorEastAsia"/>
                <w:sz w:val="24"/>
              </w:rPr>
            </w:pPr>
            <w:r>
              <w:rPr>
                <w:rFonts w:asciiTheme="majorEastAsia" w:hAnsiTheme="majorEastAsia" w:eastAsiaTheme="majorEastAsia"/>
                <w:b/>
                <w:bCs/>
                <w:sz w:val="24"/>
              </w:rPr>
              <w:t>答：</w:t>
            </w:r>
            <w:r>
              <w:rPr>
                <w:rFonts w:hint="eastAsia" w:asciiTheme="majorEastAsia" w:hAnsiTheme="majorEastAsia" w:eastAsiaTheme="majorEastAsia"/>
                <w:sz w:val="24"/>
              </w:rPr>
              <w:t>“店销倍增”战略的本质是通过高附加值、高毛利率的产品实现经销商、促销员、终端与公司的多方共赢，依托品牌溢价支撑长期发展，</w:t>
            </w:r>
            <w:r>
              <w:rPr>
                <w:rFonts w:asciiTheme="majorEastAsia" w:hAnsiTheme="majorEastAsia" w:eastAsiaTheme="majorEastAsia"/>
                <w:sz w:val="24"/>
              </w:rPr>
              <w:t>新品及产品矩阵是核心支撑力量。公司以奶酪棒为旗舰产品，通过清洁标签升级</w:t>
            </w:r>
            <w:r>
              <w:rPr>
                <w:rFonts w:hint="eastAsia" w:asciiTheme="majorEastAsia" w:hAnsiTheme="majorEastAsia" w:eastAsiaTheme="majorEastAsia"/>
                <w:sz w:val="24"/>
              </w:rPr>
              <w:t>，</w:t>
            </w:r>
            <w:r>
              <w:rPr>
                <w:rFonts w:asciiTheme="majorEastAsia" w:hAnsiTheme="majorEastAsia" w:eastAsiaTheme="majorEastAsia"/>
                <w:sz w:val="24"/>
              </w:rPr>
              <w:t>融入“助力儿童长高”属性，精准匹配</w:t>
            </w:r>
            <w:r>
              <w:rPr>
                <w:rFonts w:hint="eastAsia" w:asciiTheme="majorEastAsia" w:hAnsiTheme="majorEastAsia" w:eastAsiaTheme="majorEastAsia"/>
                <w:sz w:val="24"/>
              </w:rPr>
              <w:t>大部分中国有孩</w:t>
            </w:r>
            <w:r>
              <w:rPr>
                <w:rFonts w:asciiTheme="majorEastAsia" w:hAnsiTheme="majorEastAsia" w:eastAsiaTheme="majorEastAsia"/>
                <w:sz w:val="24"/>
              </w:rPr>
              <w:t>家庭孩子的成长需求；奶酪片作为重点单品，公司引入最先进生产线，已完成常温化研发测试，可适配方便面、面包汉堡搭配、粥面佐餐等场景；小三角奶酪则根据不同地区优化推广话术，受产</w:t>
            </w:r>
            <w:r>
              <w:rPr>
                <w:rFonts w:hint="eastAsia" w:asciiTheme="majorEastAsia" w:hAnsiTheme="majorEastAsia" w:eastAsiaTheme="majorEastAsia"/>
                <w:sz w:val="24"/>
              </w:rPr>
              <w:t>能</w:t>
            </w:r>
            <w:r>
              <w:rPr>
                <w:rFonts w:asciiTheme="majorEastAsia" w:hAnsiTheme="majorEastAsia" w:eastAsiaTheme="majorEastAsia"/>
                <w:sz w:val="24"/>
              </w:rPr>
              <w:t>限制暂聚焦现有产能转化效率提升。同时，公司主动缩减低效</w:t>
            </w:r>
            <w:r>
              <w:rPr>
                <w:rFonts w:ascii="Times New Roman" w:hAnsi="Times New Roman" w:eastAsiaTheme="majorEastAsia"/>
                <w:sz w:val="24"/>
              </w:rPr>
              <w:t>SKU</w:t>
            </w:r>
            <w:r>
              <w:rPr>
                <w:rFonts w:asciiTheme="majorEastAsia" w:hAnsiTheme="majorEastAsia" w:eastAsiaTheme="majorEastAsia"/>
                <w:sz w:val="24"/>
              </w:rPr>
              <w:t>，将关键资源集中于核心单品，通过优化产品与消费者需求的匹配度、提升转化率与客单价、补充流量缺口等举措，全力打造极致品质产品矩阵，为“店效倍增”提供持续动力。</w:t>
            </w:r>
          </w:p>
          <w:p w14:paraId="0BD5DA93">
            <w:pPr>
              <w:rPr>
                <w:rFonts w:hint="eastAsia" w:asciiTheme="majorEastAsia" w:hAnsiTheme="majorEastAsia" w:eastAsiaTheme="majorEastAsia"/>
                <w:sz w:val="24"/>
              </w:rPr>
            </w:pPr>
          </w:p>
          <w:p w14:paraId="03694731">
            <w:pPr>
              <w:rPr>
                <w:rFonts w:hint="eastAsia" w:asciiTheme="majorEastAsia" w:hAnsiTheme="majorEastAsia" w:eastAsiaTheme="majorEastAsia"/>
                <w:b/>
                <w:bCs/>
                <w:sz w:val="24"/>
              </w:rPr>
            </w:pPr>
            <w:r>
              <w:rPr>
                <w:rFonts w:ascii="Times New Roman" w:hAnsi="Times New Roman" w:eastAsiaTheme="majorEastAsia"/>
                <w:b/>
                <w:bCs/>
                <w:sz w:val="24"/>
              </w:rPr>
              <w:t>4</w:t>
            </w:r>
            <w:r>
              <w:rPr>
                <w:rFonts w:asciiTheme="majorEastAsia" w:hAnsiTheme="majorEastAsia" w:eastAsiaTheme="majorEastAsia"/>
                <w:b/>
                <w:bCs/>
                <w:sz w:val="24"/>
              </w:rPr>
              <w:t>、公司销售团队人员配置现状如何？明年</w:t>
            </w:r>
            <w:r>
              <w:rPr>
                <w:rFonts w:hint="eastAsia" w:asciiTheme="majorEastAsia" w:hAnsiTheme="majorEastAsia" w:eastAsiaTheme="majorEastAsia"/>
                <w:b/>
                <w:bCs/>
                <w:sz w:val="24"/>
              </w:rPr>
              <w:t>公司在这方面的</w:t>
            </w:r>
            <w:r>
              <w:rPr>
                <w:rFonts w:asciiTheme="majorEastAsia" w:hAnsiTheme="majorEastAsia" w:eastAsiaTheme="majorEastAsia"/>
                <w:b/>
                <w:bCs/>
                <w:sz w:val="24"/>
              </w:rPr>
              <w:t>人员规划</w:t>
            </w:r>
            <w:r>
              <w:rPr>
                <w:rFonts w:hint="eastAsia" w:asciiTheme="majorEastAsia" w:hAnsiTheme="majorEastAsia" w:eastAsiaTheme="majorEastAsia"/>
                <w:b/>
                <w:bCs/>
                <w:sz w:val="24"/>
              </w:rPr>
              <w:t>是什么</w:t>
            </w:r>
            <w:r>
              <w:rPr>
                <w:rFonts w:asciiTheme="majorEastAsia" w:hAnsiTheme="majorEastAsia" w:eastAsiaTheme="majorEastAsia"/>
                <w:b/>
                <w:bCs/>
                <w:sz w:val="24"/>
              </w:rPr>
              <w:t>？</w:t>
            </w:r>
          </w:p>
          <w:p w14:paraId="55059274">
            <w:pPr>
              <w:rPr>
                <w:rFonts w:hint="eastAsia" w:asciiTheme="majorEastAsia" w:hAnsiTheme="majorEastAsia" w:eastAsiaTheme="majorEastAsia"/>
                <w:sz w:val="24"/>
              </w:rPr>
            </w:pPr>
            <w:r>
              <w:rPr>
                <w:rFonts w:asciiTheme="majorEastAsia" w:hAnsiTheme="majorEastAsia" w:eastAsiaTheme="majorEastAsia"/>
                <w:b/>
                <w:bCs/>
                <w:sz w:val="24"/>
              </w:rPr>
              <w:t>答：</w:t>
            </w:r>
            <w:r>
              <w:rPr>
                <w:rFonts w:asciiTheme="majorEastAsia" w:hAnsiTheme="majorEastAsia" w:eastAsiaTheme="majorEastAsia"/>
                <w:sz w:val="24"/>
              </w:rPr>
              <w:t>学习优秀消费品同行经验</w:t>
            </w:r>
            <w:r>
              <w:rPr>
                <w:rFonts w:hint="eastAsia" w:asciiTheme="majorEastAsia" w:hAnsiTheme="majorEastAsia" w:eastAsiaTheme="majorEastAsia"/>
                <w:sz w:val="24"/>
              </w:rPr>
              <w:t>，也根据公司的发展战略</w:t>
            </w:r>
            <w:r>
              <w:rPr>
                <w:rFonts w:asciiTheme="majorEastAsia" w:hAnsiTheme="majorEastAsia" w:eastAsiaTheme="majorEastAsia"/>
                <w:sz w:val="24"/>
              </w:rPr>
              <w:t>，公司销售团队构建了“核心人员+社会资源协同”的配置模式，当前有约</w:t>
            </w:r>
            <w:r>
              <w:rPr>
                <w:rFonts w:ascii="Times New Roman" w:hAnsi="Times New Roman" w:eastAsiaTheme="majorEastAsia"/>
                <w:sz w:val="24"/>
              </w:rPr>
              <w:t>400</w:t>
            </w:r>
            <w:r>
              <w:rPr>
                <w:rFonts w:asciiTheme="majorEastAsia" w:hAnsiTheme="majorEastAsia" w:eastAsiaTheme="majorEastAsia"/>
                <w:sz w:val="24"/>
              </w:rPr>
              <w:t>名专职促销员，同时联动经销商、合作终端店长及收银员等促销有生力量，形成统一指挥的高效协作体系。明年销售团队规划将弱化对“在岗人员数量”的依赖，</w:t>
            </w:r>
            <w:r>
              <w:rPr>
                <w:rFonts w:hint="eastAsia" w:asciiTheme="majorEastAsia" w:hAnsiTheme="majorEastAsia" w:eastAsiaTheme="majorEastAsia"/>
                <w:sz w:val="24"/>
              </w:rPr>
              <w:t>转而通过能力提升、</w:t>
            </w:r>
            <w:r>
              <w:rPr>
                <w:rFonts w:asciiTheme="majorEastAsia" w:hAnsiTheme="majorEastAsia" w:eastAsiaTheme="majorEastAsia"/>
                <w:sz w:val="24"/>
              </w:rPr>
              <w:t>组织驱动强化经销商及社会促销资源的整合效率，将“店效倍增”打造为长期</w:t>
            </w:r>
            <w:r>
              <w:rPr>
                <w:rFonts w:hint="eastAsia" w:asciiTheme="majorEastAsia" w:hAnsiTheme="majorEastAsia" w:eastAsiaTheme="majorEastAsia"/>
                <w:sz w:val="24"/>
              </w:rPr>
              <w:t>战略，同时辅以奖励措施提升</w:t>
            </w:r>
            <w:r>
              <w:rPr>
                <w:rFonts w:asciiTheme="majorEastAsia" w:hAnsiTheme="majorEastAsia" w:eastAsiaTheme="majorEastAsia"/>
                <w:sz w:val="24"/>
              </w:rPr>
              <w:t>团队积极性，确保终端动销能力持续提升。</w:t>
            </w:r>
          </w:p>
          <w:p w14:paraId="1006FFDC">
            <w:pPr>
              <w:rPr>
                <w:rFonts w:hint="eastAsia" w:asciiTheme="majorEastAsia" w:hAnsiTheme="majorEastAsia" w:eastAsiaTheme="majorEastAsia"/>
                <w:sz w:val="24"/>
              </w:rPr>
            </w:pPr>
          </w:p>
          <w:p w14:paraId="41C383AC">
            <w:pPr>
              <w:rPr>
                <w:rFonts w:hint="eastAsia" w:asciiTheme="majorEastAsia" w:hAnsiTheme="majorEastAsia" w:eastAsiaTheme="majorEastAsia"/>
                <w:b/>
                <w:bCs/>
                <w:sz w:val="24"/>
              </w:rPr>
            </w:pPr>
            <w:r>
              <w:rPr>
                <w:rFonts w:ascii="Times New Roman" w:hAnsi="Times New Roman" w:eastAsiaTheme="majorEastAsia"/>
                <w:b/>
                <w:bCs/>
                <w:sz w:val="24"/>
              </w:rPr>
              <w:t>5</w:t>
            </w:r>
            <w:r>
              <w:rPr>
                <w:rFonts w:asciiTheme="majorEastAsia" w:hAnsiTheme="majorEastAsia" w:eastAsiaTheme="majorEastAsia"/>
                <w:b/>
                <w:bCs/>
                <w:sz w:val="24"/>
              </w:rPr>
              <w:t>、面对人口结构变化，公司将如何拓展奶酪产品市场？</w:t>
            </w:r>
          </w:p>
          <w:p w14:paraId="164FDDFF">
            <w:pPr>
              <w:rPr>
                <w:rFonts w:hint="eastAsia" w:asciiTheme="majorEastAsia" w:hAnsiTheme="majorEastAsia" w:eastAsiaTheme="majorEastAsia"/>
                <w:sz w:val="24"/>
              </w:rPr>
            </w:pPr>
            <w:r>
              <w:rPr>
                <w:rFonts w:asciiTheme="majorEastAsia" w:hAnsiTheme="majorEastAsia" w:eastAsiaTheme="majorEastAsia"/>
                <w:b/>
                <w:bCs/>
                <w:sz w:val="24"/>
              </w:rPr>
              <w:t>答：</w:t>
            </w:r>
            <w:r>
              <w:rPr>
                <w:rFonts w:asciiTheme="majorEastAsia" w:hAnsiTheme="majorEastAsia" w:eastAsiaTheme="majorEastAsia"/>
                <w:sz w:val="24"/>
              </w:rPr>
              <w:t>针对人口结构变化，公司通过“人群破圈”策略拓展市场边界。此前奶酪棒核心目标客群为</w:t>
            </w:r>
            <w:r>
              <w:rPr>
                <w:rFonts w:ascii="Times New Roman" w:hAnsi="Times New Roman" w:eastAsiaTheme="majorEastAsia"/>
                <w:sz w:val="24"/>
              </w:rPr>
              <w:t>3</w:t>
            </w:r>
            <w:r>
              <w:rPr>
                <w:rFonts w:asciiTheme="majorEastAsia" w:hAnsiTheme="majorEastAsia" w:eastAsiaTheme="majorEastAsia"/>
                <w:sz w:val="24"/>
              </w:rPr>
              <w:t>-</w:t>
            </w:r>
            <w:r>
              <w:rPr>
                <w:rFonts w:ascii="Times New Roman" w:hAnsi="Times New Roman" w:eastAsiaTheme="majorEastAsia"/>
                <w:sz w:val="24"/>
              </w:rPr>
              <w:t>6</w:t>
            </w:r>
            <w:r>
              <w:rPr>
                <w:rFonts w:asciiTheme="majorEastAsia" w:hAnsiTheme="majorEastAsia" w:eastAsiaTheme="majorEastAsia"/>
                <w:sz w:val="24"/>
              </w:rPr>
              <w:t>岁的儿童，目前已额外拓展至</w:t>
            </w:r>
            <w:r>
              <w:rPr>
                <w:rFonts w:ascii="Times New Roman" w:hAnsi="Times New Roman" w:eastAsiaTheme="majorEastAsia"/>
                <w:sz w:val="24"/>
              </w:rPr>
              <w:t>7</w:t>
            </w:r>
            <w:r>
              <w:rPr>
                <w:rFonts w:asciiTheme="majorEastAsia" w:hAnsiTheme="majorEastAsia" w:eastAsiaTheme="majorEastAsia"/>
                <w:sz w:val="24"/>
              </w:rPr>
              <w:t>-</w:t>
            </w:r>
            <w:r>
              <w:rPr>
                <w:rFonts w:ascii="Times New Roman" w:hAnsi="Times New Roman" w:eastAsiaTheme="majorEastAsia"/>
                <w:sz w:val="24"/>
              </w:rPr>
              <w:t>15</w:t>
            </w:r>
            <w:r>
              <w:rPr>
                <w:rFonts w:asciiTheme="majorEastAsia" w:hAnsiTheme="majorEastAsia" w:eastAsiaTheme="majorEastAsia"/>
                <w:sz w:val="24"/>
              </w:rPr>
              <w:t>岁处于长身体关键期的儿童和青少年，倡导“每天</w:t>
            </w:r>
            <w:r>
              <w:rPr>
                <w:rFonts w:ascii="Times New Roman" w:hAnsi="Times New Roman" w:eastAsiaTheme="majorEastAsia"/>
                <w:sz w:val="24"/>
              </w:rPr>
              <w:t>2</w:t>
            </w:r>
            <w:r>
              <w:rPr>
                <w:rFonts w:asciiTheme="majorEastAsia" w:hAnsiTheme="majorEastAsia" w:eastAsiaTheme="majorEastAsia"/>
                <w:sz w:val="24"/>
              </w:rPr>
              <w:t>个奶酪棒”的</w:t>
            </w:r>
            <w:r>
              <w:rPr>
                <w:rFonts w:hint="eastAsia" w:asciiTheme="majorEastAsia" w:hAnsiTheme="majorEastAsia" w:eastAsiaTheme="majorEastAsia"/>
                <w:sz w:val="24"/>
              </w:rPr>
              <w:t>刚需高频</w:t>
            </w:r>
            <w:r>
              <w:rPr>
                <w:rFonts w:asciiTheme="majorEastAsia" w:hAnsiTheme="majorEastAsia" w:eastAsiaTheme="majorEastAsia"/>
                <w:sz w:val="24"/>
              </w:rPr>
              <w:t>消费场景；同时推出奶酪小丸子产品，其中超一半的销量是由年轻人贡献的，搭配散称常温奶酪产品进一步覆盖成人消费群体，成功实现从儿童市场和青少年市场向全年龄段市场的延伸。</w:t>
            </w:r>
            <w:r>
              <w:rPr>
                <w:rFonts w:hint="eastAsia" w:asciiTheme="majorEastAsia" w:hAnsiTheme="majorEastAsia" w:eastAsiaTheme="majorEastAsia"/>
                <w:sz w:val="24"/>
              </w:rPr>
              <w:t>同时还针对年轻人推出奶酪小粒、奶酪坚果脆、奶酪小三角等奶酪零食产品，还为银发人群推出了人参酪乳，打造药食同源的功能功效，</w:t>
            </w:r>
            <w:r>
              <w:rPr>
                <w:rFonts w:asciiTheme="majorEastAsia" w:hAnsiTheme="majorEastAsia" w:eastAsiaTheme="majorEastAsia"/>
                <w:sz w:val="24"/>
              </w:rPr>
              <w:t>通过精准匹配不同人群的消费需求，公司持续挖掘奶酪品类的市场潜力，打造“长坡厚雪”的发展格局。</w:t>
            </w:r>
          </w:p>
          <w:p w14:paraId="783CE09F">
            <w:pPr>
              <w:rPr>
                <w:rFonts w:hint="eastAsia" w:asciiTheme="majorEastAsia" w:hAnsiTheme="majorEastAsia" w:eastAsiaTheme="majorEastAsia"/>
                <w:sz w:val="24"/>
              </w:rPr>
            </w:pPr>
          </w:p>
          <w:p w14:paraId="36D2383D">
            <w:pPr>
              <w:rPr>
                <w:rFonts w:hint="eastAsia" w:asciiTheme="majorEastAsia" w:hAnsiTheme="majorEastAsia" w:eastAsiaTheme="majorEastAsia"/>
                <w:b/>
                <w:bCs/>
                <w:sz w:val="24"/>
              </w:rPr>
            </w:pPr>
            <w:r>
              <w:rPr>
                <w:rFonts w:ascii="Times New Roman" w:hAnsi="Times New Roman" w:eastAsiaTheme="majorEastAsia"/>
                <w:b/>
                <w:bCs/>
                <w:sz w:val="24"/>
              </w:rPr>
              <w:t>6</w:t>
            </w:r>
            <w:r>
              <w:rPr>
                <w:rFonts w:asciiTheme="majorEastAsia" w:hAnsiTheme="majorEastAsia" w:eastAsiaTheme="majorEastAsia"/>
                <w:b/>
                <w:bCs/>
                <w:sz w:val="24"/>
              </w:rPr>
              <w:t>、</w:t>
            </w:r>
            <w:bookmarkStart w:id="7" w:name="OLE_LINK10"/>
            <w:r>
              <w:rPr>
                <w:rFonts w:asciiTheme="majorEastAsia" w:hAnsiTheme="majorEastAsia" w:eastAsiaTheme="majorEastAsia"/>
                <w:b/>
                <w:bCs/>
                <w:sz w:val="24"/>
              </w:rPr>
              <w:t>“店效倍增”战略</w:t>
            </w:r>
            <w:bookmarkEnd w:id="7"/>
            <w:r>
              <w:rPr>
                <w:rFonts w:asciiTheme="majorEastAsia" w:hAnsiTheme="majorEastAsia" w:eastAsiaTheme="majorEastAsia"/>
                <w:b/>
                <w:bCs/>
                <w:sz w:val="24"/>
              </w:rPr>
              <w:t>成效</w:t>
            </w:r>
            <w:r>
              <w:rPr>
                <w:rFonts w:hint="eastAsia" w:asciiTheme="majorEastAsia" w:hAnsiTheme="majorEastAsia" w:eastAsiaTheme="majorEastAsia"/>
                <w:b/>
                <w:bCs/>
                <w:sz w:val="24"/>
              </w:rPr>
              <w:t>初</w:t>
            </w:r>
            <w:r>
              <w:rPr>
                <w:rFonts w:asciiTheme="majorEastAsia" w:hAnsiTheme="majorEastAsia" w:eastAsiaTheme="majorEastAsia"/>
                <w:b/>
                <w:bCs/>
                <w:sz w:val="24"/>
              </w:rPr>
              <w:t>显，除新方法论外，与供应链国产化是否相关？“店效倍增”战略</w:t>
            </w:r>
            <w:r>
              <w:rPr>
                <w:rFonts w:hint="eastAsia" w:asciiTheme="majorEastAsia" w:hAnsiTheme="majorEastAsia" w:eastAsiaTheme="majorEastAsia"/>
                <w:b/>
                <w:bCs/>
                <w:sz w:val="24"/>
              </w:rPr>
              <w:t>是否会增加销售费用？</w:t>
            </w:r>
          </w:p>
          <w:p w14:paraId="5A7DC48C">
            <w:pPr>
              <w:rPr>
                <w:rFonts w:hint="eastAsia" w:asciiTheme="majorEastAsia" w:hAnsiTheme="majorEastAsia" w:eastAsiaTheme="majorEastAsia"/>
                <w:sz w:val="24"/>
              </w:rPr>
            </w:pPr>
            <w:r>
              <w:rPr>
                <w:rFonts w:asciiTheme="majorEastAsia" w:hAnsiTheme="majorEastAsia" w:eastAsiaTheme="majorEastAsia"/>
                <w:b/>
                <w:bCs/>
                <w:sz w:val="24"/>
              </w:rPr>
              <w:t>答：</w:t>
            </w:r>
            <w:bookmarkStart w:id="8" w:name="OLE_LINK11"/>
            <w:r>
              <w:rPr>
                <w:rFonts w:asciiTheme="majorEastAsia" w:hAnsiTheme="majorEastAsia" w:eastAsiaTheme="majorEastAsia"/>
                <w:sz w:val="24"/>
              </w:rPr>
              <w:t>“店效倍增”</w:t>
            </w:r>
            <w:bookmarkEnd w:id="8"/>
            <w:r>
              <w:rPr>
                <w:rFonts w:asciiTheme="majorEastAsia" w:hAnsiTheme="majorEastAsia" w:eastAsiaTheme="majorEastAsia"/>
                <w:sz w:val="24"/>
              </w:rPr>
              <w:t>战略成效的实现，与供应链国产化及</w:t>
            </w:r>
            <w:r>
              <w:rPr>
                <w:rFonts w:hint="eastAsia" w:asciiTheme="majorEastAsia" w:hAnsiTheme="majorEastAsia" w:eastAsiaTheme="majorEastAsia"/>
                <w:sz w:val="24"/>
              </w:rPr>
              <w:t>“极致成本”战略</w:t>
            </w:r>
            <w:r>
              <w:rPr>
                <w:rFonts w:asciiTheme="majorEastAsia" w:hAnsiTheme="majorEastAsia" w:eastAsiaTheme="majorEastAsia"/>
                <w:sz w:val="24"/>
              </w:rPr>
              <w:t>密切相关，二者共同构成“店效倍增”落地的核心支撑。成本控制方面，一半降本成果来自供应链国产化的乳制品行业机遇，另一半来自公司“研、产、销、品牌”端到端打通，不仅推动公司内部效率提升，也使</w:t>
            </w:r>
            <w:r>
              <w:rPr>
                <w:rFonts w:hint="eastAsia" w:asciiTheme="majorEastAsia" w:hAnsiTheme="majorEastAsia" w:eastAsiaTheme="majorEastAsia"/>
                <w:sz w:val="24"/>
              </w:rPr>
              <w:t>供应商</w:t>
            </w:r>
            <w:r>
              <w:rPr>
                <w:rFonts w:asciiTheme="majorEastAsia" w:hAnsiTheme="majorEastAsia" w:eastAsiaTheme="majorEastAsia"/>
                <w:sz w:val="24"/>
              </w:rPr>
              <w:t>在成本下降的同时仍能保持盈利。</w:t>
            </w:r>
          </w:p>
          <w:p w14:paraId="1839D9BB">
            <w:pPr>
              <w:rPr>
                <w:rFonts w:hint="eastAsia" w:asciiTheme="majorEastAsia" w:hAnsiTheme="majorEastAsia" w:eastAsiaTheme="majorEastAsia"/>
                <w:sz w:val="24"/>
              </w:rPr>
            </w:pPr>
            <w:r>
              <w:rPr>
                <w:rFonts w:hint="eastAsia" w:asciiTheme="majorEastAsia" w:hAnsiTheme="majorEastAsia" w:eastAsiaTheme="majorEastAsia"/>
                <w:sz w:val="24"/>
              </w:rPr>
              <w:t xml:space="preserve">公司以战区为单位协同经销商、门店选定 “一商两店”，近两周截至 </w:t>
            </w:r>
            <w:r>
              <w:rPr>
                <w:rFonts w:ascii="Times New Roman" w:hAnsi="Times New Roman" w:eastAsiaTheme="majorEastAsia"/>
                <w:sz w:val="24"/>
              </w:rPr>
              <w:t>9</w:t>
            </w:r>
            <w:r>
              <w:rPr>
                <w:rFonts w:hint="eastAsia" w:asciiTheme="majorEastAsia" w:hAnsiTheme="majorEastAsia" w:eastAsiaTheme="majorEastAsia"/>
                <w:sz w:val="24"/>
              </w:rPr>
              <w:t>月</w:t>
            </w:r>
            <w:r>
              <w:rPr>
                <w:rFonts w:ascii="Times New Roman" w:hAnsi="Times New Roman" w:eastAsiaTheme="majorEastAsia"/>
                <w:sz w:val="24"/>
              </w:rPr>
              <w:t>20</w:t>
            </w:r>
            <w:r>
              <w:rPr>
                <w:rFonts w:hint="eastAsia" w:asciiTheme="majorEastAsia" w:hAnsiTheme="majorEastAsia" w:eastAsiaTheme="majorEastAsia"/>
                <w:sz w:val="24"/>
              </w:rPr>
              <w:t>日近百家门店启动，启动门</w:t>
            </w:r>
            <w:r>
              <w:rPr>
                <w:rFonts w:hint="eastAsia" w:asciiTheme="majorEastAsia" w:hAnsiTheme="majorEastAsia" w:eastAsiaTheme="majorEastAsia"/>
                <w:sz w:val="24"/>
                <w:highlight w:val="none"/>
              </w:rPr>
              <w:t>店平均</w:t>
            </w:r>
            <w:r>
              <w:rPr>
                <w:rFonts w:asciiTheme="majorEastAsia" w:hAnsiTheme="majorEastAsia" w:eastAsiaTheme="majorEastAsia"/>
                <w:sz w:val="24"/>
                <w:highlight w:val="none"/>
              </w:rPr>
              <w:t>日销售额</w:t>
            </w:r>
            <w:r>
              <w:rPr>
                <w:rFonts w:hint="eastAsia" w:asciiTheme="majorEastAsia" w:hAnsiTheme="majorEastAsia" w:eastAsiaTheme="majorEastAsia"/>
                <w:sz w:val="24"/>
                <w:highlight w:val="none"/>
              </w:rPr>
              <w:t>同比增长显著；</w:t>
            </w:r>
            <w:r>
              <w:rPr>
                <w:rFonts w:hint="eastAsia" w:asciiTheme="majorEastAsia" w:hAnsiTheme="majorEastAsia" w:eastAsiaTheme="majorEastAsia"/>
                <w:sz w:val="24"/>
              </w:rPr>
              <w:t>终端通过话术优化、精准营销、陈列管理、动线设计提升效率，推行 “</w:t>
            </w:r>
            <w:r>
              <w:rPr>
                <w:rFonts w:ascii="Times New Roman" w:hAnsi="Times New Roman" w:eastAsiaTheme="majorEastAsia"/>
                <w:sz w:val="24"/>
              </w:rPr>
              <w:t>1</w:t>
            </w:r>
            <w:r>
              <w:rPr>
                <w:rFonts w:hint="eastAsia" w:asciiTheme="majorEastAsia" w:hAnsiTheme="majorEastAsia" w:eastAsiaTheme="majorEastAsia"/>
                <w:sz w:val="24"/>
              </w:rPr>
              <w:t>+</w:t>
            </w:r>
            <w:r>
              <w:rPr>
                <w:rFonts w:ascii="Times New Roman" w:hAnsi="Times New Roman" w:eastAsiaTheme="majorEastAsia"/>
                <w:sz w:val="24"/>
              </w:rPr>
              <w:t>1</w:t>
            </w:r>
            <w:r>
              <w:rPr>
                <w:rFonts w:hint="eastAsia" w:asciiTheme="majorEastAsia" w:hAnsiTheme="majorEastAsia" w:eastAsiaTheme="majorEastAsia"/>
                <w:sz w:val="24"/>
              </w:rPr>
              <w:t>+</w:t>
            </w:r>
            <w:r>
              <w:rPr>
                <w:rFonts w:ascii="Times New Roman" w:hAnsi="Times New Roman" w:eastAsiaTheme="majorEastAsia"/>
                <w:sz w:val="24"/>
              </w:rPr>
              <w:t>N</w:t>
            </w:r>
            <w:r>
              <w:rPr>
                <w:rFonts w:hint="eastAsia" w:asciiTheme="majorEastAsia" w:hAnsiTheme="majorEastAsia" w:eastAsiaTheme="majorEastAsia"/>
                <w:sz w:val="24"/>
              </w:rPr>
              <w:t xml:space="preserve">”（主陈列 + 多点陈列 + </w:t>
            </w:r>
            <w:r>
              <w:rPr>
                <w:rFonts w:ascii="Times New Roman" w:hAnsi="Times New Roman" w:eastAsiaTheme="majorEastAsia"/>
                <w:sz w:val="24"/>
              </w:rPr>
              <w:t>N</w:t>
            </w:r>
            <w:r>
              <w:rPr>
                <w:rFonts w:hint="eastAsia" w:asciiTheme="majorEastAsia" w:hAnsiTheme="majorEastAsia" w:eastAsiaTheme="majorEastAsia"/>
                <w:sz w:val="24"/>
              </w:rPr>
              <w:t xml:space="preserve"> 种售卖形式）模式，聚焦抓流量、提转化、增客单。</w:t>
            </w:r>
          </w:p>
          <w:p w14:paraId="123745F1">
            <w:pPr>
              <w:rPr>
                <w:rFonts w:hint="eastAsia" w:asciiTheme="majorEastAsia" w:hAnsiTheme="majorEastAsia" w:eastAsiaTheme="majorEastAsia"/>
                <w:sz w:val="24"/>
              </w:rPr>
            </w:pPr>
            <w:r>
              <w:rPr>
                <w:rFonts w:hint="eastAsia" w:asciiTheme="majorEastAsia" w:hAnsiTheme="majorEastAsia" w:eastAsiaTheme="majorEastAsia"/>
                <w:sz w:val="24"/>
              </w:rPr>
              <w:t>项目目标是推动奶酪品类增长超行业容量，方法包括试吃（结合有声广告）、货找人（布局水果烘焙区）、产品组合（牛排试吃搭配黄油）。“店效倍增”战略非短期活动，需脱离“资源依赖”转向“能力驱动”，靠精细化运营与共识力量，以 “慢” 求 “快”，实现不增人员、不花资源的门店稳态增长。</w:t>
            </w:r>
          </w:p>
          <w:p w14:paraId="6BD955C1">
            <w:pPr>
              <w:rPr>
                <w:rFonts w:hint="eastAsia" w:asciiTheme="majorEastAsia" w:hAnsiTheme="majorEastAsia" w:eastAsiaTheme="majorEastAsia"/>
                <w:sz w:val="24"/>
              </w:rPr>
            </w:pPr>
          </w:p>
          <w:p w14:paraId="3B9A8118">
            <w:pPr>
              <w:rPr>
                <w:rFonts w:hint="eastAsia" w:asciiTheme="majorEastAsia" w:hAnsiTheme="majorEastAsia" w:eastAsiaTheme="majorEastAsia"/>
                <w:b/>
                <w:bCs/>
                <w:sz w:val="24"/>
              </w:rPr>
            </w:pPr>
            <w:r>
              <w:rPr>
                <w:rFonts w:ascii="Times New Roman" w:hAnsi="Times New Roman" w:eastAsiaTheme="majorEastAsia"/>
                <w:b/>
                <w:bCs/>
                <w:sz w:val="24"/>
              </w:rPr>
              <w:t>7</w:t>
            </w:r>
            <w:r>
              <w:rPr>
                <w:rFonts w:asciiTheme="majorEastAsia" w:hAnsiTheme="majorEastAsia" w:eastAsiaTheme="majorEastAsia"/>
                <w:b/>
                <w:bCs/>
                <w:sz w:val="24"/>
              </w:rPr>
              <w:t>、</w:t>
            </w:r>
            <w:r>
              <w:rPr>
                <w:rFonts w:hint="eastAsia" w:asciiTheme="majorEastAsia" w:hAnsiTheme="majorEastAsia" w:eastAsiaTheme="majorEastAsia"/>
                <w:b/>
                <w:bCs/>
                <w:sz w:val="24"/>
              </w:rPr>
              <w:t>公司在奶酪片方面</w:t>
            </w:r>
            <w:r>
              <w:rPr>
                <w:rFonts w:asciiTheme="majorEastAsia" w:hAnsiTheme="majorEastAsia" w:eastAsiaTheme="majorEastAsia"/>
                <w:b/>
                <w:bCs/>
                <w:sz w:val="24"/>
              </w:rPr>
              <w:t>未来有何规划？</w:t>
            </w:r>
          </w:p>
          <w:p w14:paraId="7A692020">
            <w:pPr>
              <w:rPr>
                <w:rFonts w:hint="eastAsia" w:asciiTheme="majorEastAsia" w:hAnsiTheme="majorEastAsia" w:eastAsiaTheme="majorEastAsia"/>
                <w:sz w:val="24"/>
              </w:rPr>
            </w:pPr>
            <w:r>
              <w:rPr>
                <w:rFonts w:asciiTheme="majorEastAsia" w:hAnsiTheme="majorEastAsia" w:eastAsiaTheme="majorEastAsia"/>
                <w:b/>
                <w:bCs/>
                <w:sz w:val="24"/>
              </w:rPr>
              <w:t>答：</w:t>
            </w:r>
            <w:r>
              <w:rPr>
                <w:rFonts w:asciiTheme="majorEastAsia" w:hAnsiTheme="majorEastAsia" w:eastAsiaTheme="majorEastAsia"/>
                <w:sz w:val="24"/>
              </w:rPr>
              <w:t>根据</w:t>
            </w:r>
            <w:r>
              <w:rPr>
                <w:rFonts w:ascii="Times New Roman" w:hAnsi="Times New Roman" w:eastAsiaTheme="majorEastAsia"/>
                <w:sz w:val="24"/>
              </w:rPr>
              <w:t>Worldpanel</w:t>
            </w:r>
            <w:r>
              <w:rPr>
                <w:rFonts w:asciiTheme="majorEastAsia" w:hAnsiTheme="majorEastAsia" w:eastAsiaTheme="majorEastAsia"/>
                <w:sz w:val="24"/>
              </w:rPr>
              <w:t>消费者指数滚动</w:t>
            </w:r>
            <w:r>
              <w:rPr>
                <w:rFonts w:ascii="Times New Roman" w:hAnsi="Times New Roman" w:eastAsiaTheme="majorEastAsia"/>
                <w:sz w:val="24"/>
              </w:rPr>
              <w:t>12</w:t>
            </w:r>
            <w:r>
              <w:rPr>
                <w:rFonts w:asciiTheme="majorEastAsia" w:hAnsiTheme="majorEastAsia" w:eastAsiaTheme="majorEastAsia"/>
                <w:sz w:val="24"/>
              </w:rPr>
              <w:t>周数据，公司奶酪片的市占率</w:t>
            </w:r>
            <w:r>
              <w:rPr>
                <w:rFonts w:ascii="Times New Roman" w:hAnsi="Times New Roman" w:eastAsiaTheme="majorEastAsia"/>
                <w:sz w:val="24"/>
              </w:rPr>
              <w:t>25P8</w:t>
            </w:r>
            <w:r>
              <w:rPr>
                <w:rFonts w:asciiTheme="majorEastAsia" w:hAnsiTheme="majorEastAsia" w:eastAsiaTheme="majorEastAsia"/>
                <w:sz w:val="24"/>
              </w:rPr>
              <w:t>&amp;</w:t>
            </w:r>
            <w:r>
              <w:rPr>
                <w:rFonts w:ascii="Times New Roman" w:hAnsi="Times New Roman" w:eastAsiaTheme="majorEastAsia"/>
                <w:sz w:val="24"/>
              </w:rPr>
              <w:t>25P9</w:t>
            </w:r>
            <w:r>
              <w:rPr>
                <w:rFonts w:asciiTheme="majorEastAsia" w:hAnsiTheme="majorEastAsia" w:eastAsiaTheme="majorEastAsia"/>
                <w:sz w:val="24"/>
              </w:rPr>
              <w:t>连续双月位居第一，当前公司奶酪片产品仍采用</w:t>
            </w:r>
            <w:r>
              <w:rPr>
                <w:rFonts w:ascii="Times New Roman" w:hAnsi="Times New Roman" w:eastAsiaTheme="majorEastAsia"/>
                <w:sz w:val="24"/>
              </w:rPr>
              <w:t>2</w:t>
            </w:r>
            <w:r>
              <w:rPr>
                <w:rFonts w:asciiTheme="majorEastAsia" w:hAnsiTheme="majorEastAsia" w:eastAsiaTheme="majorEastAsia"/>
                <w:sz w:val="24"/>
              </w:rPr>
              <w:t>-</w:t>
            </w:r>
            <w:r>
              <w:rPr>
                <w:rFonts w:ascii="Times New Roman" w:hAnsi="Times New Roman" w:eastAsiaTheme="majorEastAsia"/>
                <w:sz w:val="24"/>
              </w:rPr>
              <w:t>8</w:t>
            </w:r>
            <w:r>
              <w:rPr>
                <w:rFonts w:asciiTheme="majorEastAsia" w:hAnsiTheme="majorEastAsia" w:eastAsiaTheme="majorEastAsia"/>
                <w:sz w:val="24"/>
              </w:rPr>
              <w:t>℃冷链存储标准，已完成常温化研发测试，未来将进一步拓宽渠道适配场景。在产品用途上，常温奶酪片计划作为方便面</w:t>
            </w:r>
            <w:r>
              <w:rPr>
                <w:rFonts w:hint="eastAsia" w:asciiTheme="majorEastAsia" w:hAnsiTheme="majorEastAsia" w:eastAsiaTheme="majorEastAsia"/>
                <w:sz w:val="24"/>
              </w:rPr>
              <w:t>奶酪组合的</w:t>
            </w:r>
            <w:r>
              <w:rPr>
                <w:rFonts w:asciiTheme="majorEastAsia" w:hAnsiTheme="majorEastAsia" w:eastAsiaTheme="majorEastAsia"/>
                <w:sz w:val="24"/>
              </w:rPr>
              <w:t>原料推广，同时覆盖面包汉堡搭配、喝粥吃面佐餐等消费场景；针对儿童群体，将推出专属款</w:t>
            </w:r>
            <w:r>
              <w:rPr>
                <w:rFonts w:hint="eastAsia" w:asciiTheme="majorEastAsia" w:hAnsiTheme="majorEastAsia" w:eastAsiaTheme="majorEastAsia"/>
                <w:sz w:val="24"/>
              </w:rPr>
              <w:t>高附加值功能</w:t>
            </w:r>
            <w:r>
              <w:rPr>
                <w:rFonts w:asciiTheme="majorEastAsia" w:hAnsiTheme="majorEastAsia" w:eastAsiaTheme="majorEastAsia"/>
                <w:sz w:val="24"/>
              </w:rPr>
              <w:t>奶酪片，通过场景化与功能化创新，进一步提升产品市场竞争力。</w:t>
            </w:r>
          </w:p>
          <w:p w14:paraId="30117FE9">
            <w:pPr>
              <w:rPr>
                <w:rFonts w:hint="eastAsia" w:asciiTheme="majorEastAsia" w:hAnsiTheme="majorEastAsia" w:eastAsiaTheme="majorEastAsia"/>
                <w:sz w:val="24"/>
              </w:rPr>
            </w:pPr>
          </w:p>
          <w:p w14:paraId="7181CE61">
            <w:pPr>
              <w:rPr>
                <w:rFonts w:hint="eastAsia" w:asciiTheme="majorEastAsia" w:hAnsiTheme="majorEastAsia" w:eastAsiaTheme="majorEastAsia"/>
                <w:b/>
                <w:bCs/>
                <w:sz w:val="24"/>
              </w:rPr>
            </w:pPr>
            <w:r>
              <w:rPr>
                <w:rFonts w:hint="eastAsia" w:ascii="Times New Roman" w:hAnsi="Times New Roman" w:eastAsiaTheme="majorEastAsia"/>
                <w:b/>
                <w:bCs/>
                <w:sz w:val="24"/>
              </w:rPr>
              <w:t>8</w:t>
            </w:r>
            <w:r>
              <w:rPr>
                <w:rFonts w:asciiTheme="majorEastAsia" w:hAnsiTheme="majorEastAsia" w:eastAsiaTheme="majorEastAsia"/>
                <w:b/>
                <w:bCs/>
                <w:sz w:val="24"/>
              </w:rPr>
              <w:t>、公司</w:t>
            </w:r>
            <w:r>
              <w:rPr>
                <w:rFonts w:ascii="Times New Roman" w:hAnsi="Times New Roman" w:eastAsiaTheme="majorEastAsia"/>
                <w:b/>
                <w:bCs/>
                <w:sz w:val="24"/>
              </w:rPr>
              <w:t>BC</w:t>
            </w:r>
            <w:r>
              <w:rPr>
                <w:rFonts w:asciiTheme="majorEastAsia" w:hAnsiTheme="majorEastAsia" w:eastAsiaTheme="majorEastAsia"/>
                <w:b/>
                <w:bCs/>
                <w:sz w:val="24"/>
              </w:rPr>
              <w:t>端业务占比未来展望如何？二者各有哪些盈利特点？</w:t>
            </w:r>
          </w:p>
          <w:p w14:paraId="582B38B3">
            <w:pPr>
              <w:rPr>
                <w:rFonts w:hint="eastAsia" w:asciiTheme="majorEastAsia" w:hAnsiTheme="majorEastAsia" w:eastAsiaTheme="majorEastAsia"/>
                <w:sz w:val="24"/>
              </w:rPr>
            </w:pPr>
            <w:r>
              <w:rPr>
                <w:rFonts w:asciiTheme="majorEastAsia" w:hAnsiTheme="majorEastAsia" w:eastAsiaTheme="majorEastAsia"/>
                <w:b/>
                <w:bCs/>
                <w:sz w:val="24"/>
              </w:rPr>
              <w:t>答：</w:t>
            </w:r>
            <w:r>
              <w:rPr>
                <w:rFonts w:hint="eastAsia" w:asciiTheme="majorEastAsia" w:hAnsiTheme="majorEastAsia" w:eastAsiaTheme="majorEastAsia"/>
                <w:sz w:val="24"/>
              </w:rPr>
              <w:t>根据公司</w:t>
            </w:r>
            <w:r>
              <w:rPr>
                <w:rFonts w:ascii="Times New Roman" w:hAnsi="Times New Roman" w:eastAsiaTheme="majorEastAsia"/>
                <w:sz w:val="24"/>
              </w:rPr>
              <w:t>2025</w:t>
            </w:r>
            <w:r>
              <w:rPr>
                <w:rFonts w:hint="eastAsia" w:asciiTheme="majorEastAsia" w:hAnsiTheme="majorEastAsia" w:eastAsiaTheme="majorEastAsia"/>
                <w:sz w:val="24"/>
              </w:rPr>
              <w:t>年中报</w:t>
            </w:r>
            <w:r>
              <w:rPr>
                <w:rFonts w:asciiTheme="majorEastAsia" w:hAnsiTheme="majorEastAsia" w:eastAsiaTheme="majorEastAsia"/>
                <w:sz w:val="24"/>
              </w:rPr>
              <w:t>所披露的内容</w:t>
            </w:r>
            <w:r>
              <w:rPr>
                <w:rFonts w:hint="eastAsia" w:asciiTheme="majorEastAsia" w:hAnsiTheme="majorEastAsia" w:eastAsiaTheme="majorEastAsia"/>
                <w:sz w:val="24"/>
              </w:rPr>
              <w:t>，公司</w:t>
            </w:r>
            <w:r>
              <w:rPr>
                <w:rFonts w:ascii="Times New Roman" w:hAnsi="Times New Roman" w:eastAsiaTheme="majorEastAsia"/>
                <w:sz w:val="24"/>
              </w:rPr>
              <w:t>C</w:t>
            </w:r>
            <w:r>
              <w:rPr>
                <w:rFonts w:hint="eastAsia" w:asciiTheme="majorEastAsia" w:hAnsiTheme="majorEastAsia" w:eastAsiaTheme="majorEastAsia"/>
                <w:sz w:val="24"/>
              </w:rPr>
              <w:t>端即食营养系列和家庭餐桌系列营业收入占奶酪产品销售收入比合计</w:t>
            </w:r>
            <w:r>
              <w:rPr>
                <w:rFonts w:ascii="Times New Roman" w:hAnsi="Times New Roman" w:eastAsiaTheme="majorEastAsia"/>
                <w:sz w:val="24"/>
              </w:rPr>
              <w:t>61</w:t>
            </w:r>
            <w:r>
              <w:rPr>
                <w:rFonts w:hint="eastAsia" w:asciiTheme="majorEastAsia" w:hAnsiTheme="majorEastAsia" w:eastAsiaTheme="majorEastAsia"/>
                <w:sz w:val="24"/>
              </w:rPr>
              <w:t>.</w:t>
            </w:r>
            <w:r>
              <w:rPr>
                <w:rFonts w:ascii="Times New Roman" w:hAnsi="Times New Roman" w:eastAsiaTheme="majorEastAsia"/>
                <w:sz w:val="24"/>
              </w:rPr>
              <w:t>78</w:t>
            </w:r>
            <w:r>
              <w:rPr>
                <w:rFonts w:hint="eastAsia" w:asciiTheme="majorEastAsia" w:hAnsiTheme="majorEastAsia" w:eastAsiaTheme="majorEastAsia"/>
                <w:sz w:val="24"/>
              </w:rPr>
              <w:t>%，餐饮工业系列占比</w:t>
            </w:r>
            <w:r>
              <w:rPr>
                <w:rFonts w:ascii="Times New Roman" w:hAnsi="Times New Roman" w:eastAsiaTheme="majorEastAsia"/>
                <w:sz w:val="24"/>
              </w:rPr>
              <w:t>38</w:t>
            </w:r>
            <w:r>
              <w:rPr>
                <w:rFonts w:hint="eastAsia" w:asciiTheme="majorEastAsia" w:hAnsiTheme="majorEastAsia" w:eastAsiaTheme="majorEastAsia"/>
                <w:sz w:val="24"/>
              </w:rPr>
              <w:t>.</w:t>
            </w:r>
            <w:r>
              <w:rPr>
                <w:rFonts w:ascii="Times New Roman" w:hAnsi="Times New Roman" w:eastAsiaTheme="majorEastAsia"/>
                <w:sz w:val="24"/>
              </w:rPr>
              <w:t>22</w:t>
            </w:r>
            <w:r>
              <w:rPr>
                <w:rFonts w:hint="eastAsia" w:asciiTheme="majorEastAsia" w:hAnsiTheme="majorEastAsia" w:eastAsiaTheme="majorEastAsia"/>
                <w:sz w:val="24"/>
              </w:rPr>
              <w:t>%。公司明确提出“</w:t>
            </w:r>
            <w:r>
              <w:rPr>
                <w:rFonts w:ascii="Times New Roman" w:hAnsi="Times New Roman" w:eastAsiaTheme="majorEastAsia"/>
                <w:sz w:val="24"/>
              </w:rPr>
              <w:t>TOB</w:t>
            </w:r>
            <w:r>
              <w:rPr>
                <w:rFonts w:asciiTheme="majorEastAsia" w:hAnsiTheme="majorEastAsia" w:eastAsiaTheme="majorEastAsia"/>
                <w:sz w:val="24"/>
              </w:rPr>
              <w:t>&amp;</w:t>
            </w:r>
            <w:r>
              <w:rPr>
                <w:rFonts w:ascii="Times New Roman" w:hAnsi="Times New Roman" w:eastAsiaTheme="majorEastAsia"/>
                <w:sz w:val="24"/>
              </w:rPr>
              <w:t>TOC</w:t>
            </w:r>
            <w:r>
              <w:rPr>
                <w:rFonts w:hint="eastAsia" w:asciiTheme="majorEastAsia" w:hAnsiTheme="majorEastAsia" w:eastAsiaTheme="majorEastAsia"/>
                <w:sz w:val="24"/>
              </w:rPr>
              <w:t>双轮驱动”战略，将其作为未来五年核心策略之一，</w:t>
            </w:r>
            <w:r>
              <w:rPr>
                <w:rFonts w:ascii="Times New Roman" w:hAnsi="Times New Roman" w:eastAsiaTheme="majorEastAsia"/>
                <w:sz w:val="24"/>
              </w:rPr>
              <w:t>TOB</w:t>
            </w:r>
            <w:r>
              <w:rPr>
                <w:rFonts w:hint="eastAsia" w:asciiTheme="majorEastAsia" w:hAnsiTheme="majorEastAsia" w:eastAsiaTheme="majorEastAsia"/>
                <w:sz w:val="24"/>
              </w:rPr>
              <w:t>端聚焦西式快餐、茶咖、烘焙、工业、中餐等五大客户群提供专业产品及服务，</w:t>
            </w:r>
            <w:r>
              <w:rPr>
                <w:rFonts w:ascii="Times New Roman" w:hAnsi="Times New Roman" w:eastAsiaTheme="majorEastAsia"/>
                <w:sz w:val="24"/>
              </w:rPr>
              <w:t>TOC</w:t>
            </w:r>
            <w:r>
              <w:rPr>
                <w:rFonts w:hint="eastAsia" w:asciiTheme="majorEastAsia" w:hAnsiTheme="majorEastAsia" w:eastAsiaTheme="majorEastAsia"/>
                <w:sz w:val="24"/>
              </w:rPr>
              <w:t>端面向全年龄段人群开发多元奶酪产品，形成</w:t>
            </w:r>
            <w:r>
              <w:rPr>
                <w:rFonts w:ascii="Times New Roman" w:hAnsi="Times New Roman" w:eastAsiaTheme="majorEastAsia"/>
                <w:sz w:val="24"/>
              </w:rPr>
              <w:t>BC</w:t>
            </w:r>
            <w:r>
              <w:rPr>
                <w:rFonts w:hint="eastAsia" w:asciiTheme="majorEastAsia" w:hAnsiTheme="majorEastAsia" w:eastAsiaTheme="majorEastAsia"/>
                <w:sz w:val="24"/>
              </w:rPr>
              <w:t>端协同增长的格局。</w:t>
            </w:r>
            <w:r>
              <w:rPr>
                <w:rFonts w:asciiTheme="majorEastAsia" w:hAnsiTheme="majorEastAsia" w:eastAsiaTheme="majorEastAsia"/>
                <w:sz w:val="24"/>
              </w:rPr>
              <w:cr/>
            </w:r>
            <w:r>
              <w:rPr>
                <w:rFonts w:asciiTheme="majorEastAsia" w:hAnsiTheme="majorEastAsia" w:eastAsiaTheme="majorEastAsia"/>
                <w:sz w:val="24"/>
              </w:rPr>
              <w:t>从当前业务格局来看，</w:t>
            </w:r>
            <w:bookmarkStart w:id="9" w:name="OLE_LINK6"/>
            <w:r>
              <w:rPr>
                <w:rFonts w:ascii="Times New Roman" w:hAnsi="Times New Roman" w:eastAsiaTheme="majorEastAsia"/>
                <w:sz w:val="24"/>
              </w:rPr>
              <w:t>C</w:t>
            </w:r>
            <w:r>
              <w:rPr>
                <w:rFonts w:asciiTheme="majorEastAsia" w:hAnsiTheme="majorEastAsia" w:eastAsiaTheme="majorEastAsia"/>
                <w:sz w:val="24"/>
              </w:rPr>
              <w:t>端</w:t>
            </w:r>
            <w:bookmarkEnd w:id="9"/>
            <w:r>
              <w:rPr>
                <w:rFonts w:asciiTheme="majorEastAsia" w:hAnsiTheme="majorEastAsia" w:eastAsiaTheme="majorEastAsia"/>
                <w:sz w:val="24"/>
              </w:rPr>
              <w:t>业务占比仍居主导地位，但</w:t>
            </w:r>
            <w:r>
              <w:rPr>
                <w:rFonts w:ascii="Times New Roman" w:hAnsi="Times New Roman" w:eastAsiaTheme="majorEastAsia"/>
                <w:sz w:val="24"/>
              </w:rPr>
              <w:t>B</w:t>
            </w:r>
            <w:r>
              <w:rPr>
                <w:rFonts w:asciiTheme="majorEastAsia" w:hAnsiTheme="majorEastAsia" w:eastAsiaTheme="majorEastAsia"/>
                <w:sz w:val="24"/>
              </w:rPr>
              <w:t>端业务增长速度显著加快，</w:t>
            </w:r>
            <w:r>
              <w:rPr>
                <w:rFonts w:hint="eastAsia" w:asciiTheme="majorEastAsia" w:hAnsiTheme="majorEastAsia" w:eastAsiaTheme="majorEastAsia"/>
                <w:sz w:val="24"/>
              </w:rPr>
              <w:t>已经</w:t>
            </w:r>
            <w:r>
              <w:rPr>
                <w:rFonts w:asciiTheme="majorEastAsia" w:hAnsiTheme="majorEastAsia" w:eastAsiaTheme="majorEastAsia"/>
                <w:sz w:val="24"/>
              </w:rPr>
              <w:t>成为</w:t>
            </w:r>
            <w:r>
              <w:rPr>
                <w:rFonts w:hint="eastAsia" w:asciiTheme="majorEastAsia" w:hAnsiTheme="majorEastAsia" w:eastAsiaTheme="majorEastAsia"/>
                <w:sz w:val="24"/>
              </w:rPr>
              <w:t>公司营业收入的</w:t>
            </w:r>
            <w:r>
              <w:rPr>
                <w:rFonts w:asciiTheme="majorEastAsia" w:hAnsiTheme="majorEastAsia" w:eastAsiaTheme="majorEastAsia"/>
                <w:sz w:val="24"/>
              </w:rPr>
              <w:t>重要增长极。盈利方面，</w:t>
            </w:r>
            <w:r>
              <w:rPr>
                <w:rFonts w:ascii="Times New Roman" w:hAnsi="Times New Roman" w:eastAsiaTheme="majorEastAsia"/>
                <w:sz w:val="24"/>
              </w:rPr>
              <w:t>B</w:t>
            </w:r>
            <w:r>
              <w:rPr>
                <w:rFonts w:asciiTheme="majorEastAsia" w:hAnsiTheme="majorEastAsia" w:eastAsiaTheme="majorEastAsia"/>
                <w:sz w:val="24"/>
              </w:rPr>
              <w:t>端相比</w:t>
            </w:r>
            <w:r>
              <w:rPr>
                <w:rFonts w:ascii="Times New Roman" w:hAnsi="Times New Roman" w:eastAsiaTheme="majorEastAsia"/>
                <w:sz w:val="24"/>
              </w:rPr>
              <w:t>C</w:t>
            </w:r>
            <w:r>
              <w:rPr>
                <w:rFonts w:asciiTheme="majorEastAsia" w:hAnsiTheme="majorEastAsia" w:eastAsiaTheme="majorEastAsia"/>
                <w:sz w:val="24"/>
              </w:rPr>
              <w:t>端毛利率确实更低，但</w:t>
            </w:r>
            <w:r>
              <w:rPr>
                <w:rFonts w:ascii="Times New Roman" w:hAnsi="Times New Roman" w:eastAsiaTheme="majorEastAsia"/>
                <w:sz w:val="24"/>
              </w:rPr>
              <w:t>B</w:t>
            </w:r>
            <w:r>
              <w:rPr>
                <w:rFonts w:asciiTheme="majorEastAsia" w:hAnsiTheme="majorEastAsia" w:eastAsiaTheme="majorEastAsia"/>
                <w:sz w:val="24"/>
              </w:rPr>
              <w:t>端在渠道费用上更具优势</w:t>
            </w:r>
            <w:r>
              <w:rPr>
                <w:rFonts w:hint="eastAsia" w:asciiTheme="majorEastAsia" w:hAnsiTheme="majorEastAsia" w:eastAsiaTheme="majorEastAsia"/>
                <w:sz w:val="24"/>
              </w:rPr>
              <w:t>，</w:t>
            </w:r>
            <w:r>
              <w:rPr>
                <w:rFonts w:asciiTheme="majorEastAsia" w:hAnsiTheme="majorEastAsia" w:eastAsiaTheme="majorEastAsia"/>
                <w:sz w:val="24"/>
              </w:rPr>
              <w:t>进而保障了健康的盈利空间。</w:t>
            </w:r>
          </w:p>
          <w:p w14:paraId="63A2A4C2">
            <w:pPr>
              <w:rPr>
                <w:rFonts w:hint="eastAsia" w:asciiTheme="majorEastAsia" w:hAnsiTheme="majorEastAsia" w:eastAsiaTheme="majorEastAsia"/>
                <w:sz w:val="24"/>
              </w:rPr>
            </w:pPr>
          </w:p>
          <w:p w14:paraId="5DEE4BEF">
            <w:pPr>
              <w:rPr>
                <w:rFonts w:hint="eastAsia" w:asciiTheme="majorEastAsia" w:hAnsiTheme="majorEastAsia" w:eastAsiaTheme="majorEastAsia"/>
                <w:b/>
                <w:bCs/>
                <w:sz w:val="24"/>
              </w:rPr>
            </w:pPr>
            <w:r>
              <w:rPr>
                <w:rFonts w:hint="eastAsia" w:ascii="Times New Roman" w:hAnsi="Times New Roman" w:eastAsiaTheme="majorEastAsia"/>
                <w:b/>
                <w:bCs/>
                <w:sz w:val="24"/>
              </w:rPr>
              <w:t>9</w:t>
            </w:r>
            <w:r>
              <w:rPr>
                <w:rFonts w:asciiTheme="majorEastAsia" w:hAnsiTheme="majorEastAsia" w:eastAsiaTheme="majorEastAsia"/>
                <w:b/>
                <w:bCs/>
                <w:sz w:val="24"/>
              </w:rPr>
              <w:t>、公司中长期</w:t>
            </w:r>
            <w:r>
              <w:rPr>
                <w:rFonts w:hint="eastAsia" w:asciiTheme="majorEastAsia" w:hAnsiTheme="majorEastAsia" w:eastAsiaTheme="majorEastAsia"/>
                <w:b/>
                <w:bCs/>
                <w:sz w:val="24"/>
              </w:rPr>
              <w:t>的</w:t>
            </w:r>
            <w:r>
              <w:rPr>
                <w:rFonts w:asciiTheme="majorEastAsia" w:hAnsiTheme="majorEastAsia" w:eastAsiaTheme="majorEastAsia"/>
                <w:b/>
                <w:bCs/>
                <w:sz w:val="24"/>
              </w:rPr>
              <w:t>发展愿景是什么？</w:t>
            </w:r>
            <w:r>
              <w:rPr>
                <w:rFonts w:hint="eastAsia" w:asciiTheme="majorEastAsia" w:hAnsiTheme="majorEastAsia" w:eastAsiaTheme="majorEastAsia"/>
                <w:b/>
                <w:bCs/>
                <w:sz w:val="24"/>
              </w:rPr>
              <w:t>具体实现的路径是怎样的</w:t>
            </w:r>
            <w:r>
              <w:rPr>
                <w:rFonts w:asciiTheme="majorEastAsia" w:hAnsiTheme="majorEastAsia" w:eastAsiaTheme="majorEastAsia"/>
                <w:b/>
                <w:bCs/>
                <w:sz w:val="24"/>
              </w:rPr>
              <w:t>？</w:t>
            </w:r>
          </w:p>
          <w:p w14:paraId="04F11E9F">
            <w:pPr>
              <w:rPr>
                <w:rFonts w:hint="eastAsia" w:asciiTheme="majorEastAsia" w:hAnsiTheme="majorEastAsia" w:eastAsiaTheme="majorEastAsia"/>
                <w:sz w:val="24"/>
              </w:rPr>
            </w:pPr>
            <w:r>
              <w:rPr>
                <w:rFonts w:asciiTheme="majorEastAsia" w:hAnsiTheme="majorEastAsia" w:eastAsiaTheme="majorEastAsia"/>
                <w:b/>
                <w:bCs/>
                <w:sz w:val="24"/>
              </w:rPr>
              <w:t>答：</w:t>
            </w:r>
            <w:r>
              <w:rPr>
                <w:rFonts w:hint="eastAsia" w:asciiTheme="majorEastAsia" w:hAnsiTheme="majorEastAsia" w:eastAsiaTheme="majorEastAsia"/>
                <w:sz w:val="24"/>
              </w:rPr>
              <w:t>公司将以成为“中国领先，世界一流，受人尊敬的奶酪企业”作为愿景，并构建全产业链竞争壁垒，未来五年的具体发展规划如下：</w:t>
            </w:r>
          </w:p>
          <w:p w14:paraId="1F6BB7D9">
            <w:pPr>
              <w:rPr>
                <w:rFonts w:hint="eastAsia" w:asciiTheme="majorEastAsia" w:hAnsiTheme="majorEastAsia" w:eastAsiaTheme="majorEastAsia"/>
                <w:sz w:val="24"/>
              </w:rPr>
            </w:pPr>
            <w:r>
              <w:rPr>
                <w:rFonts w:ascii="Times New Roman" w:hAnsi="Times New Roman" w:eastAsiaTheme="majorEastAsia"/>
                <w:sz w:val="24"/>
              </w:rPr>
              <w:t>1</w:t>
            </w:r>
            <w:r>
              <w:rPr>
                <w:rFonts w:hint="eastAsia" w:asciiTheme="majorEastAsia" w:hAnsiTheme="majorEastAsia" w:eastAsiaTheme="majorEastAsia"/>
                <w:sz w:val="24"/>
              </w:rPr>
              <w:t>）核心战略路径：践行 “</w:t>
            </w:r>
            <w:r>
              <w:rPr>
                <w:rFonts w:ascii="Times New Roman" w:hAnsi="Times New Roman" w:eastAsiaTheme="majorEastAsia"/>
                <w:sz w:val="24"/>
              </w:rPr>
              <w:t>TOB</w:t>
            </w:r>
            <w:r>
              <w:rPr>
                <w:rFonts w:hint="eastAsia" w:asciiTheme="majorEastAsia" w:hAnsiTheme="majorEastAsia" w:eastAsiaTheme="majorEastAsia"/>
                <w:sz w:val="24"/>
              </w:rPr>
              <w:t>+</w:t>
            </w:r>
            <w:r>
              <w:rPr>
                <w:rFonts w:ascii="Times New Roman" w:hAnsi="Times New Roman" w:eastAsiaTheme="majorEastAsia"/>
                <w:sz w:val="24"/>
              </w:rPr>
              <w:t>TOC</w:t>
            </w:r>
            <w:r>
              <w:rPr>
                <w:rFonts w:hint="eastAsia" w:asciiTheme="majorEastAsia" w:hAnsiTheme="majorEastAsia" w:eastAsiaTheme="majorEastAsia"/>
                <w:sz w:val="24"/>
              </w:rPr>
              <w:t xml:space="preserve"> 双轮驱动” 与 “并购出海” 并行策略。</w:t>
            </w:r>
            <w:r>
              <w:rPr>
                <w:rFonts w:ascii="Times New Roman" w:hAnsi="Times New Roman" w:eastAsiaTheme="majorEastAsia"/>
                <w:sz w:val="24"/>
              </w:rPr>
              <w:t>C</w:t>
            </w:r>
            <w:r>
              <w:rPr>
                <w:rFonts w:hint="eastAsia" w:asciiTheme="majorEastAsia" w:hAnsiTheme="majorEastAsia" w:eastAsiaTheme="majorEastAsia"/>
                <w:sz w:val="24"/>
              </w:rPr>
              <w:t xml:space="preserve"> 端聚焦儿童营养、成人休闲、银发功能、家庭餐桌等细分领域，计划打造 </w:t>
            </w:r>
            <w:r>
              <w:rPr>
                <w:rFonts w:ascii="Times New Roman" w:hAnsi="Times New Roman" w:eastAsiaTheme="majorEastAsia"/>
                <w:sz w:val="24"/>
              </w:rPr>
              <w:t>3</w:t>
            </w:r>
            <w:r>
              <w:rPr>
                <w:rFonts w:hint="eastAsia" w:asciiTheme="majorEastAsia" w:hAnsiTheme="majorEastAsia" w:eastAsiaTheme="majorEastAsia"/>
                <w:sz w:val="24"/>
              </w:rPr>
              <w:t>-</w:t>
            </w:r>
            <w:r>
              <w:rPr>
                <w:rFonts w:ascii="Times New Roman" w:hAnsi="Times New Roman" w:eastAsiaTheme="majorEastAsia"/>
                <w:sz w:val="24"/>
              </w:rPr>
              <w:t>5</w:t>
            </w:r>
            <w:r>
              <w:rPr>
                <w:rFonts w:hint="eastAsia" w:asciiTheme="majorEastAsia" w:hAnsiTheme="majorEastAsia" w:eastAsiaTheme="majorEastAsia"/>
                <w:sz w:val="24"/>
              </w:rPr>
              <w:t xml:space="preserve"> 个比肩奶酪棒的现象级大单品；</w:t>
            </w:r>
            <w:r>
              <w:rPr>
                <w:rFonts w:ascii="Times New Roman" w:hAnsi="Times New Roman" w:eastAsiaTheme="majorEastAsia"/>
                <w:sz w:val="24"/>
              </w:rPr>
              <w:t>B</w:t>
            </w:r>
            <w:r>
              <w:rPr>
                <w:rFonts w:hint="eastAsia" w:asciiTheme="majorEastAsia" w:hAnsiTheme="majorEastAsia" w:eastAsiaTheme="majorEastAsia"/>
                <w:sz w:val="24"/>
              </w:rPr>
              <w:t xml:space="preserve"> 端主攻西</w:t>
            </w:r>
            <w:r>
              <w:rPr>
                <w:rFonts w:asciiTheme="majorEastAsia" w:hAnsiTheme="majorEastAsia" w:eastAsiaTheme="majorEastAsia"/>
                <w:sz w:val="24"/>
              </w:rPr>
              <w:t>式</w:t>
            </w:r>
            <w:r>
              <w:rPr>
                <w:rFonts w:hint="eastAsia" w:asciiTheme="majorEastAsia" w:hAnsiTheme="majorEastAsia" w:eastAsiaTheme="majorEastAsia"/>
                <w:sz w:val="24"/>
              </w:rPr>
              <w:t>快</w:t>
            </w:r>
            <w:r>
              <w:rPr>
                <w:rFonts w:asciiTheme="majorEastAsia" w:hAnsiTheme="majorEastAsia" w:eastAsiaTheme="majorEastAsia"/>
                <w:sz w:val="24"/>
              </w:rPr>
              <w:t>餐</w:t>
            </w:r>
            <w:r>
              <w:rPr>
                <w:rFonts w:hint="eastAsia" w:asciiTheme="majorEastAsia" w:hAnsiTheme="majorEastAsia" w:eastAsiaTheme="majorEastAsia"/>
                <w:sz w:val="24"/>
              </w:rPr>
              <w:t>、茶咖、烘焙、中餐、工业五大客户群，与头部企业建立战略级合作，联合开发亿级爆品。</w:t>
            </w:r>
          </w:p>
          <w:p w14:paraId="305FA96E">
            <w:pPr>
              <w:rPr>
                <w:rFonts w:hint="eastAsia" w:asciiTheme="majorEastAsia" w:hAnsiTheme="majorEastAsia" w:eastAsiaTheme="majorEastAsia"/>
                <w:sz w:val="24"/>
              </w:rPr>
            </w:pPr>
            <w:r>
              <w:rPr>
                <w:rFonts w:ascii="Times New Roman" w:hAnsi="Times New Roman" w:eastAsiaTheme="majorEastAsia"/>
                <w:sz w:val="24"/>
              </w:rPr>
              <w:t>2</w:t>
            </w:r>
            <w:r>
              <w:rPr>
                <w:rFonts w:hint="eastAsia" w:asciiTheme="majorEastAsia" w:hAnsiTheme="majorEastAsia" w:eastAsiaTheme="majorEastAsia"/>
                <w:sz w:val="24"/>
              </w:rPr>
              <w:t>）产业链能力建设：依托上市平台构建乳制品深加工产业链，向上锁定内蒙古、宁夏、吉林等优质奶源；向下延伸消费场景，在学校、高铁等特渠实现营收占比突破，打通 “奶源 - 研发 - 生产 - 渠道 - 服务” 全链条，提升乳制品产业链整体经济价值，夯实极致成本护城河。</w:t>
            </w:r>
          </w:p>
          <w:p w14:paraId="74D3D124">
            <w:pPr>
              <w:rPr>
                <w:rFonts w:hint="eastAsia" w:asciiTheme="majorEastAsia" w:hAnsiTheme="majorEastAsia" w:eastAsiaTheme="majorEastAsia"/>
                <w:sz w:val="24"/>
              </w:rPr>
            </w:pPr>
            <w:r>
              <w:rPr>
                <w:rFonts w:ascii="Times New Roman" w:hAnsi="Times New Roman" w:eastAsiaTheme="majorEastAsia"/>
                <w:sz w:val="24"/>
              </w:rPr>
              <w:t>3</w:t>
            </w:r>
            <w:r>
              <w:rPr>
                <w:rFonts w:hint="eastAsia" w:asciiTheme="majorEastAsia" w:hAnsiTheme="majorEastAsia" w:eastAsiaTheme="majorEastAsia"/>
                <w:sz w:val="24"/>
              </w:rPr>
              <w:t>）全球化与创新布局：推动奶酪创新产品出海，利用国内奶源成本优势实现原料奶酪出口；同时通过并购海内外优质企业，打造国际化奶酪深加工平台。</w:t>
            </w:r>
          </w:p>
          <w:p w14:paraId="7A132DF1">
            <w:pPr>
              <w:rPr>
                <w:rFonts w:hint="eastAsia" w:asciiTheme="majorEastAsia" w:hAnsiTheme="majorEastAsia" w:eastAsiaTheme="majorEastAsia"/>
                <w:sz w:val="24"/>
              </w:rPr>
            </w:pPr>
            <w:r>
              <w:rPr>
                <w:rFonts w:ascii="Times New Roman" w:hAnsi="Times New Roman" w:eastAsiaTheme="majorEastAsia"/>
                <w:sz w:val="24"/>
              </w:rPr>
              <w:t>4</w:t>
            </w:r>
            <w:r>
              <w:rPr>
                <w:rFonts w:hint="eastAsia" w:asciiTheme="majorEastAsia" w:hAnsiTheme="majorEastAsia" w:eastAsiaTheme="majorEastAsia"/>
                <w:sz w:val="24"/>
              </w:rPr>
              <w:t>）能力保障体系：</w:t>
            </w:r>
            <w:r>
              <w:rPr>
                <w:rFonts w:asciiTheme="majorEastAsia" w:hAnsiTheme="majorEastAsia" w:eastAsiaTheme="majorEastAsia"/>
                <w:sz w:val="24"/>
              </w:rPr>
              <w:t>公司确立“极高目标、极快速度、极简流程、极大成果”的行动准则，以“店效倍增”为头号工程</w:t>
            </w:r>
            <w:r>
              <w:rPr>
                <w:rFonts w:hint="eastAsia" w:asciiTheme="majorEastAsia" w:hAnsiTheme="majorEastAsia" w:eastAsiaTheme="majorEastAsia"/>
                <w:sz w:val="24"/>
              </w:rPr>
              <w:t>。研发端每年投入固定比例用于功能性产品开发，成本端“极致成本”战略将原制奶酪单位成本降低至具备出口优势，组织端完善人才梯队建设，团队年轻化，培养更多能够独当一面的商业领军人才，确保“店效倍增”战略落地。</w:t>
            </w:r>
          </w:p>
        </w:tc>
      </w:tr>
    </w:tbl>
    <w:p w14:paraId="1A38BA33">
      <w:pPr>
        <w:rPr>
          <w:rFonts w:hint="eastAsia" w:asciiTheme="majorEastAsia" w:hAnsiTheme="majorEastAsia" w:eastAsiaTheme="majorEastAsia"/>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DE812">
    <w:pPr>
      <w:pStyle w:val="6"/>
      <w:jc w:val="center"/>
      <w:rPr>
        <w:rFonts w:ascii="Times New Roman" w:hAnsi="Times New Roman"/>
      </w:rPr>
    </w:pPr>
    <w:r>
      <w:rPr>
        <w:rFonts w:ascii="Times New Roman" w:hAnsi="Times New Roman"/>
        <w:b/>
        <w:bCs/>
        <w:sz w:val="24"/>
      </w:rPr>
      <w:fldChar w:fldCharType="begin"/>
    </w:r>
    <w:r>
      <w:rPr>
        <w:rFonts w:ascii="Times New Roman" w:hAnsi="Times New Roman"/>
        <w:b/>
        <w:bCs/>
      </w:rPr>
      <w:instrText xml:space="preserve">PAGE</w:instrText>
    </w:r>
    <w:r>
      <w:rPr>
        <w:rFonts w:ascii="Times New Roman" w:hAnsi="Times New Roman"/>
        <w:b/>
        <w:bCs/>
        <w:sz w:val="24"/>
      </w:rPr>
      <w:fldChar w:fldCharType="separate"/>
    </w:r>
    <w:r>
      <w:rPr>
        <w:rFonts w:ascii="Times New Roman" w:hAnsi="Times New Roman"/>
        <w:b/>
        <w:bCs/>
      </w:rPr>
      <w:t>4</w:t>
    </w:r>
    <w:r>
      <w:rPr>
        <w:rFonts w:ascii="Times New Roman" w:hAnsi="Times New Roman"/>
        <w:b/>
        <w:bCs/>
        <w:sz w:val="24"/>
      </w:rPr>
      <w:fldChar w:fldCharType="end"/>
    </w:r>
    <w:r>
      <w:rPr>
        <w:rFonts w:ascii="Times New Roman" w:hAnsi="Times New Roman"/>
        <w:lang w:val="zh-CN"/>
      </w:rPr>
      <w:t>/</w:t>
    </w:r>
    <w:r>
      <w:rPr>
        <w:rFonts w:ascii="Times New Roman" w:hAnsi="Times New Roman"/>
        <w:b/>
        <w:bCs/>
        <w:sz w:val="24"/>
      </w:rPr>
      <w:fldChar w:fldCharType="begin"/>
    </w:r>
    <w:r>
      <w:rPr>
        <w:rFonts w:ascii="Times New Roman" w:hAnsi="Times New Roman"/>
        <w:b/>
        <w:bCs/>
      </w:rPr>
      <w:instrText xml:space="preserve">NUMPAGES</w:instrText>
    </w:r>
    <w:r>
      <w:rPr>
        <w:rFonts w:ascii="Times New Roman" w:hAnsi="Times New Roman"/>
        <w:b/>
        <w:bCs/>
        <w:sz w:val="24"/>
      </w:rPr>
      <w:fldChar w:fldCharType="separate"/>
    </w:r>
    <w:r>
      <w:rPr>
        <w:rFonts w:ascii="Times New Roman" w:hAnsi="Times New Roman"/>
        <w:b/>
        <w:bCs/>
      </w:rPr>
      <w:t>4</w:t>
    </w:r>
    <w:r>
      <w:rPr>
        <w:rFonts w:ascii="Times New Roman" w:hAnsi="Times New Roman"/>
        <w:b/>
        <w:bCs/>
        <w:sz w:val="24"/>
      </w:rPr>
      <w:fldChar w:fldCharType="end"/>
    </w:r>
  </w:p>
  <w:p w14:paraId="1B2A91F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9E"/>
    <w:rsid w:val="00001A84"/>
    <w:rsid w:val="00002F31"/>
    <w:rsid w:val="00003A8C"/>
    <w:rsid w:val="00006C51"/>
    <w:rsid w:val="000114BB"/>
    <w:rsid w:val="0002082E"/>
    <w:rsid w:val="00024218"/>
    <w:rsid w:val="00025DE6"/>
    <w:rsid w:val="000328F4"/>
    <w:rsid w:val="00032C75"/>
    <w:rsid w:val="000357B9"/>
    <w:rsid w:val="0004146D"/>
    <w:rsid w:val="00053764"/>
    <w:rsid w:val="00055EF9"/>
    <w:rsid w:val="00057D60"/>
    <w:rsid w:val="0006134B"/>
    <w:rsid w:val="000769D8"/>
    <w:rsid w:val="00081722"/>
    <w:rsid w:val="000847DE"/>
    <w:rsid w:val="00085B96"/>
    <w:rsid w:val="000867FA"/>
    <w:rsid w:val="000B0EC7"/>
    <w:rsid w:val="000B4A9D"/>
    <w:rsid w:val="000C6E6F"/>
    <w:rsid w:val="000D082D"/>
    <w:rsid w:val="000D5D08"/>
    <w:rsid w:val="000E5BAD"/>
    <w:rsid w:val="000E5D44"/>
    <w:rsid w:val="000E6B48"/>
    <w:rsid w:val="000F3122"/>
    <w:rsid w:val="000F5671"/>
    <w:rsid w:val="000F6924"/>
    <w:rsid w:val="0010005A"/>
    <w:rsid w:val="0010357D"/>
    <w:rsid w:val="00111480"/>
    <w:rsid w:val="001231AD"/>
    <w:rsid w:val="00126E80"/>
    <w:rsid w:val="001276E9"/>
    <w:rsid w:val="00127BB2"/>
    <w:rsid w:val="00131C62"/>
    <w:rsid w:val="001615C7"/>
    <w:rsid w:val="0016789C"/>
    <w:rsid w:val="00170EF4"/>
    <w:rsid w:val="00173AFF"/>
    <w:rsid w:val="00180548"/>
    <w:rsid w:val="00193C23"/>
    <w:rsid w:val="00194B8E"/>
    <w:rsid w:val="00196B45"/>
    <w:rsid w:val="001A2D92"/>
    <w:rsid w:val="001A71E7"/>
    <w:rsid w:val="001D5830"/>
    <w:rsid w:val="001E221E"/>
    <w:rsid w:val="001E5D8E"/>
    <w:rsid w:val="001E6705"/>
    <w:rsid w:val="001F0490"/>
    <w:rsid w:val="00213ABD"/>
    <w:rsid w:val="00216D98"/>
    <w:rsid w:val="00226D6A"/>
    <w:rsid w:val="00246B5C"/>
    <w:rsid w:val="0024708E"/>
    <w:rsid w:val="0024734D"/>
    <w:rsid w:val="0025033E"/>
    <w:rsid w:val="002528A8"/>
    <w:rsid w:val="002537E9"/>
    <w:rsid w:val="002566D0"/>
    <w:rsid w:val="00262BB9"/>
    <w:rsid w:val="00267155"/>
    <w:rsid w:val="00274242"/>
    <w:rsid w:val="00277558"/>
    <w:rsid w:val="00283BDA"/>
    <w:rsid w:val="002865CC"/>
    <w:rsid w:val="00292CBF"/>
    <w:rsid w:val="00295CD5"/>
    <w:rsid w:val="002A6AEE"/>
    <w:rsid w:val="002B21BA"/>
    <w:rsid w:val="002C6070"/>
    <w:rsid w:val="002D0768"/>
    <w:rsid w:val="002E02D2"/>
    <w:rsid w:val="002F605B"/>
    <w:rsid w:val="003027AF"/>
    <w:rsid w:val="0031460F"/>
    <w:rsid w:val="0032481A"/>
    <w:rsid w:val="003402D7"/>
    <w:rsid w:val="00340CA5"/>
    <w:rsid w:val="00341D3A"/>
    <w:rsid w:val="00344F89"/>
    <w:rsid w:val="0034558A"/>
    <w:rsid w:val="00356135"/>
    <w:rsid w:val="00356A63"/>
    <w:rsid w:val="00371E3E"/>
    <w:rsid w:val="00386E6F"/>
    <w:rsid w:val="00396C4A"/>
    <w:rsid w:val="003A5190"/>
    <w:rsid w:val="003A65C0"/>
    <w:rsid w:val="003A66B3"/>
    <w:rsid w:val="003B16D0"/>
    <w:rsid w:val="003B1E4A"/>
    <w:rsid w:val="003B3118"/>
    <w:rsid w:val="003C0EBE"/>
    <w:rsid w:val="003C4C14"/>
    <w:rsid w:val="003C7AE7"/>
    <w:rsid w:val="003D20E2"/>
    <w:rsid w:val="003D4F68"/>
    <w:rsid w:val="003D652C"/>
    <w:rsid w:val="003E0A69"/>
    <w:rsid w:val="0041437C"/>
    <w:rsid w:val="00433CEB"/>
    <w:rsid w:val="00457ED9"/>
    <w:rsid w:val="0046165E"/>
    <w:rsid w:val="00462828"/>
    <w:rsid w:val="00466257"/>
    <w:rsid w:val="00473793"/>
    <w:rsid w:val="00476163"/>
    <w:rsid w:val="004852E8"/>
    <w:rsid w:val="00485D34"/>
    <w:rsid w:val="00490C27"/>
    <w:rsid w:val="004A35DE"/>
    <w:rsid w:val="004B39C7"/>
    <w:rsid w:val="004C0CA5"/>
    <w:rsid w:val="004C2158"/>
    <w:rsid w:val="004C7C64"/>
    <w:rsid w:val="004D1891"/>
    <w:rsid w:val="004F2C4C"/>
    <w:rsid w:val="005022BF"/>
    <w:rsid w:val="00507FBB"/>
    <w:rsid w:val="00510505"/>
    <w:rsid w:val="00511615"/>
    <w:rsid w:val="00520D0F"/>
    <w:rsid w:val="00522C9B"/>
    <w:rsid w:val="00534DA0"/>
    <w:rsid w:val="00534FC8"/>
    <w:rsid w:val="005548C0"/>
    <w:rsid w:val="00562C76"/>
    <w:rsid w:val="00565F68"/>
    <w:rsid w:val="00567C80"/>
    <w:rsid w:val="00581892"/>
    <w:rsid w:val="0058709D"/>
    <w:rsid w:val="0059027B"/>
    <w:rsid w:val="00595756"/>
    <w:rsid w:val="005A0D50"/>
    <w:rsid w:val="005B0B58"/>
    <w:rsid w:val="005B153E"/>
    <w:rsid w:val="005B3125"/>
    <w:rsid w:val="005C2281"/>
    <w:rsid w:val="005C52B1"/>
    <w:rsid w:val="005D0D3F"/>
    <w:rsid w:val="005E07DF"/>
    <w:rsid w:val="005E0C0C"/>
    <w:rsid w:val="005E1FD3"/>
    <w:rsid w:val="006004EE"/>
    <w:rsid w:val="00606A8F"/>
    <w:rsid w:val="00612156"/>
    <w:rsid w:val="0061755F"/>
    <w:rsid w:val="00630804"/>
    <w:rsid w:val="00645EE5"/>
    <w:rsid w:val="00652AA6"/>
    <w:rsid w:val="00654416"/>
    <w:rsid w:val="006621AA"/>
    <w:rsid w:val="006622AF"/>
    <w:rsid w:val="006643A9"/>
    <w:rsid w:val="00666AD4"/>
    <w:rsid w:val="00667540"/>
    <w:rsid w:val="00677685"/>
    <w:rsid w:val="00680778"/>
    <w:rsid w:val="0068502A"/>
    <w:rsid w:val="00685384"/>
    <w:rsid w:val="0069078C"/>
    <w:rsid w:val="00691B8C"/>
    <w:rsid w:val="00693FB2"/>
    <w:rsid w:val="006A6BD2"/>
    <w:rsid w:val="006A7F31"/>
    <w:rsid w:val="006B23C5"/>
    <w:rsid w:val="006C2126"/>
    <w:rsid w:val="006C38E8"/>
    <w:rsid w:val="006C56D0"/>
    <w:rsid w:val="006D5A25"/>
    <w:rsid w:val="006E68E8"/>
    <w:rsid w:val="006E76F8"/>
    <w:rsid w:val="006F22F0"/>
    <w:rsid w:val="006F3857"/>
    <w:rsid w:val="006F3D30"/>
    <w:rsid w:val="007036A9"/>
    <w:rsid w:val="007135EB"/>
    <w:rsid w:val="007215BD"/>
    <w:rsid w:val="007279CC"/>
    <w:rsid w:val="00734185"/>
    <w:rsid w:val="007363AE"/>
    <w:rsid w:val="00737BE5"/>
    <w:rsid w:val="007578C1"/>
    <w:rsid w:val="00760157"/>
    <w:rsid w:val="0076324C"/>
    <w:rsid w:val="0076387F"/>
    <w:rsid w:val="0076392E"/>
    <w:rsid w:val="007809C4"/>
    <w:rsid w:val="007854DE"/>
    <w:rsid w:val="00785757"/>
    <w:rsid w:val="00795B3D"/>
    <w:rsid w:val="007A587C"/>
    <w:rsid w:val="007A59E4"/>
    <w:rsid w:val="007B33C0"/>
    <w:rsid w:val="007B5416"/>
    <w:rsid w:val="007C5421"/>
    <w:rsid w:val="007C7E5D"/>
    <w:rsid w:val="007D6598"/>
    <w:rsid w:val="008022DF"/>
    <w:rsid w:val="008236D7"/>
    <w:rsid w:val="00825AFF"/>
    <w:rsid w:val="00825B06"/>
    <w:rsid w:val="00825DEC"/>
    <w:rsid w:val="00826AE0"/>
    <w:rsid w:val="0083322B"/>
    <w:rsid w:val="008410DA"/>
    <w:rsid w:val="00850768"/>
    <w:rsid w:val="00857EBC"/>
    <w:rsid w:val="008648B8"/>
    <w:rsid w:val="00867F60"/>
    <w:rsid w:val="00867F9E"/>
    <w:rsid w:val="00870729"/>
    <w:rsid w:val="00873144"/>
    <w:rsid w:val="00877593"/>
    <w:rsid w:val="00877A1F"/>
    <w:rsid w:val="008827DC"/>
    <w:rsid w:val="00891891"/>
    <w:rsid w:val="008920D5"/>
    <w:rsid w:val="00897CB6"/>
    <w:rsid w:val="008A2D18"/>
    <w:rsid w:val="008A4E57"/>
    <w:rsid w:val="008B2C12"/>
    <w:rsid w:val="008B7AFC"/>
    <w:rsid w:val="008D748F"/>
    <w:rsid w:val="008D7F00"/>
    <w:rsid w:val="008E40DA"/>
    <w:rsid w:val="008E490C"/>
    <w:rsid w:val="008E601D"/>
    <w:rsid w:val="008F4D64"/>
    <w:rsid w:val="008F58C0"/>
    <w:rsid w:val="00900E1B"/>
    <w:rsid w:val="00901719"/>
    <w:rsid w:val="0090185E"/>
    <w:rsid w:val="009042BD"/>
    <w:rsid w:val="00924E53"/>
    <w:rsid w:val="00925F4A"/>
    <w:rsid w:val="00941735"/>
    <w:rsid w:val="00944A18"/>
    <w:rsid w:val="00945423"/>
    <w:rsid w:val="00953E1E"/>
    <w:rsid w:val="009617AC"/>
    <w:rsid w:val="00962021"/>
    <w:rsid w:val="00963CD4"/>
    <w:rsid w:val="00965838"/>
    <w:rsid w:val="00967B9A"/>
    <w:rsid w:val="0098333C"/>
    <w:rsid w:val="00986F76"/>
    <w:rsid w:val="009934C9"/>
    <w:rsid w:val="00993CD5"/>
    <w:rsid w:val="009A2961"/>
    <w:rsid w:val="009B0516"/>
    <w:rsid w:val="009B05F7"/>
    <w:rsid w:val="009C7A3F"/>
    <w:rsid w:val="009E0298"/>
    <w:rsid w:val="009E1991"/>
    <w:rsid w:val="00A03E13"/>
    <w:rsid w:val="00A06AD1"/>
    <w:rsid w:val="00A1022D"/>
    <w:rsid w:val="00A12C6D"/>
    <w:rsid w:val="00A16D95"/>
    <w:rsid w:val="00A2423C"/>
    <w:rsid w:val="00A25623"/>
    <w:rsid w:val="00A421B3"/>
    <w:rsid w:val="00A43E46"/>
    <w:rsid w:val="00A44F32"/>
    <w:rsid w:val="00A50AEC"/>
    <w:rsid w:val="00A5365E"/>
    <w:rsid w:val="00A54B56"/>
    <w:rsid w:val="00A54E1D"/>
    <w:rsid w:val="00A56F09"/>
    <w:rsid w:val="00A62A33"/>
    <w:rsid w:val="00A7112C"/>
    <w:rsid w:val="00A711DB"/>
    <w:rsid w:val="00A7327C"/>
    <w:rsid w:val="00A90ED7"/>
    <w:rsid w:val="00A91BD7"/>
    <w:rsid w:val="00A933B0"/>
    <w:rsid w:val="00A94734"/>
    <w:rsid w:val="00A94A62"/>
    <w:rsid w:val="00AA0F7C"/>
    <w:rsid w:val="00AA221F"/>
    <w:rsid w:val="00AA2BDA"/>
    <w:rsid w:val="00AA7CD8"/>
    <w:rsid w:val="00AB7351"/>
    <w:rsid w:val="00AC018F"/>
    <w:rsid w:val="00AD0989"/>
    <w:rsid w:val="00AD48DD"/>
    <w:rsid w:val="00AE23E2"/>
    <w:rsid w:val="00AF0573"/>
    <w:rsid w:val="00AF2B5C"/>
    <w:rsid w:val="00AF6152"/>
    <w:rsid w:val="00B125D4"/>
    <w:rsid w:val="00B15FC6"/>
    <w:rsid w:val="00B221F8"/>
    <w:rsid w:val="00B27ABF"/>
    <w:rsid w:val="00B35468"/>
    <w:rsid w:val="00B37645"/>
    <w:rsid w:val="00B44C95"/>
    <w:rsid w:val="00B523D3"/>
    <w:rsid w:val="00B602D2"/>
    <w:rsid w:val="00B604CA"/>
    <w:rsid w:val="00B6110D"/>
    <w:rsid w:val="00B619CF"/>
    <w:rsid w:val="00B62E5E"/>
    <w:rsid w:val="00B74F42"/>
    <w:rsid w:val="00B776B9"/>
    <w:rsid w:val="00B81FB7"/>
    <w:rsid w:val="00B82909"/>
    <w:rsid w:val="00B8402B"/>
    <w:rsid w:val="00B87DD2"/>
    <w:rsid w:val="00B9099C"/>
    <w:rsid w:val="00BA73A4"/>
    <w:rsid w:val="00BB0189"/>
    <w:rsid w:val="00BB76CE"/>
    <w:rsid w:val="00BD2D6D"/>
    <w:rsid w:val="00BD2F70"/>
    <w:rsid w:val="00BE0BB2"/>
    <w:rsid w:val="00BE2248"/>
    <w:rsid w:val="00C1140B"/>
    <w:rsid w:val="00C12525"/>
    <w:rsid w:val="00C12C82"/>
    <w:rsid w:val="00C229AC"/>
    <w:rsid w:val="00C2562A"/>
    <w:rsid w:val="00C37513"/>
    <w:rsid w:val="00C37E60"/>
    <w:rsid w:val="00C45C19"/>
    <w:rsid w:val="00C46894"/>
    <w:rsid w:val="00C5123F"/>
    <w:rsid w:val="00C60FB2"/>
    <w:rsid w:val="00C63AB1"/>
    <w:rsid w:val="00C660C5"/>
    <w:rsid w:val="00C714EE"/>
    <w:rsid w:val="00C759DD"/>
    <w:rsid w:val="00C75A26"/>
    <w:rsid w:val="00C77AD5"/>
    <w:rsid w:val="00C85DBD"/>
    <w:rsid w:val="00C91A8D"/>
    <w:rsid w:val="00C935BD"/>
    <w:rsid w:val="00C94D4B"/>
    <w:rsid w:val="00C95C16"/>
    <w:rsid w:val="00C96CDC"/>
    <w:rsid w:val="00CA3EF4"/>
    <w:rsid w:val="00CC1F18"/>
    <w:rsid w:val="00CD7988"/>
    <w:rsid w:val="00CE1928"/>
    <w:rsid w:val="00CE48FF"/>
    <w:rsid w:val="00CF3FD4"/>
    <w:rsid w:val="00D03B40"/>
    <w:rsid w:val="00D13C43"/>
    <w:rsid w:val="00D214E9"/>
    <w:rsid w:val="00D27CEA"/>
    <w:rsid w:val="00D45EB4"/>
    <w:rsid w:val="00D47216"/>
    <w:rsid w:val="00D47E85"/>
    <w:rsid w:val="00D56DAB"/>
    <w:rsid w:val="00D70F5A"/>
    <w:rsid w:val="00D7379F"/>
    <w:rsid w:val="00D801A3"/>
    <w:rsid w:val="00D90DB4"/>
    <w:rsid w:val="00D92032"/>
    <w:rsid w:val="00DA1D79"/>
    <w:rsid w:val="00DB1F55"/>
    <w:rsid w:val="00DB5911"/>
    <w:rsid w:val="00DC4103"/>
    <w:rsid w:val="00DD0323"/>
    <w:rsid w:val="00DD0BA2"/>
    <w:rsid w:val="00DD6EB8"/>
    <w:rsid w:val="00DE080F"/>
    <w:rsid w:val="00DE2013"/>
    <w:rsid w:val="00DE73B2"/>
    <w:rsid w:val="00DF58BD"/>
    <w:rsid w:val="00E1622B"/>
    <w:rsid w:val="00E206DE"/>
    <w:rsid w:val="00E222AD"/>
    <w:rsid w:val="00E24D5B"/>
    <w:rsid w:val="00E27F20"/>
    <w:rsid w:val="00E37D6F"/>
    <w:rsid w:val="00E42868"/>
    <w:rsid w:val="00E52DB2"/>
    <w:rsid w:val="00E61059"/>
    <w:rsid w:val="00E66163"/>
    <w:rsid w:val="00E66845"/>
    <w:rsid w:val="00E66F5D"/>
    <w:rsid w:val="00E74213"/>
    <w:rsid w:val="00E76B03"/>
    <w:rsid w:val="00E845D9"/>
    <w:rsid w:val="00E85162"/>
    <w:rsid w:val="00E9392E"/>
    <w:rsid w:val="00EA3445"/>
    <w:rsid w:val="00EB2919"/>
    <w:rsid w:val="00EB3F3A"/>
    <w:rsid w:val="00ED5F07"/>
    <w:rsid w:val="00EE2847"/>
    <w:rsid w:val="00EE489B"/>
    <w:rsid w:val="00F00290"/>
    <w:rsid w:val="00F01665"/>
    <w:rsid w:val="00F03497"/>
    <w:rsid w:val="00F17FED"/>
    <w:rsid w:val="00F4211B"/>
    <w:rsid w:val="00F44886"/>
    <w:rsid w:val="00F45A25"/>
    <w:rsid w:val="00F502AC"/>
    <w:rsid w:val="00F65AF5"/>
    <w:rsid w:val="00F665A7"/>
    <w:rsid w:val="00F724A3"/>
    <w:rsid w:val="00F81A3F"/>
    <w:rsid w:val="00F85F13"/>
    <w:rsid w:val="00F9735F"/>
    <w:rsid w:val="00FC5260"/>
    <w:rsid w:val="00FC7748"/>
    <w:rsid w:val="00FD0150"/>
    <w:rsid w:val="00FD1C06"/>
    <w:rsid w:val="00FD2FD3"/>
    <w:rsid w:val="00FE205A"/>
    <w:rsid w:val="00FE3BAD"/>
    <w:rsid w:val="03CA6453"/>
    <w:rsid w:val="0AF53DB5"/>
    <w:rsid w:val="39A16D33"/>
    <w:rsid w:val="3C4B11D8"/>
    <w:rsid w:val="3C6BB3EC"/>
    <w:rsid w:val="4123667B"/>
    <w:rsid w:val="466C691A"/>
    <w:rsid w:val="47A3011A"/>
    <w:rsid w:val="48F6071D"/>
    <w:rsid w:val="53695AF3"/>
    <w:rsid w:val="56659784"/>
    <w:rsid w:val="580E7EBB"/>
    <w:rsid w:val="59170968"/>
    <w:rsid w:val="5D8FBAB2"/>
    <w:rsid w:val="5DF61BDE"/>
    <w:rsid w:val="5F0D0765"/>
    <w:rsid w:val="5FBB1F3E"/>
    <w:rsid w:val="60681AA9"/>
    <w:rsid w:val="64451C8F"/>
    <w:rsid w:val="66B27D2F"/>
    <w:rsid w:val="6A350C4E"/>
    <w:rsid w:val="6CF50B68"/>
    <w:rsid w:val="6EF724A1"/>
    <w:rsid w:val="6F287D25"/>
    <w:rsid w:val="6F5B8C60"/>
    <w:rsid w:val="70EE5FFA"/>
    <w:rsid w:val="71C462BA"/>
    <w:rsid w:val="7922614A"/>
    <w:rsid w:val="7BCB1938"/>
    <w:rsid w:val="7DDEFFD0"/>
    <w:rsid w:val="7F427F70"/>
    <w:rsid w:val="7F7E5B67"/>
    <w:rsid w:val="9BFF84B7"/>
    <w:rsid w:val="CDCE96B8"/>
    <w:rsid w:val="E75BF8FC"/>
    <w:rsid w:val="FFDF81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qFormat/>
    <w:uiPriority w:val="9"/>
    <w:pPr>
      <w:keepNext/>
      <w:keepLines/>
      <w:spacing w:before="260" w:after="260"/>
      <w:outlineLvl w:val="2"/>
    </w:pPr>
    <w:rPr>
      <w:rFonts w:ascii="楷体" w:hAnsi="楷体" w:eastAsia="楷体"/>
      <w:b/>
      <w:bCs/>
      <w:sz w:val="24"/>
      <w:shd w:val="pct10" w:color="auto" w:fill="FFFFFF"/>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unhideWhenUsed/>
    <w:qFormat/>
    <w:uiPriority w:val="0"/>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unhideWhenUsed/>
    <w:qFormat/>
    <w:uiPriority w:val="99"/>
    <w:rPr>
      <w:sz w:val="21"/>
      <w:szCs w:val="21"/>
    </w:rPr>
  </w:style>
  <w:style w:type="character" w:customStyle="1" w:styleId="12">
    <w:name w:val="fontstyle01"/>
    <w:basedOn w:val="9"/>
    <w:qFormat/>
    <w:uiPriority w:val="0"/>
    <w:rPr>
      <w:rFonts w:hint="eastAsia" w:ascii="宋体" w:hAnsi="宋体" w:eastAsia="宋体" w:cs="宋体"/>
      <w:color w:val="000000"/>
      <w:sz w:val="24"/>
      <w:szCs w:val="24"/>
    </w:rPr>
  </w:style>
  <w:style w:type="paragraph" w:styleId="13">
    <w:name w:val="List Paragraph"/>
    <w:basedOn w:val="1"/>
    <w:qFormat/>
    <w:uiPriority w:val="34"/>
    <w:pPr>
      <w:ind w:firstLine="420" w:firstLineChars="200"/>
    </w:pPr>
  </w:style>
  <w:style w:type="character" w:customStyle="1" w:styleId="14">
    <w:name w:val="页脚 字符"/>
    <w:basedOn w:val="9"/>
    <w:link w:val="6"/>
    <w:qFormat/>
    <w:uiPriority w:val="99"/>
    <w:rPr>
      <w:rFonts w:ascii="Calibri" w:hAnsi="Calibri"/>
      <w:kern w:val="2"/>
      <w:sz w:val="18"/>
      <w:szCs w:val="24"/>
    </w:rPr>
  </w:style>
  <w:style w:type="character" w:customStyle="1" w:styleId="15">
    <w:name w:val="apple-converted-space"/>
    <w:basedOn w:val="9"/>
    <w:qFormat/>
    <w:uiPriority w:val="0"/>
  </w:style>
  <w:style w:type="character" w:customStyle="1" w:styleId="16">
    <w:name w:val="批注框文本 字符"/>
    <w:basedOn w:val="9"/>
    <w:link w:val="5"/>
    <w:semiHidden/>
    <w:qFormat/>
    <w:uiPriority w:val="99"/>
    <w:rPr>
      <w:rFonts w:ascii="Calibri" w:hAnsi="Calibri"/>
      <w:kern w:val="2"/>
      <w:sz w:val="18"/>
      <w:szCs w:val="18"/>
    </w:r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unhideWhenUsed/>
    <w:qFormat/>
    <w:uiPriority w:val="99"/>
    <w:rPr>
      <w:rFonts w:ascii="Calibri" w:hAnsi="Calibri" w:eastAsia="宋体" w:cs="Times New Roman"/>
      <w:kern w:val="2"/>
      <w:sz w:val="21"/>
      <w:szCs w:val="24"/>
      <w:lang w:val="en-US" w:eastAsia="zh-CN" w:bidi="ar-SA"/>
    </w:rPr>
  </w:style>
  <w:style w:type="character" w:customStyle="1" w:styleId="19">
    <w:name w:val="未处理的提及1"/>
    <w:basedOn w:val="9"/>
    <w:semiHidden/>
    <w:unhideWhenUsed/>
    <w:qFormat/>
    <w:uiPriority w:val="99"/>
    <w:rPr>
      <w:color w:val="605E5C"/>
      <w:shd w:val="clear" w:color="auto" w:fill="E1DFDD"/>
    </w:rPr>
  </w:style>
  <w:style w:type="paragraph" w:customStyle="1" w:styleId="20">
    <w:name w:val="修订3"/>
    <w:hidden/>
    <w:unhideWhenUsed/>
    <w:qFormat/>
    <w:uiPriority w:val="99"/>
    <w:rPr>
      <w:rFonts w:ascii="Calibri" w:hAnsi="Calibri" w:eastAsia="宋体" w:cs="Times New Roman"/>
      <w:kern w:val="2"/>
      <w:sz w:val="21"/>
      <w:szCs w:val="24"/>
      <w:lang w:val="en-US" w:eastAsia="zh-CN" w:bidi="ar-SA"/>
    </w:rPr>
  </w:style>
  <w:style w:type="character" w:customStyle="1" w:styleId="21">
    <w:name w:val="标题 3 字符"/>
    <w:basedOn w:val="9"/>
    <w:link w:val="3"/>
    <w:qFormat/>
    <w:uiPriority w:val="9"/>
    <w:rPr>
      <w:rFonts w:ascii="楷体" w:hAnsi="楷体" w:eastAsia="楷体"/>
      <w:b/>
      <w:bCs/>
      <w:kern w:val="2"/>
      <w:sz w:val="24"/>
      <w:szCs w:val="24"/>
    </w:rPr>
  </w:style>
  <w:style w:type="character" w:customStyle="1" w:styleId="22">
    <w:name w:val="批注文字 字符"/>
    <w:basedOn w:val="9"/>
    <w:link w:val="4"/>
    <w:qFormat/>
    <w:uiPriority w:val="0"/>
    <w:rPr>
      <w:rFonts w:ascii="Calibri" w:hAnsi="Calibri"/>
      <w:kern w:val="2"/>
      <w:sz w:val="21"/>
      <w:szCs w:val="24"/>
    </w:rPr>
  </w:style>
  <w:style w:type="character" w:customStyle="1" w:styleId="23">
    <w:name w:val="标题 2 字符"/>
    <w:basedOn w:val="9"/>
    <w:link w:val="2"/>
    <w:semiHidden/>
    <w:uiPriority w:val="9"/>
    <w:rPr>
      <w:rFonts w:asciiTheme="majorHAnsi" w:hAnsiTheme="majorHAnsi" w:eastAsiaTheme="majorEastAsia" w:cstheme="majorBidi"/>
      <w:b/>
      <w:bCs/>
      <w:kern w:val="2"/>
      <w:sz w:val="32"/>
      <w:szCs w:val="32"/>
    </w:rPr>
  </w:style>
  <w:style w:type="paragraph" w:customStyle="1" w:styleId="2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1880028-F64D-44DC-8D01-31F14BEC0FB5}">
  <ds:schemaRefs/>
</ds:datastoreItem>
</file>

<file path=docProps/app.xml><?xml version="1.0" encoding="utf-8"?>
<Properties xmlns="http://schemas.openxmlformats.org/officeDocument/2006/extended-properties" xmlns:vt="http://schemas.openxmlformats.org/officeDocument/2006/docPropsVTypes">
  <Template>Normal</Template>
  <Pages>4</Pages>
  <Words>3680</Words>
  <Characters>3777</Characters>
  <Lines>28</Lines>
  <Paragraphs>8</Paragraphs>
  <TotalTime>103</TotalTime>
  <ScaleCrop>false</ScaleCrop>
  <LinksUpToDate>false</LinksUpToDate>
  <CharactersWithSpaces>3816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2025-07-12T06:45:00Z</dcterms:created>
  <dc:creator>曹雅楠-Abbey</dc:creator>
  <cp:lastModifiedBy>ZYS</cp:lastModifiedBy>
  <cp:lastPrinted>2020-09-03T16:22:00Z</cp:lastPrinted>
  <dcterms:modified xsi:type="dcterms:W3CDTF">2025-09-30T07:19:23Z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eyJoZGlkIjoiY2E4ZGQ2YmM5YjVmMWY1ZWVmMGQzNGQwMGQ2MzJiOTUiLCJ1c2VySWQiOiI5MzUwOTYyMTkifQ==</vt:lpwstr>
  </property>
  <property fmtid="{D5CDD505-2E9C-101B-9397-08002B2CF9AE}" pid="4" name="ICV">
    <vt:lpwstr>4F5E77A9DDFA486CB9C5254F51C0A2C1_13</vt:lpwstr>
  </property>
</Properties>
</file>