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16114" w14:textId="77777777" w:rsidR="001A1535" w:rsidRDefault="006640B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证券简称：西藏药业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                                      </w:t>
      </w:r>
      <w:r>
        <w:rPr>
          <w:rFonts w:ascii="仿宋" w:eastAsia="仿宋" w:hAnsi="仿宋" w:hint="eastAsia"/>
          <w:sz w:val="24"/>
          <w:szCs w:val="24"/>
        </w:rPr>
        <w:t>证券代码：</w:t>
      </w:r>
      <w:r>
        <w:rPr>
          <w:rFonts w:ascii="仿宋" w:eastAsia="仿宋" w:hAnsi="仿宋" w:hint="eastAsia"/>
          <w:sz w:val="24"/>
          <w:szCs w:val="24"/>
        </w:rPr>
        <w:t>60</w:t>
      </w:r>
      <w:r>
        <w:rPr>
          <w:rFonts w:ascii="仿宋" w:eastAsia="仿宋" w:hAnsi="仿宋"/>
          <w:sz w:val="24"/>
          <w:szCs w:val="24"/>
        </w:rPr>
        <w:t>0211</w:t>
      </w:r>
    </w:p>
    <w:p w14:paraId="5E3D853E" w14:textId="77777777" w:rsidR="001A1535" w:rsidRDefault="001A1535">
      <w:pPr>
        <w:jc w:val="center"/>
        <w:rPr>
          <w:rFonts w:ascii="仿宋" w:eastAsia="仿宋" w:hAnsi="仿宋" w:cs="仿宋"/>
          <w:b/>
          <w:sz w:val="36"/>
          <w:szCs w:val="36"/>
        </w:rPr>
      </w:pPr>
    </w:p>
    <w:p w14:paraId="47E63A12" w14:textId="77777777" w:rsidR="001A1535" w:rsidRDefault="006640B8">
      <w:pPr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西藏诺迪康药业股份有限公司</w:t>
      </w:r>
    </w:p>
    <w:p w14:paraId="70FC4276" w14:textId="77777777" w:rsidR="001A1535" w:rsidRDefault="006640B8">
      <w:pPr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投资者关系活动记录表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7686"/>
      </w:tblGrid>
      <w:tr w:rsidR="001A1535" w14:paraId="20DD17D2" w14:textId="77777777">
        <w:trPr>
          <w:trHeight w:val="502"/>
          <w:jc w:val="center"/>
        </w:trPr>
        <w:tc>
          <w:tcPr>
            <w:tcW w:w="2385" w:type="dxa"/>
            <w:vAlign w:val="center"/>
          </w:tcPr>
          <w:p w14:paraId="188E8D59" w14:textId="77777777" w:rsidR="001A1535" w:rsidRDefault="006640B8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投资者关系</w:t>
            </w:r>
          </w:p>
          <w:p w14:paraId="2FD15923" w14:textId="77777777" w:rsidR="001A1535" w:rsidRDefault="006640B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活动类别</w:t>
            </w:r>
          </w:p>
        </w:tc>
        <w:tc>
          <w:tcPr>
            <w:tcW w:w="7686" w:type="dxa"/>
            <w:vAlign w:val="center"/>
          </w:tcPr>
          <w:p w14:paraId="0D556A56" w14:textId="77777777" w:rsidR="001A1535" w:rsidRDefault="006640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分析师会议、特定对象调研</w:t>
            </w:r>
          </w:p>
        </w:tc>
      </w:tr>
      <w:tr w:rsidR="001A1535" w14:paraId="0DE2B4C4" w14:textId="77777777">
        <w:trPr>
          <w:trHeight w:val="788"/>
          <w:jc w:val="center"/>
        </w:trPr>
        <w:tc>
          <w:tcPr>
            <w:tcW w:w="2385" w:type="dxa"/>
            <w:vAlign w:val="center"/>
          </w:tcPr>
          <w:p w14:paraId="5CE79E11" w14:textId="77777777" w:rsidR="001A1535" w:rsidRDefault="006640B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参与单位名称</w:t>
            </w:r>
          </w:p>
        </w:tc>
        <w:tc>
          <w:tcPr>
            <w:tcW w:w="7686" w:type="dxa"/>
            <w:vAlign w:val="center"/>
          </w:tcPr>
          <w:p w14:paraId="3CA7D6A8" w14:textId="77777777" w:rsidR="001A1535" w:rsidRDefault="006640B8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大成基金、富国基金、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信达澳亚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、鹏华基金、太平基金、广发基金、申万菱信、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睿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远基金、华安基金、东吴基金、易方达基金、泰康资产、大家保险、高盛、多维海拓、</w:t>
            </w:r>
            <w:r>
              <w:rPr>
                <w:rFonts w:ascii="仿宋" w:eastAsia="仿宋" w:hAnsi="仿宋" w:cs="仿宋"/>
                <w:sz w:val="24"/>
                <w:szCs w:val="24"/>
              </w:rPr>
              <w:t>Open Door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汇创资产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、康哲药业、</w:t>
            </w:r>
            <w:r>
              <w:rPr>
                <w:rFonts w:ascii="仿宋" w:eastAsia="仿宋" w:hAnsi="仿宋" w:cs="仿宋"/>
                <w:sz w:val="24"/>
                <w:szCs w:val="24"/>
              </w:rPr>
              <w:t>LMR Partners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杭州优益增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、丰道投资、盛笃投资、中泰安合、中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睿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合银、安徽海富、天津赋远、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恒德投资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、耕霁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(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上海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)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投资、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泽铭投资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、红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槲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基金、新伯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霖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私募、广东光帆、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湘禾投资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、怀真资产、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瞰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道资产、图灵投资、顺从投资、蓝马资本、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思悦投资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、五洲资本、金时资本、知远投资、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湛赢投资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红思客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资本、怀新投资、东方证券、华鑫证券、华安证券、华源证券、西部证券、华福证券、方正证券、天风证券、首创证券、中金财富证券、东方财富证券、国海证券、国金证券、国盛证券、信达证券、广发证券、西南证券、平安证券、中银国际、招商证券、中信证券、长江证券、中国国际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金融、兴业证券、国信证券、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浙商证券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、华泰证券、第一上海证券、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甬兴证券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晨泰医药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、康哲国际、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锐正基因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、华强鼎信、前海中民、天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同慧合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、北斗星太空融投资、知风咨询、国安保证担保、上海证券报、证券时报、界面财联社（排名不分先后）</w:t>
            </w:r>
          </w:p>
        </w:tc>
      </w:tr>
      <w:tr w:rsidR="001A1535" w14:paraId="381EF05D" w14:textId="77777777">
        <w:trPr>
          <w:trHeight w:val="558"/>
          <w:jc w:val="center"/>
        </w:trPr>
        <w:tc>
          <w:tcPr>
            <w:tcW w:w="2385" w:type="dxa"/>
            <w:vAlign w:val="center"/>
          </w:tcPr>
          <w:p w14:paraId="4D3D6C7D" w14:textId="77777777" w:rsidR="001A1535" w:rsidRDefault="006640B8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686" w:type="dxa"/>
            <w:vAlign w:val="center"/>
          </w:tcPr>
          <w:p w14:paraId="4877D479" w14:textId="77777777" w:rsidR="001A1535" w:rsidRDefault="006640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cs="仿宋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</w:p>
        </w:tc>
      </w:tr>
      <w:tr w:rsidR="001A1535" w14:paraId="645B10D0" w14:textId="77777777">
        <w:trPr>
          <w:trHeight w:val="552"/>
          <w:jc w:val="center"/>
        </w:trPr>
        <w:tc>
          <w:tcPr>
            <w:tcW w:w="2385" w:type="dxa"/>
            <w:vAlign w:val="center"/>
          </w:tcPr>
          <w:p w14:paraId="15F7E16D" w14:textId="77777777" w:rsidR="001A1535" w:rsidRDefault="006640B8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地点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86" w:type="dxa"/>
            <w:vAlign w:val="center"/>
          </w:tcPr>
          <w:p w14:paraId="618FCA91" w14:textId="77777777" w:rsidR="001A1535" w:rsidRDefault="006640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线上</w:t>
            </w:r>
            <w:r>
              <w:rPr>
                <w:rFonts w:ascii="仿宋" w:eastAsia="仿宋" w:hAnsi="仿宋" w:cs="仿宋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线下会议</w:t>
            </w:r>
          </w:p>
        </w:tc>
      </w:tr>
      <w:tr w:rsidR="001A1535" w14:paraId="30CDF70F" w14:textId="77777777">
        <w:trPr>
          <w:trHeight w:val="1056"/>
          <w:jc w:val="center"/>
        </w:trPr>
        <w:tc>
          <w:tcPr>
            <w:tcW w:w="2385" w:type="dxa"/>
            <w:vAlign w:val="center"/>
          </w:tcPr>
          <w:p w14:paraId="14A0EA3C" w14:textId="77777777" w:rsidR="001A1535" w:rsidRDefault="006640B8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上市公司</w:t>
            </w:r>
          </w:p>
          <w:p w14:paraId="7C46BE22" w14:textId="77777777" w:rsidR="001A1535" w:rsidRDefault="006640B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接待人员姓名</w:t>
            </w:r>
          </w:p>
        </w:tc>
        <w:tc>
          <w:tcPr>
            <w:tcW w:w="7686" w:type="dxa"/>
            <w:vAlign w:val="center"/>
          </w:tcPr>
          <w:p w14:paraId="40F92359" w14:textId="77777777" w:rsidR="001A1535" w:rsidRDefault="006640B8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林刚（实际控制人）、陈达彬（董事长）、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郭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远东（总经理）、周裕程（副董事长）、刘岚（副总经理、董事会秘书）、陈俊（财务总监）以及其他高级管理人员、温莉莉（证券事务代表）、刘冰凝（投资者关系管理）</w:t>
            </w:r>
          </w:p>
        </w:tc>
      </w:tr>
      <w:tr w:rsidR="001A1535" w14:paraId="534E3B3E" w14:textId="77777777">
        <w:trPr>
          <w:trHeight w:val="493"/>
          <w:jc w:val="center"/>
        </w:trPr>
        <w:tc>
          <w:tcPr>
            <w:tcW w:w="10071" w:type="dxa"/>
            <w:gridSpan w:val="2"/>
            <w:vAlign w:val="center"/>
          </w:tcPr>
          <w:p w14:paraId="688BB93D" w14:textId="77777777" w:rsidR="001A1535" w:rsidRDefault="006640B8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投资者关系活动沟通主要内容</w:t>
            </w:r>
          </w:p>
        </w:tc>
      </w:tr>
      <w:tr w:rsidR="001A1535" w14:paraId="3CA9627E" w14:textId="77777777">
        <w:trPr>
          <w:trHeight w:val="2113"/>
          <w:jc w:val="center"/>
        </w:trPr>
        <w:tc>
          <w:tcPr>
            <w:tcW w:w="10071" w:type="dxa"/>
            <w:gridSpan w:val="2"/>
            <w:vAlign w:val="center"/>
          </w:tcPr>
          <w:p w14:paraId="245EBB04" w14:textId="77777777" w:rsidR="001A1535" w:rsidRDefault="006640B8">
            <w:pPr>
              <w:spacing w:line="360" w:lineRule="auto"/>
              <w:ind w:firstLineChars="250" w:firstLine="602"/>
              <w:rPr>
                <w:rFonts w:ascii="仿宋" w:eastAsia="仿宋" w:hAnsi="仿宋" w:cs="仿宋"/>
                <w:b/>
                <w:sz w:val="24"/>
                <w:szCs w:val="24"/>
              </w:rPr>
            </w:pPr>
            <w:bookmarkStart w:id="0" w:name="_Toc136338099"/>
            <w:bookmarkStart w:id="1" w:name="_Toc173239398"/>
            <w:bookmarkStart w:id="2" w:name="_Toc146807425"/>
            <w:bookmarkStart w:id="3" w:name="_Toc204849746"/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、公司</w:t>
            </w:r>
            <w:proofErr w:type="gramStart"/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收购锐正基因</w:t>
            </w:r>
            <w:proofErr w:type="gramEnd"/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的</w:t>
            </w:r>
            <w:proofErr w:type="gramStart"/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考量</w:t>
            </w:r>
            <w:proofErr w:type="gramEnd"/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？后期</w:t>
            </w:r>
            <w:proofErr w:type="gramStart"/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对锐正</w:t>
            </w:r>
            <w:proofErr w:type="gramEnd"/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基因的管理及激励如何？</w:t>
            </w:r>
          </w:p>
          <w:p w14:paraId="24C0BCFE" w14:textId="77777777" w:rsidR="001A1535" w:rsidRDefault="006640B8">
            <w:pPr>
              <w:spacing w:line="360" w:lineRule="auto"/>
              <w:ind w:firstLineChars="250" w:firstLine="600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投资锐正基因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与公司转型发展战略高度契合，旨在通过投资前沿技术平台推动公司创新转型，有利于公司突破研发瓶颈，提升研发能力，增加在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产品储备，进一步拓展公司产品业务线，有利于公司寻求新的利润增长点及长远可持续发展。</w:t>
            </w:r>
          </w:p>
          <w:p w14:paraId="27CEA75F" w14:textId="77777777" w:rsidR="001A1535" w:rsidRDefault="006640B8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在控制权层面，西藏药业与康哲药业作为一致行动人共同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对锐正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基因形成控制，董事会席位共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席，本公司委派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席、康哲药业委派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席</w:t>
            </w:r>
            <w:r>
              <w:rPr>
                <w:rFonts w:ascii="仿宋" w:eastAsia="仿宋" w:hAnsi="仿宋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并将遵循上市公司治理规则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对锐正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基因进行管理。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锐正基因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有权按照研发里程碑发行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次总数为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的新员工持股计划作为股权激励。</w:t>
            </w:r>
          </w:p>
          <w:p w14:paraId="6A5D53DA" w14:textId="77777777" w:rsidR="001A1535" w:rsidRDefault="006640B8">
            <w:pPr>
              <w:spacing w:line="360" w:lineRule="auto"/>
              <w:ind w:firstLineChars="200" w:firstLine="482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、公司如何看待基因编辑行业的发展趋势？</w:t>
            </w:r>
          </w:p>
          <w:p w14:paraId="63E099A5" w14:textId="77777777" w:rsidR="001A1535" w:rsidRDefault="006640B8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随着科学技术的不断进步，细胞与基因治疗已成为医疗领域最具潜力和创新性的发展方向之一。国家高度重视该领域的发展，并通过一系列先行先试的政策措施，积极推动细胞与基因</w:t>
            </w: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治疗产业的快速健康发展。</w:t>
            </w:r>
            <w:r>
              <w:rPr>
                <w:rFonts w:ascii="仿宋" w:eastAsia="仿宋" w:hAnsi="仿宋"/>
                <w:sz w:val="24"/>
                <w:szCs w:val="24"/>
              </w:rPr>
              <w:t>2024</w:t>
            </w:r>
            <w:r>
              <w:rPr>
                <w:rFonts w:ascii="仿宋" w:eastAsia="仿宋" w:hAnsi="仿宋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月，工业和信息化部等七部门共同发</w:t>
            </w:r>
            <w:r>
              <w:rPr>
                <w:rFonts w:ascii="仿宋" w:eastAsia="仿宋" w:hAnsi="仿宋"/>
                <w:sz w:val="24"/>
                <w:szCs w:val="24"/>
              </w:rPr>
              <w:t>布的《关于推动未来产业创新发展的实施意见》，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将细胞与基因技术列为未来产业重点发展方向，</w:t>
            </w:r>
            <w:r>
              <w:rPr>
                <w:rFonts w:ascii="仿宋" w:eastAsia="仿宋" w:hAnsi="仿宋"/>
                <w:sz w:val="24"/>
                <w:szCs w:val="24"/>
              </w:rPr>
              <w:t>明确指出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加快细胞和基因技术、合成生物、生物育种等前沿技术产业化。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025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日，</w:t>
            </w:r>
            <w:r>
              <w:rPr>
                <w:rFonts w:ascii="仿宋" w:eastAsia="仿宋" w:hAnsi="仿宋"/>
                <w:sz w:val="24"/>
                <w:szCs w:val="24"/>
              </w:rPr>
              <w:t>国务院常务会议审议通过《生物医学新技术临床研究和临床转化应用管理条例（草案）》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/>
                <w:sz w:val="24"/>
                <w:szCs w:val="24"/>
              </w:rPr>
              <w:t>指出要推动我国生物医学技术创新发展，加快技术研发和成果转化应用，促进生物医药产业提质升级，着力塑造发展新优势。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随着政策的逐步落地和产业的不断发展，未来细胞与基因治疗领域将取得更多的突破和进展，为人类的健康事业做出更大的贡献。</w:t>
            </w:r>
          </w:p>
          <w:p w14:paraId="33552D54" w14:textId="77777777" w:rsidR="001A1535" w:rsidRDefault="006640B8">
            <w:pPr>
              <w:spacing w:line="360" w:lineRule="auto"/>
              <w:ind w:firstLineChars="200" w:firstLine="482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、</w:t>
            </w:r>
            <w:proofErr w:type="gramStart"/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晨泰产品</w:t>
            </w:r>
            <w:proofErr w:type="gramEnd"/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佐</w:t>
            </w:r>
            <w:proofErr w:type="gramStart"/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利替尼</w:t>
            </w:r>
            <w:proofErr w:type="gramEnd"/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后续销售预期如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何？</w:t>
            </w:r>
            <w:r>
              <w:rPr>
                <w:rFonts w:ascii="仿宋" w:eastAsia="仿宋" w:hAnsi="仿宋" w:cs="仿宋"/>
                <w:b/>
                <w:sz w:val="24"/>
                <w:szCs w:val="24"/>
              </w:rPr>
              <w:t xml:space="preserve"> </w:t>
            </w:r>
          </w:p>
          <w:p w14:paraId="17B8B930" w14:textId="77777777" w:rsidR="001A1535" w:rsidRDefault="006640B8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晨泰产品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佐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利替尼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是全世界首款专门面向伴中枢神经系统（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CNS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）转移的晚期非小细胞肺癌（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NSCLC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）开展注册临床试验并取得显著成果的药物，作为目前唯一明确采用非血脑屏障外排蛋白底物设计的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EGFR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酪氨酸激酶抑制剂（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EGFR-TKI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），具有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100%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透过血脑屏障的能力。</w:t>
            </w:r>
          </w:p>
          <w:p w14:paraId="24A51EDC" w14:textId="77777777" w:rsidR="001A1535" w:rsidRDefault="006640B8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bookmarkStart w:id="4" w:name="OLE_LINK4"/>
            <w:bookmarkStart w:id="5" w:name="OLE_LINK3"/>
            <w:r>
              <w:rPr>
                <w:rFonts w:ascii="仿宋" w:eastAsia="仿宋" w:hAnsi="仿宋"/>
                <w:sz w:val="24"/>
                <w:szCs w:val="24"/>
              </w:rPr>
              <w:t>佐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利替尼</w:t>
            </w:r>
            <w:bookmarkEnd w:id="4"/>
            <w:bookmarkEnd w:id="5"/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于今年上半年正式商业化，鉴</w:t>
            </w:r>
            <w:r>
              <w:rPr>
                <w:rFonts w:ascii="仿宋" w:eastAsia="仿宋" w:hAnsi="仿宋"/>
                <w:sz w:val="24"/>
                <w:szCs w:val="24"/>
              </w:rPr>
              <w:t>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目前</w:t>
            </w:r>
            <w:r>
              <w:rPr>
                <w:rFonts w:ascii="仿宋" w:eastAsia="仿宋" w:hAnsi="仿宋"/>
                <w:sz w:val="24"/>
                <w:szCs w:val="24"/>
              </w:rPr>
              <w:t>处于起步阶段，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预计今年</w:t>
            </w:r>
            <w:r>
              <w:rPr>
                <w:rFonts w:ascii="仿宋" w:eastAsia="仿宋" w:hAnsi="仿宋"/>
                <w:sz w:val="24"/>
                <w:szCs w:val="24"/>
              </w:rPr>
              <w:t>收益对公司影响不大。</w:t>
            </w:r>
          </w:p>
          <w:p w14:paraId="50DC3C61" w14:textId="77777777" w:rsidR="001A1535" w:rsidRDefault="006640B8">
            <w:pPr>
              <w:spacing w:line="360" w:lineRule="auto"/>
              <w:ind w:firstLineChars="200" w:firstLine="482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、公司中成药产品发展情况？后期的增长点是什么？</w:t>
            </w:r>
          </w:p>
          <w:p w14:paraId="6AB692AB" w14:textId="77777777" w:rsidR="001A1535" w:rsidRDefault="006640B8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前期</w:t>
            </w:r>
            <w:r>
              <w:rPr>
                <w:rFonts w:ascii="仿宋" w:eastAsia="仿宋" w:hAnsi="仿宋"/>
                <w:sz w:val="24"/>
                <w:szCs w:val="24"/>
              </w:rPr>
              <w:t>公司对中成药产品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进行</w:t>
            </w:r>
            <w:r>
              <w:rPr>
                <w:rFonts w:ascii="仿宋" w:eastAsia="仿宋" w:hAnsi="仿宋"/>
                <w:sz w:val="24"/>
                <w:szCs w:val="24"/>
              </w:rPr>
              <w:t>市场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开拓并初见成效，</w:t>
            </w:r>
            <w:r>
              <w:rPr>
                <w:rFonts w:ascii="仿宋" w:eastAsia="仿宋" w:hAnsi="仿宋"/>
                <w:sz w:val="24"/>
                <w:szCs w:val="24"/>
              </w:rPr>
              <w:t>预计未来几年中成药产品会有良好的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市场</w:t>
            </w:r>
            <w:r>
              <w:rPr>
                <w:rFonts w:ascii="仿宋" w:eastAsia="仿宋" w:hAnsi="仿宋"/>
                <w:sz w:val="24"/>
                <w:szCs w:val="24"/>
              </w:rPr>
              <w:t>表现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并</w:t>
            </w:r>
            <w:r>
              <w:rPr>
                <w:rFonts w:ascii="仿宋" w:eastAsia="仿宋" w:hAnsi="仿宋"/>
                <w:sz w:val="24"/>
                <w:szCs w:val="24"/>
              </w:rPr>
              <w:t>逐步扩大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销售</w:t>
            </w:r>
            <w:r>
              <w:rPr>
                <w:rFonts w:ascii="仿宋" w:eastAsia="仿宋" w:hAnsi="仿宋"/>
                <w:sz w:val="24"/>
                <w:szCs w:val="24"/>
              </w:rPr>
              <w:t>占比。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后期公司将通过产品力重塑、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布局电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商、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抖音等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新媒体渠道，进一步提升产品力，拓宽营销通路。</w:t>
            </w:r>
          </w:p>
          <w:p w14:paraId="3B6E265D" w14:textId="77777777" w:rsidR="001A1535" w:rsidRDefault="006640B8">
            <w:pPr>
              <w:spacing w:line="360" w:lineRule="auto"/>
              <w:ind w:firstLineChars="200" w:firstLine="482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、</w:t>
            </w:r>
            <w:proofErr w:type="gramStart"/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新活素竞品及医</w:t>
            </w:r>
            <w:proofErr w:type="gramEnd"/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保续约情况如何？</w:t>
            </w:r>
            <w:r>
              <w:rPr>
                <w:rFonts w:ascii="仿宋" w:eastAsia="仿宋" w:hAnsi="仿宋" w:cs="仿宋"/>
                <w:b/>
                <w:sz w:val="24"/>
                <w:szCs w:val="24"/>
              </w:rPr>
              <w:t xml:space="preserve"> </w:t>
            </w:r>
          </w:p>
          <w:p w14:paraId="1C8AC611" w14:textId="77777777" w:rsidR="001A1535" w:rsidRDefault="006640B8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目前除苏州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兰鼎获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批上市外，其他公司研发还处于临床阶段。我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公司新活素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已覆盖近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家医院终端，分布范围广，风险低，基本盘稳健；其次，根据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2023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年《临床心血管病杂志》中心衰的流行病学显示，中国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岁以上心衰患者约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1210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万，每年新发心衰患者人数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万人次，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新活素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覆盖率不高。</w:t>
            </w:r>
          </w:p>
          <w:p w14:paraId="6DBCDBA9" w14:textId="77777777" w:rsidR="001A1535" w:rsidRDefault="006640B8">
            <w:pPr>
              <w:spacing w:line="360" w:lineRule="auto"/>
              <w:ind w:left="482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新活素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今年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医保谈判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能否进常规目录具体情况需看届时政策及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医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保局通知。</w:t>
            </w:r>
          </w:p>
          <w:p w14:paraId="24026735" w14:textId="77777777" w:rsidR="001A1535" w:rsidRDefault="006640B8">
            <w:pPr>
              <w:spacing w:line="360" w:lineRule="auto"/>
              <w:ind w:firstLineChars="200" w:firstLine="482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、</w:t>
            </w:r>
            <w:proofErr w:type="gramStart"/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后期新活素</w:t>
            </w:r>
            <w:proofErr w:type="gramEnd"/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增速如何？面临增速放缓的应对措施？</w:t>
            </w:r>
          </w:p>
          <w:p w14:paraId="6A01E72B" w14:textId="77777777" w:rsidR="001A1535" w:rsidRDefault="006640B8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新活素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后期增速与宏观环境、行业政策、竞争格局等多种因素相关。公司按照战略规划，持续推进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新活素销售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工作，积极拓展医院；同时，公司已启动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新活素循证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医学探索性研究，进一步拓展销售渠道，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提升新活素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销售。</w:t>
            </w:r>
          </w:p>
          <w:p w14:paraId="13A9C754" w14:textId="1DF2EFCD" w:rsidR="001A1535" w:rsidRDefault="006640B8">
            <w:pPr>
              <w:pStyle w:val="2"/>
              <w:spacing w:before="0" w:after="0" w:line="360" w:lineRule="auto"/>
              <w:ind w:firstLineChars="200" w:firstLine="482"/>
              <w:rPr>
                <w:rFonts w:ascii="仿宋" w:eastAsia="仿宋" w:hAnsi="仿宋" w:cs="仿宋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bCs w:val="0"/>
                <w:sz w:val="24"/>
                <w:szCs w:val="24"/>
              </w:rPr>
              <w:t>、公司与康哲药业的协作模式如何？康哲药业</w:t>
            </w:r>
            <w:bookmarkStart w:id="6" w:name="_GoBack"/>
            <w:bookmarkEnd w:id="6"/>
            <w:r>
              <w:rPr>
                <w:rFonts w:ascii="仿宋" w:eastAsia="仿宋" w:hAnsi="仿宋" w:cs="仿宋" w:hint="eastAsia"/>
                <w:bCs w:val="0"/>
                <w:sz w:val="24"/>
                <w:szCs w:val="24"/>
              </w:rPr>
              <w:t>对公司的支持？</w:t>
            </w:r>
          </w:p>
          <w:p w14:paraId="37D5099E" w14:textId="50F9A73D" w:rsidR="001A1535" w:rsidRDefault="006640B8">
            <w:pPr>
              <w:widowControl/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自</w:t>
            </w:r>
            <w:r>
              <w:rPr>
                <w:rFonts w:ascii="仿宋" w:eastAsia="仿宋" w:hAnsi="仿宋"/>
                <w:sz w:val="24"/>
                <w:szCs w:val="24"/>
              </w:rPr>
              <w:t>2014</w:t>
            </w:r>
            <w:r>
              <w:rPr>
                <w:rFonts w:ascii="仿宋" w:eastAsia="仿宋" w:hAnsi="仿宋"/>
                <w:sz w:val="24"/>
                <w:szCs w:val="24"/>
              </w:rPr>
              <w:t>年康哲</w:t>
            </w:r>
            <w:r w:rsidR="006870C7">
              <w:rPr>
                <w:rFonts w:ascii="仿宋" w:eastAsia="仿宋" w:hAnsi="仿宋" w:hint="eastAsia"/>
                <w:sz w:val="24"/>
                <w:szCs w:val="24"/>
              </w:rPr>
              <w:t>药业</w:t>
            </w:r>
            <w:r>
              <w:rPr>
                <w:rFonts w:ascii="仿宋" w:eastAsia="仿宋" w:hAnsi="仿宋"/>
                <w:sz w:val="24"/>
                <w:szCs w:val="24"/>
              </w:rPr>
              <w:t>成为公司控股股东以来，双方建立了稳定、高效的协作机制。康哲</w:t>
            </w:r>
            <w:r w:rsidR="006870C7">
              <w:rPr>
                <w:rFonts w:ascii="仿宋" w:eastAsia="仿宋" w:hAnsi="仿宋" w:hint="eastAsia"/>
                <w:sz w:val="24"/>
                <w:szCs w:val="24"/>
              </w:rPr>
              <w:t>药业</w:t>
            </w:r>
            <w:r>
              <w:rPr>
                <w:rFonts w:ascii="仿宋" w:eastAsia="仿宋" w:hAnsi="仿宋"/>
                <w:sz w:val="24"/>
                <w:szCs w:val="24"/>
              </w:rPr>
              <w:t>通过依法派驻董事及高级管理人员，有效传导其长期发展战略，保障了公司治理结构的规范运作。康哲</w:t>
            </w:r>
            <w:r w:rsidR="006870C7">
              <w:rPr>
                <w:rFonts w:ascii="仿宋" w:eastAsia="仿宋" w:hAnsi="仿宋" w:hint="eastAsia"/>
                <w:sz w:val="24"/>
                <w:szCs w:val="24"/>
              </w:rPr>
              <w:t>药业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拥有强大的</w:t>
            </w:r>
            <w:r>
              <w:rPr>
                <w:rFonts w:ascii="仿宋" w:eastAsia="仿宋" w:hAnsi="仿宋"/>
                <w:sz w:val="24"/>
                <w:szCs w:val="24"/>
              </w:rPr>
              <w:t>BD</w:t>
            </w:r>
            <w:r>
              <w:rPr>
                <w:rFonts w:ascii="仿宋" w:eastAsia="仿宋" w:hAnsi="仿宋"/>
                <w:sz w:val="24"/>
                <w:szCs w:val="24"/>
              </w:rPr>
              <w:t>团队，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协助支持</w:t>
            </w:r>
            <w:r>
              <w:rPr>
                <w:rFonts w:ascii="仿宋" w:eastAsia="仿宋" w:hAnsi="仿宋"/>
                <w:sz w:val="24"/>
                <w:szCs w:val="24"/>
              </w:rPr>
              <w:t>公司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达成战略目标。</w:t>
            </w:r>
            <w:r>
              <w:rPr>
                <w:rFonts w:ascii="仿宋" w:eastAsia="仿宋" w:hAnsi="仿宋"/>
                <w:sz w:val="24"/>
                <w:szCs w:val="24"/>
              </w:rPr>
              <w:t>双</w:t>
            </w:r>
            <w:r>
              <w:rPr>
                <w:rFonts w:ascii="仿宋" w:eastAsia="仿宋" w:hAnsi="仿宋"/>
                <w:sz w:val="24"/>
                <w:szCs w:val="24"/>
              </w:rPr>
              <w:t>方通过优势互补与协同合作，共同支持公司业务结构的优化与战略转型目标的顺利实现。</w:t>
            </w:r>
          </w:p>
          <w:p w14:paraId="5C08254E" w14:textId="77777777" w:rsidR="001A1535" w:rsidRDefault="006640B8">
            <w:pPr>
              <w:spacing w:line="360" w:lineRule="auto"/>
              <w:ind w:firstLineChars="200" w:firstLine="482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sz w:val="24"/>
                <w:szCs w:val="24"/>
              </w:rPr>
              <w:lastRenderedPageBreak/>
              <w:t>8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、公司未来的发展计划是怎样的？如何提升创新转型的确定性？</w:t>
            </w:r>
          </w:p>
          <w:p w14:paraId="4A15C632" w14:textId="77777777" w:rsidR="001A1535" w:rsidRDefault="006640B8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bookmarkStart w:id="7" w:name="OLE_LINK5"/>
            <w:bookmarkStart w:id="8" w:name="OLE_LINK6"/>
            <w:r>
              <w:rPr>
                <w:rFonts w:ascii="仿宋" w:eastAsia="仿宋" w:hAnsi="仿宋" w:hint="eastAsia"/>
                <w:sz w:val="24"/>
                <w:szCs w:val="24"/>
              </w:rPr>
              <w:t>未来，公司将在进一步明确创新转型战略的基础上，持续加大研发投入与项目引进力度，实现“内源性增长”“外源性增长”双路径发力；以“新媒体营销”与“创新药研发”为双轮驱动，全面提升盈利能力和可持续发展能力，助力实现公司高质量增长。</w:t>
            </w:r>
          </w:p>
          <w:p w14:paraId="2FFCBC3D" w14:textId="77777777" w:rsidR="001A1535" w:rsidRDefault="006640B8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公司将努力提升自身的综合实力，</w:t>
            </w:r>
            <w:r>
              <w:rPr>
                <w:rFonts w:ascii="仿宋" w:eastAsia="仿宋" w:hAnsi="仿宋"/>
                <w:sz w:val="24"/>
                <w:szCs w:val="24"/>
              </w:rPr>
              <w:t>以稳健的财务基础为后盾，完善人才体系建设，通过系统性的方法和管理，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提升创新转型</w:t>
            </w:r>
            <w:r>
              <w:rPr>
                <w:rFonts w:ascii="仿宋" w:eastAsia="仿宋" w:hAnsi="仿宋"/>
                <w:sz w:val="24"/>
                <w:szCs w:val="24"/>
              </w:rPr>
              <w:t>的确定性。</w:t>
            </w:r>
            <w:bookmarkEnd w:id="0"/>
            <w:bookmarkEnd w:id="1"/>
            <w:bookmarkEnd w:id="2"/>
            <w:bookmarkEnd w:id="3"/>
            <w:bookmarkEnd w:id="7"/>
            <w:bookmarkEnd w:id="8"/>
          </w:p>
        </w:tc>
      </w:tr>
      <w:tr w:rsidR="001A1535" w14:paraId="5045DCA6" w14:textId="77777777">
        <w:trPr>
          <w:trHeight w:val="420"/>
          <w:jc w:val="center"/>
        </w:trPr>
        <w:tc>
          <w:tcPr>
            <w:tcW w:w="2385" w:type="dxa"/>
            <w:vAlign w:val="center"/>
          </w:tcPr>
          <w:p w14:paraId="4934619A" w14:textId="77777777" w:rsidR="001A1535" w:rsidRDefault="006640B8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lastRenderedPageBreak/>
              <w:t>附件</w:t>
            </w:r>
          </w:p>
        </w:tc>
        <w:tc>
          <w:tcPr>
            <w:tcW w:w="7686" w:type="dxa"/>
            <w:vAlign w:val="center"/>
          </w:tcPr>
          <w:p w14:paraId="79912503" w14:textId="77777777" w:rsidR="001A1535" w:rsidRDefault="006640B8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无</w:t>
            </w:r>
          </w:p>
        </w:tc>
      </w:tr>
      <w:tr w:rsidR="001A1535" w14:paraId="4D94BE46" w14:textId="77777777">
        <w:trPr>
          <w:trHeight w:val="466"/>
          <w:jc w:val="center"/>
        </w:trPr>
        <w:tc>
          <w:tcPr>
            <w:tcW w:w="2385" w:type="dxa"/>
            <w:vAlign w:val="center"/>
          </w:tcPr>
          <w:p w14:paraId="232EB030" w14:textId="77777777" w:rsidR="001A1535" w:rsidRDefault="006640B8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7686" w:type="dxa"/>
            <w:vAlign w:val="center"/>
          </w:tcPr>
          <w:p w14:paraId="5129D9C8" w14:textId="77777777" w:rsidR="001A1535" w:rsidRDefault="006640B8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本次调研不涉及应当披露重大信息的泄露情况。</w:t>
            </w:r>
          </w:p>
        </w:tc>
      </w:tr>
      <w:tr w:rsidR="001A1535" w14:paraId="693BF6B8" w14:textId="77777777">
        <w:trPr>
          <w:trHeight w:val="496"/>
          <w:jc w:val="center"/>
        </w:trPr>
        <w:tc>
          <w:tcPr>
            <w:tcW w:w="2385" w:type="dxa"/>
            <w:vAlign w:val="center"/>
          </w:tcPr>
          <w:p w14:paraId="5E545D7E" w14:textId="77777777" w:rsidR="001A1535" w:rsidRDefault="006640B8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7686" w:type="dxa"/>
            <w:vAlign w:val="center"/>
          </w:tcPr>
          <w:p w14:paraId="65939159" w14:textId="77777777" w:rsidR="001A1535" w:rsidRDefault="006640B8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</w:tbl>
    <w:p w14:paraId="3C74E68E" w14:textId="77777777" w:rsidR="001A1535" w:rsidRDefault="001A1535">
      <w:pPr>
        <w:rPr>
          <w:rFonts w:asciiTheme="minorEastAsia" w:hAnsiTheme="minorEastAsia" w:cstheme="minorEastAsia"/>
        </w:rPr>
      </w:pPr>
    </w:p>
    <w:sectPr w:rsidR="001A1535">
      <w:pgSz w:w="11906" w:h="16838"/>
      <w:pgMar w:top="907" w:right="1247" w:bottom="907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1F"/>
    <w:rsid w:val="00001BA9"/>
    <w:rsid w:val="000022E3"/>
    <w:rsid w:val="000029F5"/>
    <w:rsid w:val="00004E57"/>
    <w:rsid w:val="00006B81"/>
    <w:rsid w:val="0000730E"/>
    <w:rsid w:val="00007EF1"/>
    <w:rsid w:val="00010563"/>
    <w:rsid w:val="0001123F"/>
    <w:rsid w:val="0001137B"/>
    <w:rsid w:val="00014CA5"/>
    <w:rsid w:val="00015331"/>
    <w:rsid w:val="00015525"/>
    <w:rsid w:val="0002369F"/>
    <w:rsid w:val="00024BBF"/>
    <w:rsid w:val="0003097E"/>
    <w:rsid w:val="00030C45"/>
    <w:rsid w:val="0003121B"/>
    <w:rsid w:val="000352AF"/>
    <w:rsid w:val="0003618F"/>
    <w:rsid w:val="0003786D"/>
    <w:rsid w:val="00040925"/>
    <w:rsid w:val="000439EA"/>
    <w:rsid w:val="000573C0"/>
    <w:rsid w:val="00057EE7"/>
    <w:rsid w:val="00072B96"/>
    <w:rsid w:val="000745CE"/>
    <w:rsid w:val="00075491"/>
    <w:rsid w:val="0007783E"/>
    <w:rsid w:val="000801DD"/>
    <w:rsid w:val="00080466"/>
    <w:rsid w:val="00082E5E"/>
    <w:rsid w:val="000842D3"/>
    <w:rsid w:val="0008575C"/>
    <w:rsid w:val="0008622E"/>
    <w:rsid w:val="00097C0B"/>
    <w:rsid w:val="000A0B87"/>
    <w:rsid w:val="000A3AC2"/>
    <w:rsid w:val="000B04E5"/>
    <w:rsid w:val="000B3E5C"/>
    <w:rsid w:val="000B459C"/>
    <w:rsid w:val="000B686A"/>
    <w:rsid w:val="000C246B"/>
    <w:rsid w:val="000C2A74"/>
    <w:rsid w:val="000C722F"/>
    <w:rsid w:val="000D4C45"/>
    <w:rsid w:val="000E0FA3"/>
    <w:rsid w:val="000E263F"/>
    <w:rsid w:val="000E2CFF"/>
    <w:rsid w:val="000E2E51"/>
    <w:rsid w:val="000F1E0C"/>
    <w:rsid w:val="000F3DF5"/>
    <w:rsid w:val="00102CD0"/>
    <w:rsid w:val="00106578"/>
    <w:rsid w:val="00106A75"/>
    <w:rsid w:val="001120A0"/>
    <w:rsid w:val="00112471"/>
    <w:rsid w:val="00112B0E"/>
    <w:rsid w:val="001150CD"/>
    <w:rsid w:val="00120183"/>
    <w:rsid w:val="00127537"/>
    <w:rsid w:val="00127C38"/>
    <w:rsid w:val="0013166A"/>
    <w:rsid w:val="0013182F"/>
    <w:rsid w:val="0013227F"/>
    <w:rsid w:val="00133320"/>
    <w:rsid w:val="00142C34"/>
    <w:rsid w:val="00144278"/>
    <w:rsid w:val="0014442D"/>
    <w:rsid w:val="001462E3"/>
    <w:rsid w:val="001507B4"/>
    <w:rsid w:val="001539FA"/>
    <w:rsid w:val="00153C54"/>
    <w:rsid w:val="00155772"/>
    <w:rsid w:val="0015602F"/>
    <w:rsid w:val="00156DA8"/>
    <w:rsid w:val="0016178F"/>
    <w:rsid w:val="001619E1"/>
    <w:rsid w:val="00161DCD"/>
    <w:rsid w:val="00166FDF"/>
    <w:rsid w:val="001674DD"/>
    <w:rsid w:val="0017139D"/>
    <w:rsid w:val="00172324"/>
    <w:rsid w:val="001735D5"/>
    <w:rsid w:val="00173CFD"/>
    <w:rsid w:val="001756D3"/>
    <w:rsid w:val="0017738D"/>
    <w:rsid w:val="00177645"/>
    <w:rsid w:val="0018252B"/>
    <w:rsid w:val="00183128"/>
    <w:rsid w:val="00183545"/>
    <w:rsid w:val="00185CCD"/>
    <w:rsid w:val="001903FB"/>
    <w:rsid w:val="001918C4"/>
    <w:rsid w:val="001945BC"/>
    <w:rsid w:val="00195B34"/>
    <w:rsid w:val="00197745"/>
    <w:rsid w:val="00197894"/>
    <w:rsid w:val="00197EDE"/>
    <w:rsid w:val="001A1535"/>
    <w:rsid w:val="001A4B63"/>
    <w:rsid w:val="001A78DE"/>
    <w:rsid w:val="001B045F"/>
    <w:rsid w:val="001B5168"/>
    <w:rsid w:val="001B5663"/>
    <w:rsid w:val="001B62A7"/>
    <w:rsid w:val="001B759A"/>
    <w:rsid w:val="001B768F"/>
    <w:rsid w:val="001C6EE3"/>
    <w:rsid w:val="001C7E60"/>
    <w:rsid w:val="001D6D68"/>
    <w:rsid w:val="001E01DB"/>
    <w:rsid w:val="001E445D"/>
    <w:rsid w:val="001E6D03"/>
    <w:rsid w:val="001E6F85"/>
    <w:rsid w:val="001E7422"/>
    <w:rsid w:val="001F2B2E"/>
    <w:rsid w:val="00204279"/>
    <w:rsid w:val="002110AD"/>
    <w:rsid w:val="00214D30"/>
    <w:rsid w:val="00222B33"/>
    <w:rsid w:val="002233D7"/>
    <w:rsid w:val="00225B54"/>
    <w:rsid w:val="00227E5A"/>
    <w:rsid w:val="0023089A"/>
    <w:rsid w:val="002327DC"/>
    <w:rsid w:val="00233AF1"/>
    <w:rsid w:val="002362C6"/>
    <w:rsid w:val="002371DF"/>
    <w:rsid w:val="00242178"/>
    <w:rsid w:val="002430AC"/>
    <w:rsid w:val="00243212"/>
    <w:rsid w:val="002479ED"/>
    <w:rsid w:val="002518C7"/>
    <w:rsid w:val="00256F0A"/>
    <w:rsid w:val="00260CAD"/>
    <w:rsid w:val="0026231D"/>
    <w:rsid w:val="002626C3"/>
    <w:rsid w:val="00262EE1"/>
    <w:rsid w:val="00263B4D"/>
    <w:rsid w:val="00264283"/>
    <w:rsid w:val="0026588C"/>
    <w:rsid w:val="00265A02"/>
    <w:rsid w:val="0027057E"/>
    <w:rsid w:val="002705E8"/>
    <w:rsid w:val="00272619"/>
    <w:rsid w:val="00276D79"/>
    <w:rsid w:val="00280A93"/>
    <w:rsid w:val="002819F5"/>
    <w:rsid w:val="002839B3"/>
    <w:rsid w:val="00284BE4"/>
    <w:rsid w:val="00291C68"/>
    <w:rsid w:val="00293B30"/>
    <w:rsid w:val="00293F9D"/>
    <w:rsid w:val="00295AAC"/>
    <w:rsid w:val="00295F63"/>
    <w:rsid w:val="002963C8"/>
    <w:rsid w:val="002A66DC"/>
    <w:rsid w:val="002A6C85"/>
    <w:rsid w:val="002B0343"/>
    <w:rsid w:val="002B10BB"/>
    <w:rsid w:val="002B30E1"/>
    <w:rsid w:val="002C0D72"/>
    <w:rsid w:val="002C39E4"/>
    <w:rsid w:val="002C3F42"/>
    <w:rsid w:val="002C681E"/>
    <w:rsid w:val="002D42BE"/>
    <w:rsid w:val="002E3A7E"/>
    <w:rsid w:val="002E79E9"/>
    <w:rsid w:val="002F0AB1"/>
    <w:rsid w:val="002F220E"/>
    <w:rsid w:val="003009FF"/>
    <w:rsid w:val="00305436"/>
    <w:rsid w:val="003061F9"/>
    <w:rsid w:val="0030776A"/>
    <w:rsid w:val="00311CC1"/>
    <w:rsid w:val="00312F1E"/>
    <w:rsid w:val="00314404"/>
    <w:rsid w:val="00314AFB"/>
    <w:rsid w:val="003150A8"/>
    <w:rsid w:val="003154A5"/>
    <w:rsid w:val="0031622A"/>
    <w:rsid w:val="00320DF8"/>
    <w:rsid w:val="00322B60"/>
    <w:rsid w:val="0032509A"/>
    <w:rsid w:val="0032702D"/>
    <w:rsid w:val="0033165F"/>
    <w:rsid w:val="00332484"/>
    <w:rsid w:val="003338E0"/>
    <w:rsid w:val="00336FFD"/>
    <w:rsid w:val="00340930"/>
    <w:rsid w:val="003417F3"/>
    <w:rsid w:val="00342962"/>
    <w:rsid w:val="00352465"/>
    <w:rsid w:val="00353F62"/>
    <w:rsid w:val="003543AE"/>
    <w:rsid w:val="003546ED"/>
    <w:rsid w:val="003547C6"/>
    <w:rsid w:val="0035622D"/>
    <w:rsid w:val="00360755"/>
    <w:rsid w:val="003611D6"/>
    <w:rsid w:val="00363E04"/>
    <w:rsid w:val="00364EAD"/>
    <w:rsid w:val="00366288"/>
    <w:rsid w:val="003663F9"/>
    <w:rsid w:val="00367469"/>
    <w:rsid w:val="00370705"/>
    <w:rsid w:val="003723AC"/>
    <w:rsid w:val="003731C9"/>
    <w:rsid w:val="003756BA"/>
    <w:rsid w:val="003758F8"/>
    <w:rsid w:val="003766BB"/>
    <w:rsid w:val="00376CE0"/>
    <w:rsid w:val="00377A0F"/>
    <w:rsid w:val="00377AF2"/>
    <w:rsid w:val="00380DF9"/>
    <w:rsid w:val="00384462"/>
    <w:rsid w:val="00384F1E"/>
    <w:rsid w:val="00386F53"/>
    <w:rsid w:val="00391C85"/>
    <w:rsid w:val="00391CF8"/>
    <w:rsid w:val="003A026D"/>
    <w:rsid w:val="003A4B35"/>
    <w:rsid w:val="003A69CE"/>
    <w:rsid w:val="003A7DE4"/>
    <w:rsid w:val="003B105F"/>
    <w:rsid w:val="003B12D5"/>
    <w:rsid w:val="003B6B73"/>
    <w:rsid w:val="003B74E2"/>
    <w:rsid w:val="003B7E21"/>
    <w:rsid w:val="003C0154"/>
    <w:rsid w:val="003C0373"/>
    <w:rsid w:val="003C1067"/>
    <w:rsid w:val="003C1811"/>
    <w:rsid w:val="003C3113"/>
    <w:rsid w:val="003C5A99"/>
    <w:rsid w:val="003D13EE"/>
    <w:rsid w:val="003D4FF7"/>
    <w:rsid w:val="003D538A"/>
    <w:rsid w:val="003D57A2"/>
    <w:rsid w:val="003D645C"/>
    <w:rsid w:val="003D7B2D"/>
    <w:rsid w:val="003E03E1"/>
    <w:rsid w:val="003E0582"/>
    <w:rsid w:val="003E0F1A"/>
    <w:rsid w:val="003E15BB"/>
    <w:rsid w:val="003E2886"/>
    <w:rsid w:val="003E2C9E"/>
    <w:rsid w:val="003E2D4C"/>
    <w:rsid w:val="003E3065"/>
    <w:rsid w:val="003E435C"/>
    <w:rsid w:val="003F3FDC"/>
    <w:rsid w:val="003F6BE6"/>
    <w:rsid w:val="003F74A6"/>
    <w:rsid w:val="00401A96"/>
    <w:rsid w:val="00402359"/>
    <w:rsid w:val="00405287"/>
    <w:rsid w:val="00406EB3"/>
    <w:rsid w:val="0040752B"/>
    <w:rsid w:val="00412146"/>
    <w:rsid w:val="004124BA"/>
    <w:rsid w:val="004156A1"/>
    <w:rsid w:val="00417534"/>
    <w:rsid w:val="004203FD"/>
    <w:rsid w:val="00420E3C"/>
    <w:rsid w:val="004226F0"/>
    <w:rsid w:val="00423826"/>
    <w:rsid w:val="00430F82"/>
    <w:rsid w:val="00431CC6"/>
    <w:rsid w:val="00431D6A"/>
    <w:rsid w:val="004341D9"/>
    <w:rsid w:val="00436F27"/>
    <w:rsid w:val="004425C9"/>
    <w:rsid w:val="00445874"/>
    <w:rsid w:val="00452BE3"/>
    <w:rsid w:val="00457441"/>
    <w:rsid w:val="00457513"/>
    <w:rsid w:val="004623CF"/>
    <w:rsid w:val="004623E5"/>
    <w:rsid w:val="00465DA9"/>
    <w:rsid w:val="0046680E"/>
    <w:rsid w:val="004700B7"/>
    <w:rsid w:val="00475EE7"/>
    <w:rsid w:val="0048059C"/>
    <w:rsid w:val="00481F7D"/>
    <w:rsid w:val="00485BA5"/>
    <w:rsid w:val="00485ECF"/>
    <w:rsid w:val="00491860"/>
    <w:rsid w:val="0049365B"/>
    <w:rsid w:val="00493E01"/>
    <w:rsid w:val="00496567"/>
    <w:rsid w:val="004A5554"/>
    <w:rsid w:val="004A55DE"/>
    <w:rsid w:val="004A5EDB"/>
    <w:rsid w:val="004B152D"/>
    <w:rsid w:val="004B1FCE"/>
    <w:rsid w:val="004B28CF"/>
    <w:rsid w:val="004B2A71"/>
    <w:rsid w:val="004B3291"/>
    <w:rsid w:val="004B3973"/>
    <w:rsid w:val="004B3B35"/>
    <w:rsid w:val="004B3D81"/>
    <w:rsid w:val="004B40BE"/>
    <w:rsid w:val="004C1ECE"/>
    <w:rsid w:val="004C2F8A"/>
    <w:rsid w:val="004C404D"/>
    <w:rsid w:val="004C55AF"/>
    <w:rsid w:val="004C5606"/>
    <w:rsid w:val="004C5A87"/>
    <w:rsid w:val="004D4D08"/>
    <w:rsid w:val="004E6146"/>
    <w:rsid w:val="004E65CA"/>
    <w:rsid w:val="004F0FA6"/>
    <w:rsid w:val="004F5577"/>
    <w:rsid w:val="004F63C7"/>
    <w:rsid w:val="004F7812"/>
    <w:rsid w:val="004F7C87"/>
    <w:rsid w:val="004F7FC7"/>
    <w:rsid w:val="0050255E"/>
    <w:rsid w:val="005038C1"/>
    <w:rsid w:val="00506717"/>
    <w:rsid w:val="005076C1"/>
    <w:rsid w:val="00510242"/>
    <w:rsid w:val="00510CA2"/>
    <w:rsid w:val="00510F91"/>
    <w:rsid w:val="00511123"/>
    <w:rsid w:val="005118A7"/>
    <w:rsid w:val="00512205"/>
    <w:rsid w:val="00513EA3"/>
    <w:rsid w:val="00517AD5"/>
    <w:rsid w:val="00517E68"/>
    <w:rsid w:val="00520925"/>
    <w:rsid w:val="00520CF0"/>
    <w:rsid w:val="005211A6"/>
    <w:rsid w:val="005310C8"/>
    <w:rsid w:val="00533329"/>
    <w:rsid w:val="00534872"/>
    <w:rsid w:val="005368EF"/>
    <w:rsid w:val="00536E54"/>
    <w:rsid w:val="00541FF5"/>
    <w:rsid w:val="005434FF"/>
    <w:rsid w:val="00543C51"/>
    <w:rsid w:val="00543C77"/>
    <w:rsid w:val="00544C9C"/>
    <w:rsid w:val="00546AAF"/>
    <w:rsid w:val="00550C1C"/>
    <w:rsid w:val="0055249B"/>
    <w:rsid w:val="00562B39"/>
    <w:rsid w:val="005639ED"/>
    <w:rsid w:val="00565A04"/>
    <w:rsid w:val="00572911"/>
    <w:rsid w:val="005738B5"/>
    <w:rsid w:val="0057647F"/>
    <w:rsid w:val="00577A5C"/>
    <w:rsid w:val="00580D64"/>
    <w:rsid w:val="005839E1"/>
    <w:rsid w:val="005906CC"/>
    <w:rsid w:val="005957C9"/>
    <w:rsid w:val="00596CBA"/>
    <w:rsid w:val="00597C0D"/>
    <w:rsid w:val="005A1DBD"/>
    <w:rsid w:val="005A4AED"/>
    <w:rsid w:val="005A7DF7"/>
    <w:rsid w:val="005B1CE5"/>
    <w:rsid w:val="005B420F"/>
    <w:rsid w:val="005B5429"/>
    <w:rsid w:val="005C20EB"/>
    <w:rsid w:val="005C32A3"/>
    <w:rsid w:val="005C3996"/>
    <w:rsid w:val="005C5853"/>
    <w:rsid w:val="005C6F8E"/>
    <w:rsid w:val="005D39B7"/>
    <w:rsid w:val="005D4AD9"/>
    <w:rsid w:val="005D67A2"/>
    <w:rsid w:val="005D695C"/>
    <w:rsid w:val="005D78F6"/>
    <w:rsid w:val="005E06FE"/>
    <w:rsid w:val="005E45B6"/>
    <w:rsid w:val="005E5B16"/>
    <w:rsid w:val="005E5FB6"/>
    <w:rsid w:val="005F1A1C"/>
    <w:rsid w:val="005F2966"/>
    <w:rsid w:val="005F3AD5"/>
    <w:rsid w:val="005F3C87"/>
    <w:rsid w:val="005F3FA8"/>
    <w:rsid w:val="005F4C58"/>
    <w:rsid w:val="00601C59"/>
    <w:rsid w:val="00603E3E"/>
    <w:rsid w:val="00605DA6"/>
    <w:rsid w:val="0060673C"/>
    <w:rsid w:val="00606A58"/>
    <w:rsid w:val="006075F6"/>
    <w:rsid w:val="00610021"/>
    <w:rsid w:val="00611619"/>
    <w:rsid w:val="00611F8C"/>
    <w:rsid w:val="006127DD"/>
    <w:rsid w:val="00613E7C"/>
    <w:rsid w:val="006154EF"/>
    <w:rsid w:val="00616173"/>
    <w:rsid w:val="0061753F"/>
    <w:rsid w:val="006204BB"/>
    <w:rsid w:val="00621489"/>
    <w:rsid w:val="00631D78"/>
    <w:rsid w:val="00635A0D"/>
    <w:rsid w:val="00651350"/>
    <w:rsid w:val="00651D20"/>
    <w:rsid w:val="00655C86"/>
    <w:rsid w:val="00655CEE"/>
    <w:rsid w:val="00656B2F"/>
    <w:rsid w:val="006575C2"/>
    <w:rsid w:val="006579C6"/>
    <w:rsid w:val="006640B8"/>
    <w:rsid w:val="00667D0E"/>
    <w:rsid w:val="00672819"/>
    <w:rsid w:val="0067282C"/>
    <w:rsid w:val="00672A67"/>
    <w:rsid w:val="00674302"/>
    <w:rsid w:val="00676946"/>
    <w:rsid w:val="00676F8C"/>
    <w:rsid w:val="00680AD2"/>
    <w:rsid w:val="0068178A"/>
    <w:rsid w:val="00681D9A"/>
    <w:rsid w:val="00682D96"/>
    <w:rsid w:val="006870C7"/>
    <w:rsid w:val="006876A9"/>
    <w:rsid w:val="00691320"/>
    <w:rsid w:val="00692D84"/>
    <w:rsid w:val="00695A26"/>
    <w:rsid w:val="00697DC1"/>
    <w:rsid w:val="006A7EDE"/>
    <w:rsid w:val="006B17D1"/>
    <w:rsid w:val="006B5CF6"/>
    <w:rsid w:val="006C0622"/>
    <w:rsid w:val="006C1D13"/>
    <w:rsid w:val="006C2B14"/>
    <w:rsid w:val="006C4CEE"/>
    <w:rsid w:val="006C513D"/>
    <w:rsid w:val="006C5734"/>
    <w:rsid w:val="006C780D"/>
    <w:rsid w:val="006C7D3A"/>
    <w:rsid w:val="006D0E07"/>
    <w:rsid w:val="006D2846"/>
    <w:rsid w:val="006D68E8"/>
    <w:rsid w:val="006E37A4"/>
    <w:rsid w:val="006E4D1C"/>
    <w:rsid w:val="006E6742"/>
    <w:rsid w:val="006F05F6"/>
    <w:rsid w:val="006F1507"/>
    <w:rsid w:val="006F3D35"/>
    <w:rsid w:val="006F65A4"/>
    <w:rsid w:val="006F6976"/>
    <w:rsid w:val="0070121D"/>
    <w:rsid w:val="007012B2"/>
    <w:rsid w:val="00707B8B"/>
    <w:rsid w:val="0071005D"/>
    <w:rsid w:val="00711BAD"/>
    <w:rsid w:val="00720801"/>
    <w:rsid w:val="00720CE0"/>
    <w:rsid w:val="007213DF"/>
    <w:rsid w:val="0072250C"/>
    <w:rsid w:val="00723277"/>
    <w:rsid w:val="00725827"/>
    <w:rsid w:val="00733298"/>
    <w:rsid w:val="007338F8"/>
    <w:rsid w:val="00734FFC"/>
    <w:rsid w:val="00735611"/>
    <w:rsid w:val="00740812"/>
    <w:rsid w:val="007411F4"/>
    <w:rsid w:val="0074351C"/>
    <w:rsid w:val="007455A5"/>
    <w:rsid w:val="0074779E"/>
    <w:rsid w:val="00750292"/>
    <w:rsid w:val="007532B6"/>
    <w:rsid w:val="00754197"/>
    <w:rsid w:val="0075649F"/>
    <w:rsid w:val="00756E95"/>
    <w:rsid w:val="007572E7"/>
    <w:rsid w:val="00763689"/>
    <w:rsid w:val="00765E41"/>
    <w:rsid w:val="007671A1"/>
    <w:rsid w:val="00771AE8"/>
    <w:rsid w:val="00772630"/>
    <w:rsid w:val="00772EB2"/>
    <w:rsid w:val="00782FCA"/>
    <w:rsid w:val="0078580D"/>
    <w:rsid w:val="007867B4"/>
    <w:rsid w:val="00787D40"/>
    <w:rsid w:val="00790880"/>
    <w:rsid w:val="00790EFF"/>
    <w:rsid w:val="00793F64"/>
    <w:rsid w:val="007955ED"/>
    <w:rsid w:val="00795668"/>
    <w:rsid w:val="007972DE"/>
    <w:rsid w:val="007A23C8"/>
    <w:rsid w:val="007A3766"/>
    <w:rsid w:val="007A3AA8"/>
    <w:rsid w:val="007A5A1C"/>
    <w:rsid w:val="007A638C"/>
    <w:rsid w:val="007A6F91"/>
    <w:rsid w:val="007B49F6"/>
    <w:rsid w:val="007C15FF"/>
    <w:rsid w:val="007C25ED"/>
    <w:rsid w:val="007C4B34"/>
    <w:rsid w:val="007C7A07"/>
    <w:rsid w:val="007D30C9"/>
    <w:rsid w:val="007D4DF9"/>
    <w:rsid w:val="007D6F87"/>
    <w:rsid w:val="007D7796"/>
    <w:rsid w:val="007E111C"/>
    <w:rsid w:val="007E2D4A"/>
    <w:rsid w:val="007E3947"/>
    <w:rsid w:val="007E5402"/>
    <w:rsid w:val="007E5A68"/>
    <w:rsid w:val="007F0E9A"/>
    <w:rsid w:val="007F2B6F"/>
    <w:rsid w:val="007F386B"/>
    <w:rsid w:val="007F3A16"/>
    <w:rsid w:val="007F4055"/>
    <w:rsid w:val="007F4D16"/>
    <w:rsid w:val="00802388"/>
    <w:rsid w:val="00806463"/>
    <w:rsid w:val="008137DC"/>
    <w:rsid w:val="0081407F"/>
    <w:rsid w:val="00814CCC"/>
    <w:rsid w:val="00827912"/>
    <w:rsid w:val="008316CE"/>
    <w:rsid w:val="008316F7"/>
    <w:rsid w:val="00831836"/>
    <w:rsid w:val="0083225F"/>
    <w:rsid w:val="00832651"/>
    <w:rsid w:val="00832F21"/>
    <w:rsid w:val="0083495A"/>
    <w:rsid w:val="008357DA"/>
    <w:rsid w:val="00835BB9"/>
    <w:rsid w:val="00835DED"/>
    <w:rsid w:val="0084071C"/>
    <w:rsid w:val="008433E4"/>
    <w:rsid w:val="0084566E"/>
    <w:rsid w:val="008500DC"/>
    <w:rsid w:val="008515CB"/>
    <w:rsid w:val="00851626"/>
    <w:rsid w:val="00855915"/>
    <w:rsid w:val="00856A42"/>
    <w:rsid w:val="00857E1F"/>
    <w:rsid w:val="008602CF"/>
    <w:rsid w:val="00862D74"/>
    <w:rsid w:val="0086785F"/>
    <w:rsid w:val="0087244A"/>
    <w:rsid w:val="0087442F"/>
    <w:rsid w:val="00874D3C"/>
    <w:rsid w:val="00876011"/>
    <w:rsid w:val="00885AF7"/>
    <w:rsid w:val="00885B56"/>
    <w:rsid w:val="00885BCF"/>
    <w:rsid w:val="00890889"/>
    <w:rsid w:val="008930E1"/>
    <w:rsid w:val="0089429F"/>
    <w:rsid w:val="00894FD8"/>
    <w:rsid w:val="00896023"/>
    <w:rsid w:val="008962FA"/>
    <w:rsid w:val="008A11F8"/>
    <w:rsid w:val="008A1536"/>
    <w:rsid w:val="008A3124"/>
    <w:rsid w:val="008A3348"/>
    <w:rsid w:val="008A4B37"/>
    <w:rsid w:val="008A62B9"/>
    <w:rsid w:val="008A746C"/>
    <w:rsid w:val="008B1279"/>
    <w:rsid w:val="008B26A2"/>
    <w:rsid w:val="008B4150"/>
    <w:rsid w:val="008C2CD7"/>
    <w:rsid w:val="008C4A6A"/>
    <w:rsid w:val="008C5A27"/>
    <w:rsid w:val="008C69A8"/>
    <w:rsid w:val="008D397A"/>
    <w:rsid w:val="008D618A"/>
    <w:rsid w:val="008D6716"/>
    <w:rsid w:val="008D76A7"/>
    <w:rsid w:val="008E2C00"/>
    <w:rsid w:val="008E43FD"/>
    <w:rsid w:val="008F01BF"/>
    <w:rsid w:val="008F1A65"/>
    <w:rsid w:val="008F57EB"/>
    <w:rsid w:val="008F7528"/>
    <w:rsid w:val="009013E3"/>
    <w:rsid w:val="0091075E"/>
    <w:rsid w:val="00915342"/>
    <w:rsid w:val="00923D4A"/>
    <w:rsid w:val="00926F90"/>
    <w:rsid w:val="00934892"/>
    <w:rsid w:val="009355C0"/>
    <w:rsid w:val="00937B97"/>
    <w:rsid w:val="00941B67"/>
    <w:rsid w:val="00942596"/>
    <w:rsid w:val="009438FD"/>
    <w:rsid w:val="00943E55"/>
    <w:rsid w:val="00946000"/>
    <w:rsid w:val="00946977"/>
    <w:rsid w:val="0095269A"/>
    <w:rsid w:val="00952D90"/>
    <w:rsid w:val="009546BD"/>
    <w:rsid w:val="0095523C"/>
    <w:rsid w:val="00956308"/>
    <w:rsid w:val="00966AF4"/>
    <w:rsid w:val="00977CAF"/>
    <w:rsid w:val="00981A36"/>
    <w:rsid w:val="00981EEB"/>
    <w:rsid w:val="00981F31"/>
    <w:rsid w:val="00982529"/>
    <w:rsid w:val="0098477A"/>
    <w:rsid w:val="009869DF"/>
    <w:rsid w:val="00990BE4"/>
    <w:rsid w:val="00991E2E"/>
    <w:rsid w:val="00991FB6"/>
    <w:rsid w:val="00993DF1"/>
    <w:rsid w:val="00994166"/>
    <w:rsid w:val="00995649"/>
    <w:rsid w:val="009977EE"/>
    <w:rsid w:val="009A114D"/>
    <w:rsid w:val="009A5ACA"/>
    <w:rsid w:val="009A6A22"/>
    <w:rsid w:val="009B1E6D"/>
    <w:rsid w:val="009B4AF8"/>
    <w:rsid w:val="009B7721"/>
    <w:rsid w:val="009C0EF1"/>
    <w:rsid w:val="009C2A58"/>
    <w:rsid w:val="009D1F01"/>
    <w:rsid w:val="009D3040"/>
    <w:rsid w:val="009D5CFB"/>
    <w:rsid w:val="009D5E70"/>
    <w:rsid w:val="009D687D"/>
    <w:rsid w:val="009D6A33"/>
    <w:rsid w:val="009E024D"/>
    <w:rsid w:val="009E4D31"/>
    <w:rsid w:val="009E546D"/>
    <w:rsid w:val="009F0F2E"/>
    <w:rsid w:val="009F105C"/>
    <w:rsid w:val="009F396F"/>
    <w:rsid w:val="009F5182"/>
    <w:rsid w:val="009F649B"/>
    <w:rsid w:val="00A02E83"/>
    <w:rsid w:val="00A06EE3"/>
    <w:rsid w:val="00A07ABC"/>
    <w:rsid w:val="00A10071"/>
    <w:rsid w:val="00A143DF"/>
    <w:rsid w:val="00A15D5A"/>
    <w:rsid w:val="00A172E3"/>
    <w:rsid w:val="00A23103"/>
    <w:rsid w:val="00A24565"/>
    <w:rsid w:val="00A24FEF"/>
    <w:rsid w:val="00A31F61"/>
    <w:rsid w:val="00A3407C"/>
    <w:rsid w:val="00A376A3"/>
    <w:rsid w:val="00A412B5"/>
    <w:rsid w:val="00A418C5"/>
    <w:rsid w:val="00A434A9"/>
    <w:rsid w:val="00A4498F"/>
    <w:rsid w:val="00A5186F"/>
    <w:rsid w:val="00A5211F"/>
    <w:rsid w:val="00A53E58"/>
    <w:rsid w:val="00A540C0"/>
    <w:rsid w:val="00A54BAC"/>
    <w:rsid w:val="00A56F0E"/>
    <w:rsid w:val="00A61076"/>
    <w:rsid w:val="00A64BA3"/>
    <w:rsid w:val="00A70040"/>
    <w:rsid w:val="00A70101"/>
    <w:rsid w:val="00A703AC"/>
    <w:rsid w:val="00A718B8"/>
    <w:rsid w:val="00A720D7"/>
    <w:rsid w:val="00A757F9"/>
    <w:rsid w:val="00A80249"/>
    <w:rsid w:val="00A819DF"/>
    <w:rsid w:val="00A87C4E"/>
    <w:rsid w:val="00A914EE"/>
    <w:rsid w:val="00A918BE"/>
    <w:rsid w:val="00A92A17"/>
    <w:rsid w:val="00A9418B"/>
    <w:rsid w:val="00AA10E3"/>
    <w:rsid w:val="00AA213F"/>
    <w:rsid w:val="00AA4216"/>
    <w:rsid w:val="00AA5472"/>
    <w:rsid w:val="00AA6225"/>
    <w:rsid w:val="00AB0260"/>
    <w:rsid w:val="00AB0611"/>
    <w:rsid w:val="00AB5E48"/>
    <w:rsid w:val="00AC0B85"/>
    <w:rsid w:val="00AC13D7"/>
    <w:rsid w:val="00AC22E0"/>
    <w:rsid w:val="00AC30F3"/>
    <w:rsid w:val="00AC3FEB"/>
    <w:rsid w:val="00AD1FE5"/>
    <w:rsid w:val="00AD7F92"/>
    <w:rsid w:val="00AE1AAB"/>
    <w:rsid w:val="00AF06B5"/>
    <w:rsid w:val="00AF1C2C"/>
    <w:rsid w:val="00B00FD4"/>
    <w:rsid w:val="00B01E24"/>
    <w:rsid w:val="00B03838"/>
    <w:rsid w:val="00B04DFF"/>
    <w:rsid w:val="00B050F7"/>
    <w:rsid w:val="00B12B4E"/>
    <w:rsid w:val="00B12B8A"/>
    <w:rsid w:val="00B14B78"/>
    <w:rsid w:val="00B1502B"/>
    <w:rsid w:val="00B1711B"/>
    <w:rsid w:val="00B22B66"/>
    <w:rsid w:val="00B240B0"/>
    <w:rsid w:val="00B31118"/>
    <w:rsid w:val="00B33D9F"/>
    <w:rsid w:val="00B34470"/>
    <w:rsid w:val="00B41F9F"/>
    <w:rsid w:val="00B42886"/>
    <w:rsid w:val="00B428A9"/>
    <w:rsid w:val="00B50349"/>
    <w:rsid w:val="00B513AB"/>
    <w:rsid w:val="00B54C30"/>
    <w:rsid w:val="00B54C45"/>
    <w:rsid w:val="00B5573F"/>
    <w:rsid w:val="00B612FB"/>
    <w:rsid w:val="00B61C43"/>
    <w:rsid w:val="00B61DD4"/>
    <w:rsid w:val="00B66241"/>
    <w:rsid w:val="00B665DA"/>
    <w:rsid w:val="00B670C3"/>
    <w:rsid w:val="00B7071A"/>
    <w:rsid w:val="00B71534"/>
    <w:rsid w:val="00B71F65"/>
    <w:rsid w:val="00B75AC1"/>
    <w:rsid w:val="00B771C8"/>
    <w:rsid w:val="00B805DB"/>
    <w:rsid w:val="00B84A06"/>
    <w:rsid w:val="00B9051C"/>
    <w:rsid w:val="00B92354"/>
    <w:rsid w:val="00B92E2A"/>
    <w:rsid w:val="00B94FF8"/>
    <w:rsid w:val="00B952EF"/>
    <w:rsid w:val="00B9760F"/>
    <w:rsid w:val="00B97A3D"/>
    <w:rsid w:val="00BA14FA"/>
    <w:rsid w:val="00BA1860"/>
    <w:rsid w:val="00BA32CB"/>
    <w:rsid w:val="00BB09FF"/>
    <w:rsid w:val="00BB3066"/>
    <w:rsid w:val="00BB41D3"/>
    <w:rsid w:val="00BB4A08"/>
    <w:rsid w:val="00BC0C01"/>
    <w:rsid w:val="00BC1B86"/>
    <w:rsid w:val="00BC2ACC"/>
    <w:rsid w:val="00BC51F8"/>
    <w:rsid w:val="00BD0F58"/>
    <w:rsid w:val="00BD3FF0"/>
    <w:rsid w:val="00BD5E41"/>
    <w:rsid w:val="00BD6970"/>
    <w:rsid w:val="00BD760B"/>
    <w:rsid w:val="00BE00C2"/>
    <w:rsid w:val="00BE1847"/>
    <w:rsid w:val="00BE3733"/>
    <w:rsid w:val="00BE37AC"/>
    <w:rsid w:val="00BF0732"/>
    <w:rsid w:val="00BF176F"/>
    <w:rsid w:val="00BF1BC8"/>
    <w:rsid w:val="00BF4DB7"/>
    <w:rsid w:val="00BF5A99"/>
    <w:rsid w:val="00C00FEB"/>
    <w:rsid w:val="00C037B1"/>
    <w:rsid w:val="00C046D5"/>
    <w:rsid w:val="00C06792"/>
    <w:rsid w:val="00C068A6"/>
    <w:rsid w:val="00C06AD0"/>
    <w:rsid w:val="00C07BCC"/>
    <w:rsid w:val="00C111D6"/>
    <w:rsid w:val="00C15112"/>
    <w:rsid w:val="00C17800"/>
    <w:rsid w:val="00C200D1"/>
    <w:rsid w:val="00C20B6E"/>
    <w:rsid w:val="00C21187"/>
    <w:rsid w:val="00C217C5"/>
    <w:rsid w:val="00C24599"/>
    <w:rsid w:val="00C251E4"/>
    <w:rsid w:val="00C313D5"/>
    <w:rsid w:val="00C3399D"/>
    <w:rsid w:val="00C408E0"/>
    <w:rsid w:val="00C42110"/>
    <w:rsid w:val="00C424C8"/>
    <w:rsid w:val="00C5018E"/>
    <w:rsid w:val="00C50A82"/>
    <w:rsid w:val="00C51008"/>
    <w:rsid w:val="00C52155"/>
    <w:rsid w:val="00C5249D"/>
    <w:rsid w:val="00C53252"/>
    <w:rsid w:val="00C538FE"/>
    <w:rsid w:val="00C548C1"/>
    <w:rsid w:val="00C56FFD"/>
    <w:rsid w:val="00C57FBD"/>
    <w:rsid w:val="00C62651"/>
    <w:rsid w:val="00C627F0"/>
    <w:rsid w:val="00C62DCF"/>
    <w:rsid w:val="00C64671"/>
    <w:rsid w:val="00C65011"/>
    <w:rsid w:val="00C66DE9"/>
    <w:rsid w:val="00C71864"/>
    <w:rsid w:val="00C73282"/>
    <w:rsid w:val="00C75465"/>
    <w:rsid w:val="00C77504"/>
    <w:rsid w:val="00C77633"/>
    <w:rsid w:val="00C80F7B"/>
    <w:rsid w:val="00C81F92"/>
    <w:rsid w:val="00C82BA7"/>
    <w:rsid w:val="00C84917"/>
    <w:rsid w:val="00C84E79"/>
    <w:rsid w:val="00C85606"/>
    <w:rsid w:val="00C86D34"/>
    <w:rsid w:val="00C972F7"/>
    <w:rsid w:val="00C97AB7"/>
    <w:rsid w:val="00CA27DD"/>
    <w:rsid w:val="00CA2BB8"/>
    <w:rsid w:val="00CB14A8"/>
    <w:rsid w:val="00CB14AB"/>
    <w:rsid w:val="00CB24B2"/>
    <w:rsid w:val="00CB375E"/>
    <w:rsid w:val="00CB7D61"/>
    <w:rsid w:val="00CC4E24"/>
    <w:rsid w:val="00CD1AE6"/>
    <w:rsid w:val="00CD300A"/>
    <w:rsid w:val="00CD324D"/>
    <w:rsid w:val="00CD4D5E"/>
    <w:rsid w:val="00CD6307"/>
    <w:rsid w:val="00CE07B1"/>
    <w:rsid w:val="00CE0B42"/>
    <w:rsid w:val="00CE2597"/>
    <w:rsid w:val="00CE2B0F"/>
    <w:rsid w:val="00CE3C55"/>
    <w:rsid w:val="00CE4722"/>
    <w:rsid w:val="00CF0AD9"/>
    <w:rsid w:val="00CF0E25"/>
    <w:rsid w:val="00D00A60"/>
    <w:rsid w:val="00D04662"/>
    <w:rsid w:val="00D0535F"/>
    <w:rsid w:val="00D06E9B"/>
    <w:rsid w:val="00D1499C"/>
    <w:rsid w:val="00D17A7E"/>
    <w:rsid w:val="00D20561"/>
    <w:rsid w:val="00D20C48"/>
    <w:rsid w:val="00D22CEE"/>
    <w:rsid w:val="00D23A25"/>
    <w:rsid w:val="00D23DE7"/>
    <w:rsid w:val="00D273CE"/>
    <w:rsid w:val="00D336C1"/>
    <w:rsid w:val="00D34045"/>
    <w:rsid w:val="00D348B3"/>
    <w:rsid w:val="00D34FC1"/>
    <w:rsid w:val="00D37A6C"/>
    <w:rsid w:val="00D42BB1"/>
    <w:rsid w:val="00D42C5B"/>
    <w:rsid w:val="00D45C87"/>
    <w:rsid w:val="00D45FDA"/>
    <w:rsid w:val="00D46658"/>
    <w:rsid w:val="00D47495"/>
    <w:rsid w:val="00D55E5F"/>
    <w:rsid w:val="00D57FAF"/>
    <w:rsid w:val="00D6081D"/>
    <w:rsid w:val="00D6299B"/>
    <w:rsid w:val="00D63D9C"/>
    <w:rsid w:val="00D64A08"/>
    <w:rsid w:val="00D65691"/>
    <w:rsid w:val="00D735CA"/>
    <w:rsid w:val="00D74A15"/>
    <w:rsid w:val="00D76D5C"/>
    <w:rsid w:val="00D7788C"/>
    <w:rsid w:val="00D80835"/>
    <w:rsid w:val="00D822ED"/>
    <w:rsid w:val="00D8404D"/>
    <w:rsid w:val="00D92313"/>
    <w:rsid w:val="00D92966"/>
    <w:rsid w:val="00D96BFF"/>
    <w:rsid w:val="00DA573F"/>
    <w:rsid w:val="00DA68E2"/>
    <w:rsid w:val="00DA6D8F"/>
    <w:rsid w:val="00DB0AD3"/>
    <w:rsid w:val="00DB3588"/>
    <w:rsid w:val="00DB5CD6"/>
    <w:rsid w:val="00DB64BD"/>
    <w:rsid w:val="00DC2797"/>
    <w:rsid w:val="00DC5D75"/>
    <w:rsid w:val="00DD03BE"/>
    <w:rsid w:val="00DD04F0"/>
    <w:rsid w:val="00DD0F58"/>
    <w:rsid w:val="00DD2853"/>
    <w:rsid w:val="00DD3BA9"/>
    <w:rsid w:val="00DD3C5F"/>
    <w:rsid w:val="00DD591E"/>
    <w:rsid w:val="00DD6C56"/>
    <w:rsid w:val="00DE3362"/>
    <w:rsid w:val="00DE411A"/>
    <w:rsid w:val="00DE52ED"/>
    <w:rsid w:val="00DE7C20"/>
    <w:rsid w:val="00DF15D1"/>
    <w:rsid w:val="00DF17A5"/>
    <w:rsid w:val="00DF1B24"/>
    <w:rsid w:val="00DF2F89"/>
    <w:rsid w:val="00DF3334"/>
    <w:rsid w:val="00DF3652"/>
    <w:rsid w:val="00DF3693"/>
    <w:rsid w:val="00DF48E5"/>
    <w:rsid w:val="00DF6449"/>
    <w:rsid w:val="00DF743B"/>
    <w:rsid w:val="00E00D14"/>
    <w:rsid w:val="00E048CF"/>
    <w:rsid w:val="00E12051"/>
    <w:rsid w:val="00E14F74"/>
    <w:rsid w:val="00E239C0"/>
    <w:rsid w:val="00E271BA"/>
    <w:rsid w:val="00E3023E"/>
    <w:rsid w:val="00E34976"/>
    <w:rsid w:val="00E36DF1"/>
    <w:rsid w:val="00E37F28"/>
    <w:rsid w:val="00E446AB"/>
    <w:rsid w:val="00E450DC"/>
    <w:rsid w:val="00E475CE"/>
    <w:rsid w:val="00E53F89"/>
    <w:rsid w:val="00E57CAD"/>
    <w:rsid w:val="00E65B4D"/>
    <w:rsid w:val="00E65CAD"/>
    <w:rsid w:val="00E66677"/>
    <w:rsid w:val="00E66F60"/>
    <w:rsid w:val="00E70563"/>
    <w:rsid w:val="00E728C6"/>
    <w:rsid w:val="00E737D4"/>
    <w:rsid w:val="00E74BF2"/>
    <w:rsid w:val="00E80531"/>
    <w:rsid w:val="00E86F7B"/>
    <w:rsid w:val="00E916A0"/>
    <w:rsid w:val="00E963F9"/>
    <w:rsid w:val="00E97835"/>
    <w:rsid w:val="00EA1AC5"/>
    <w:rsid w:val="00EA2289"/>
    <w:rsid w:val="00EA4A34"/>
    <w:rsid w:val="00EA528B"/>
    <w:rsid w:val="00EA66AA"/>
    <w:rsid w:val="00EA6F45"/>
    <w:rsid w:val="00EB1ABB"/>
    <w:rsid w:val="00EB1B0A"/>
    <w:rsid w:val="00EB5394"/>
    <w:rsid w:val="00EB7AD1"/>
    <w:rsid w:val="00EC0ACE"/>
    <w:rsid w:val="00EC0F50"/>
    <w:rsid w:val="00EC56E7"/>
    <w:rsid w:val="00ED180B"/>
    <w:rsid w:val="00ED2A49"/>
    <w:rsid w:val="00EE200A"/>
    <w:rsid w:val="00EE2993"/>
    <w:rsid w:val="00EE2FCF"/>
    <w:rsid w:val="00EE4365"/>
    <w:rsid w:val="00EE5F43"/>
    <w:rsid w:val="00EF03B9"/>
    <w:rsid w:val="00EF0CAC"/>
    <w:rsid w:val="00EF5B24"/>
    <w:rsid w:val="00EF6983"/>
    <w:rsid w:val="00F04463"/>
    <w:rsid w:val="00F06895"/>
    <w:rsid w:val="00F10FA6"/>
    <w:rsid w:val="00F12227"/>
    <w:rsid w:val="00F2040C"/>
    <w:rsid w:val="00F2340B"/>
    <w:rsid w:val="00F23C36"/>
    <w:rsid w:val="00F23D1E"/>
    <w:rsid w:val="00F247A4"/>
    <w:rsid w:val="00F3096F"/>
    <w:rsid w:val="00F37291"/>
    <w:rsid w:val="00F37A06"/>
    <w:rsid w:val="00F37C8B"/>
    <w:rsid w:val="00F40D48"/>
    <w:rsid w:val="00F423A0"/>
    <w:rsid w:val="00F42F01"/>
    <w:rsid w:val="00F43AF0"/>
    <w:rsid w:val="00F44BD7"/>
    <w:rsid w:val="00F516E9"/>
    <w:rsid w:val="00F5448D"/>
    <w:rsid w:val="00F55053"/>
    <w:rsid w:val="00F55C2C"/>
    <w:rsid w:val="00F5725B"/>
    <w:rsid w:val="00F62E68"/>
    <w:rsid w:val="00F65122"/>
    <w:rsid w:val="00F701B1"/>
    <w:rsid w:val="00F71A9F"/>
    <w:rsid w:val="00F73BB7"/>
    <w:rsid w:val="00F73FEE"/>
    <w:rsid w:val="00F7445C"/>
    <w:rsid w:val="00F81FC9"/>
    <w:rsid w:val="00F83D2F"/>
    <w:rsid w:val="00F84536"/>
    <w:rsid w:val="00F85828"/>
    <w:rsid w:val="00F91F0F"/>
    <w:rsid w:val="00F97670"/>
    <w:rsid w:val="00FA1E5D"/>
    <w:rsid w:val="00FA6ED3"/>
    <w:rsid w:val="00FB0CAE"/>
    <w:rsid w:val="00FB2CCA"/>
    <w:rsid w:val="00FB3A1D"/>
    <w:rsid w:val="00FB770E"/>
    <w:rsid w:val="00FC1ADA"/>
    <w:rsid w:val="00FC24A3"/>
    <w:rsid w:val="00FD1ECA"/>
    <w:rsid w:val="00FD1F18"/>
    <w:rsid w:val="00FD267C"/>
    <w:rsid w:val="00FD3AF4"/>
    <w:rsid w:val="00FD4C91"/>
    <w:rsid w:val="00FD56E1"/>
    <w:rsid w:val="00FD7055"/>
    <w:rsid w:val="00FD7258"/>
    <w:rsid w:val="00FE1858"/>
    <w:rsid w:val="00FE1C84"/>
    <w:rsid w:val="00FE209B"/>
    <w:rsid w:val="00FE45B2"/>
    <w:rsid w:val="00FE636D"/>
    <w:rsid w:val="00FF3C7C"/>
    <w:rsid w:val="00FF7A3E"/>
    <w:rsid w:val="013D4B60"/>
    <w:rsid w:val="02DE7489"/>
    <w:rsid w:val="044E498E"/>
    <w:rsid w:val="0A6A4B37"/>
    <w:rsid w:val="0F3A02B9"/>
    <w:rsid w:val="10523A58"/>
    <w:rsid w:val="10D75D0B"/>
    <w:rsid w:val="110E5BD1"/>
    <w:rsid w:val="14004C93"/>
    <w:rsid w:val="14237BE5"/>
    <w:rsid w:val="175E473E"/>
    <w:rsid w:val="17780248"/>
    <w:rsid w:val="17D17427"/>
    <w:rsid w:val="1A5560DA"/>
    <w:rsid w:val="1AF15E4C"/>
    <w:rsid w:val="1DC61352"/>
    <w:rsid w:val="21423675"/>
    <w:rsid w:val="22752A0B"/>
    <w:rsid w:val="284B72B3"/>
    <w:rsid w:val="28691E40"/>
    <w:rsid w:val="29567CBD"/>
    <w:rsid w:val="2A353D77"/>
    <w:rsid w:val="2B4E08BD"/>
    <w:rsid w:val="2C8D1C48"/>
    <w:rsid w:val="33F45321"/>
    <w:rsid w:val="341472E4"/>
    <w:rsid w:val="34806536"/>
    <w:rsid w:val="3654157F"/>
    <w:rsid w:val="36CA3A2F"/>
    <w:rsid w:val="3A114EB9"/>
    <w:rsid w:val="3BCA425D"/>
    <w:rsid w:val="3BCE402B"/>
    <w:rsid w:val="3C4700B7"/>
    <w:rsid w:val="3D320FD9"/>
    <w:rsid w:val="3D880A49"/>
    <w:rsid w:val="40425D47"/>
    <w:rsid w:val="43ED64F0"/>
    <w:rsid w:val="44110ABC"/>
    <w:rsid w:val="44334DEC"/>
    <w:rsid w:val="46160AA8"/>
    <w:rsid w:val="482A1A6E"/>
    <w:rsid w:val="485902E6"/>
    <w:rsid w:val="48BB7468"/>
    <w:rsid w:val="4BE807F1"/>
    <w:rsid w:val="4C8B776A"/>
    <w:rsid w:val="4F2B5DCC"/>
    <w:rsid w:val="50BC6451"/>
    <w:rsid w:val="50C730CB"/>
    <w:rsid w:val="51591816"/>
    <w:rsid w:val="517D376B"/>
    <w:rsid w:val="539338B3"/>
    <w:rsid w:val="54871A04"/>
    <w:rsid w:val="54A24B18"/>
    <w:rsid w:val="55B14738"/>
    <w:rsid w:val="564366FF"/>
    <w:rsid w:val="57E16313"/>
    <w:rsid w:val="5A204411"/>
    <w:rsid w:val="5B0664B5"/>
    <w:rsid w:val="5D513C37"/>
    <w:rsid w:val="60A32A5F"/>
    <w:rsid w:val="628538F9"/>
    <w:rsid w:val="63736CAF"/>
    <w:rsid w:val="63C625BB"/>
    <w:rsid w:val="65E83280"/>
    <w:rsid w:val="65FE0EE5"/>
    <w:rsid w:val="67242FFA"/>
    <w:rsid w:val="67604D69"/>
    <w:rsid w:val="694755BD"/>
    <w:rsid w:val="6BC95AF1"/>
    <w:rsid w:val="6C234004"/>
    <w:rsid w:val="6E070B53"/>
    <w:rsid w:val="6E933857"/>
    <w:rsid w:val="6EE34E38"/>
    <w:rsid w:val="71413BCC"/>
    <w:rsid w:val="717E1F60"/>
    <w:rsid w:val="745F645A"/>
    <w:rsid w:val="74EE481B"/>
    <w:rsid w:val="750E5FD2"/>
    <w:rsid w:val="7606156C"/>
    <w:rsid w:val="775F5AC3"/>
    <w:rsid w:val="77F015CB"/>
    <w:rsid w:val="78ED7920"/>
    <w:rsid w:val="7A6A0D8F"/>
    <w:rsid w:val="7B0513CE"/>
    <w:rsid w:val="7B583E9A"/>
    <w:rsid w:val="7E916D01"/>
    <w:rsid w:val="7EF471CD"/>
    <w:rsid w:val="7F664D58"/>
    <w:rsid w:val="7FC3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B0457C-F4B8-4808-A286-97055556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BD383-311C-4150-BE75-3AB35D07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366</Words>
  <Characters>2088</Characters>
  <Application>Microsoft Office Word</Application>
  <DocSecurity>0</DocSecurity>
  <Lines>17</Lines>
  <Paragraphs>4</Paragraphs>
  <ScaleCrop>false</ScaleCrop>
  <Company>Microsoft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Administrator</cp:lastModifiedBy>
  <cp:revision>223</cp:revision>
  <cp:lastPrinted>2024-07-05T05:12:00Z</cp:lastPrinted>
  <dcterms:created xsi:type="dcterms:W3CDTF">2024-09-05T09:13:00Z</dcterms:created>
  <dcterms:modified xsi:type="dcterms:W3CDTF">2025-10-09T06:37:00Z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eyJoZGlkIjoiZDc2YjFkMThjYzk5NjZkNDIzZmZmYjQyM2NlNmFiMDYiLCJ1c2VySWQiOiI2NTI2NDY5ODAifQ==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83A3E29AFC2F486CB06C345CFD0657C6_12</vt:lpwstr>
  </property>
</Properties>
</file>