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95CFF">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603777</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来伊份</w:t>
      </w:r>
    </w:p>
    <w:p w14:paraId="22652337">
      <w:pPr>
        <w:jc w:val="center"/>
        <w:rPr>
          <w:rFonts w:hint="eastAsia" w:ascii="黑体" w:hAnsi="黑体" w:eastAsia="黑体"/>
          <w:sz w:val="36"/>
          <w:szCs w:val="36"/>
        </w:rPr>
      </w:pPr>
      <w:r>
        <w:rPr>
          <w:rFonts w:hint="eastAsia" w:ascii="黑体" w:hAnsi="黑体" w:eastAsia="黑体"/>
          <w:sz w:val="36"/>
          <w:szCs w:val="36"/>
        </w:rPr>
        <w:t>上海来伊份股份有限公司</w:t>
      </w:r>
    </w:p>
    <w:p w14:paraId="51F5BE73">
      <w:pPr>
        <w:jc w:val="center"/>
        <w:rPr>
          <w:rFonts w:ascii="黑体" w:hAnsi="黑体" w:eastAsia="黑体"/>
          <w:sz w:val="36"/>
          <w:szCs w:val="36"/>
        </w:rPr>
      </w:pPr>
      <w:r>
        <w:rPr>
          <w:rFonts w:hint="eastAsia" w:ascii="黑体" w:hAnsi="黑体" w:eastAsia="黑体"/>
          <w:sz w:val="36"/>
          <w:szCs w:val="36"/>
        </w:rPr>
        <w:t>投资者关系活动记录表</w:t>
      </w:r>
    </w:p>
    <w:p w14:paraId="68191BDB">
      <w:pPr>
        <w:ind w:left="2940" w:leftChars="0" w:firstLine="420" w:firstLineChars="0"/>
        <w:jc w:val="right"/>
        <w:rPr>
          <w:rFonts w:hint="eastAsia" w:ascii="黑体" w:hAnsi="黑体" w:eastAsia="黑体"/>
          <w:sz w:val="24"/>
          <w:szCs w:val="24"/>
          <w:lang w:val="en-US" w:eastAsia="zh-CN"/>
        </w:rPr>
      </w:pPr>
      <w:r>
        <w:rPr>
          <w:rFonts w:hint="eastAsia" w:ascii="黑体" w:hAnsi="黑体" w:eastAsia="黑体"/>
          <w:sz w:val="24"/>
          <w:szCs w:val="24"/>
          <w:lang w:val="en-US" w:eastAsia="zh-CN"/>
        </w:rPr>
        <w:t xml:space="preserve">                 </w:t>
      </w:r>
      <w:r>
        <w:rPr>
          <w:rFonts w:hint="eastAsia" w:ascii="宋体" w:hAnsi="宋体" w:eastAsia="宋体" w:cs="宋体"/>
          <w:sz w:val="24"/>
          <w:szCs w:val="24"/>
          <w:lang w:val="en-US" w:eastAsia="zh-CN"/>
        </w:rPr>
        <w:t xml:space="preserve"> 编号：（2025-001）</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764BE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A27D486">
            <w:pPr>
              <w:rPr>
                <w:sz w:val="24"/>
                <w:szCs w:val="24"/>
              </w:rPr>
            </w:pPr>
            <w:r>
              <w:rPr>
                <w:rFonts w:hint="eastAsia"/>
                <w:sz w:val="24"/>
                <w:szCs w:val="24"/>
              </w:rPr>
              <w:t>投资者关系活动类别</w:t>
            </w:r>
          </w:p>
        </w:tc>
        <w:tc>
          <w:tcPr>
            <w:tcW w:w="7191" w:type="dxa"/>
            <w:noWrap w:val="0"/>
            <w:vAlign w:val="center"/>
          </w:tcPr>
          <w:p w14:paraId="4FA3ABCA">
            <w:pPr>
              <w:spacing w:line="360" w:lineRule="auto"/>
              <w:rPr>
                <w:rFonts w:hint="eastAsia"/>
                <w:sz w:val="24"/>
                <w:szCs w:val="24"/>
              </w:rPr>
            </w:pPr>
            <w:r>
              <w:rPr>
                <w:rFonts w:hint="eastAsia" w:ascii="宋体" w:hAnsi="宋体" w:eastAsia="宋体" w:cs="宋体"/>
                <w:sz w:val="24"/>
                <w:szCs w:val="24"/>
                <w:highlight w:val="none"/>
              </w:rPr>
              <w:t>业绩说明会</w:t>
            </w:r>
          </w:p>
        </w:tc>
      </w:tr>
      <w:tr w14:paraId="43707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B74E886">
            <w:pPr>
              <w:rPr>
                <w:sz w:val="24"/>
                <w:szCs w:val="24"/>
              </w:rPr>
            </w:pPr>
            <w:r>
              <w:rPr>
                <w:rFonts w:hint="eastAsia"/>
                <w:sz w:val="24"/>
                <w:szCs w:val="24"/>
              </w:rPr>
              <w:t>活动主题</w:t>
            </w:r>
          </w:p>
        </w:tc>
        <w:tc>
          <w:tcPr>
            <w:tcW w:w="7191" w:type="dxa"/>
            <w:noWrap w:val="0"/>
            <w:vAlign w:val="center"/>
          </w:tcPr>
          <w:p w14:paraId="7A592852">
            <w:pPr>
              <w:rPr>
                <w:sz w:val="24"/>
                <w:szCs w:val="24"/>
              </w:rPr>
            </w:pPr>
            <w:r>
              <w:rPr>
                <w:rFonts w:hint="eastAsia" w:ascii="宋体" w:hAnsi="宋体" w:eastAsia="宋体" w:cs="宋体"/>
                <w:bCs/>
                <w:iCs/>
                <w:color w:val="000000"/>
                <w:sz w:val="24"/>
                <w:highlight w:val="none"/>
                <w:lang w:val="en-GB"/>
              </w:rPr>
              <w:t>来伊份2025年半年度业绩说明会</w:t>
            </w:r>
          </w:p>
        </w:tc>
      </w:tr>
      <w:tr w14:paraId="370BD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74154967">
            <w:pPr>
              <w:rPr>
                <w:sz w:val="24"/>
                <w:szCs w:val="24"/>
              </w:rPr>
            </w:pPr>
            <w:r>
              <w:rPr>
                <w:rFonts w:hint="eastAsia"/>
                <w:sz w:val="24"/>
                <w:szCs w:val="24"/>
              </w:rPr>
              <w:t>时间</w:t>
            </w:r>
          </w:p>
        </w:tc>
        <w:tc>
          <w:tcPr>
            <w:tcW w:w="7191" w:type="dxa"/>
            <w:noWrap w:val="0"/>
            <w:vAlign w:val="center"/>
          </w:tcPr>
          <w:p w14:paraId="3F2890E0">
            <w:pPr>
              <w:rPr>
                <w:rFonts w:hint="eastAsia"/>
                <w:sz w:val="24"/>
                <w:szCs w:val="24"/>
              </w:rPr>
            </w:pPr>
            <w:r>
              <w:rPr>
                <w:rFonts w:hint="eastAsia" w:ascii="宋体" w:hAnsi="宋体" w:cs="宋体"/>
                <w:bCs/>
                <w:iCs/>
                <w:color w:val="000000"/>
                <w:sz w:val="24"/>
                <w:highlight w:val="none"/>
                <w:lang w:eastAsia="zh-CN"/>
              </w:rPr>
              <w:t>2025年10月14日星期二</w:t>
            </w:r>
            <w:r>
              <w:rPr>
                <w:rFonts w:hint="eastAsia" w:ascii="宋体" w:hAnsi="宋体" w:eastAsia="宋体" w:cs="宋体"/>
                <w:bCs/>
                <w:iCs/>
                <w:color w:val="000000"/>
                <w:sz w:val="24"/>
                <w:highlight w:val="none"/>
              </w:rPr>
              <w:t xml:space="preserve">  11:00-12:00</w:t>
            </w:r>
          </w:p>
        </w:tc>
      </w:tr>
      <w:tr w14:paraId="4C752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51885E38">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center"/>
          </w:tcPr>
          <w:p w14:paraId="00D1E663">
            <w:pPr>
              <w:jc w:val="both"/>
              <w:rPr>
                <w:rFonts w:ascii="宋体" w:hAnsi="宋体"/>
                <w:bCs/>
                <w:sz w:val="24"/>
              </w:rPr>
            </w:pPr>
            <w:r>
              <w:rPr>
                <w:rFonts w:hint="eastAsia" w:ascii="宋体" w:hAnsi="宋体"/>
                <w:bCs/>
                <w:sz w:val="24"/>
              </w:rPr>
              <w:t>上证路演中心</w:t>
            </w:r>
            <w:r>
              <w:rPr>
                <w:rFonts w:hint="eastAsia" w:ascii="宋体" w:hAnsi="宋体"/>
                <w:bCs/>
                <w:color w:val="auto"/>
                <w:sz w:val="24"/>
                <w:u w:val="none"/>
              </w:rPr>
              <w:t xml:space="preserve"> </w:t>
            </w:r>
            <w:r>
              <w:rPr>
                <w:color w:val="auto"/>
                <w:u w:val="none"/>
              </w:rPr>
              <w:fldChar w:fldCharType="begin"/>
            </w:r>
            <w:r>
              <w:rPr>
                <w:color w:val="auto"/>
                <w:u w:val="none"/>
              </w:rPr>
              <w:instrText xml:space="preserve"> HYPERLINK "https://roadshow.sseinfo.com" </w:instrText>
            </w:r>
            <w:r>
              <w:rPr>
                <w:color w:val="auto"/>
                <w:u w:val="none"/>
              </w:rPr>
              <w:fldChar w:fldCharType="separate"/>
            </w:r>
            <w:r>
              <w:rPr>
                <w:rStyle w:val="6"/>
                <w:rFonts w:hint="eastAsia" w:ascii="宋体" w:hAnsi="宋体"/>
                <w:bCs/>
                <w:color w:val="auto"/>
                <w:sz w:val="24"/>
                <w:u w:val="none"/>
              </w:rPr>
              <w:t>https://roadshow.sseinfo.com</w:t>
            </w:r>
            <w:r>
              <w:rPr>
                <w:rStyle w:val="6"/>
                <w:rFonts w:hint="eastAsia" w:ascii="宋体" w:hAnsi="宋体"/>
                <w:bCs/>
                <w:color w:val="auto"/>
                <w:sz w:val="24"/>
                <w:u w:val="none"/>
              </w:rPr>
              <w:fldChar w:fldCharType="end"/>
            </w:r>
          </w:p>
          <w:p w14:paraId="663CC531">
            <w:pPr>
              <w:jc w:val="both"/>
              <w:rPr>
                <w:rFonts w:hint="eastAsia"/>
                <w:sz w:val="24"/>
                <w:szCs w:val="24"/>
              </w:rPr>
            </w:pPr>
            <w:r>
              <w:rPr>
                <w:rFonts w:hint="eastAsia" w:ascii="宋体" w:hAnsi="宋体"/>
                <w:bCs/>
                <w:sz w:val="24"/>
              </w:rPr>
              <w:t>网络文字互动</w:t>
            </w:r>
          </w:p>
        </w:tc>
      </w:tr>
      <w:tr w14:paraId="690BC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FB9F38B">
            <w:pPr>
              <w:rPr>
                <w:sz w:val="24"/>
                <w:szCs w:val="24"/>
              </w:rPr>
            </w:pPr>
            <w:r>
              <w:rPr>
                <w:rFonts w:hint="eastAsia"/>
                <w:sz w:val="24"/>
                <w:szCs w:val="24"/>
              </w:rPr>
              <w:t>参会人员</w:t>
            </w:r>
          </w:p>
        </w:tc>
        <w:tc>
          <w:tcPr>
            <w:tcW w:w="7191" w:type="dxa"/>
            <w:noWrap w:val="0"/>
            <w:vAlign w:val="center"/>
          </w:tcPr>
          <w:p w14:paraId="73795415">
            <w:pPr>
              <w:spacing w:line="360" w:lineRule="auto"/>
              <w:rPr>
                <w:rFonts w:hint="eastAsia" w:ascii="宋体" w:hAnsi="宋体" w:eastAsia="宋体" w:cs="宋体"/>
                <w:sz w:val="24"/>
                <w:szCs w:val="24"/>
              </w:rPr>
            </w:pPr>
            <w:r>
              <w:rPr>
                <w:rFonts w:hint="eastAsia" w:ascii="宋体" w:hAnsi="宋体" w:eastAsia="宋体" w:cs="宋体"/>
                <w:sz w:val="24"/>
                <w:szCs w:val="24"/>
              </w:rPr>
              <w:t>董事长：施永雷先生</w:t>
            </w:r>
          </w:p>
          <w:p w14:paraId="1AC3A1FD">
            <w:pPr>
              <w:spacing w:line="360" w:lineRule="auto"/>
              <w:rPr>
                <w:rFonts w:hint="eastAsia" w:ascii="宋体" w:hAnsi="宋体" w:eastAsia="宋体" w:cs="宋体"/>
                <w:sz w:val="24"/>
                <w:szCs w:val="24"/>
              </w:rPr>
            </w:pPr>
            <w:r>
              <w:rPr>
                <w:rFonts w:hint="eastAsia" w:ascii="宋体" w:hAnsi="宋体" w:eastAsia="宋体" w:cs="宋体"/>
                <w:sz w:val="24"/>
                <w:szCs w:val="24"/>
              </w:rPr>
              <w:t>董事、总裁：郁瑞芬女士</w:t>
            </w:r>
          </w:p>
          <w:p w14:paraId="426298CD">
            <w:pPr>
              <w:spacing w:line="360" w:lineRule="auto"/>
              <w:rPr>
                <w:rFonts w:hint="eastAsia" w:ascii="宋体" w:hAnsi="宋体" w:eastAsia="宋体" w:cs="宋体"/>
                <w:sz w:val="24"/>
                <w:szCs w:val="24"/>
              </w:rPr>
            </w:pPr>
            <w:r>
              <w:rPr>
                <w:rFonts w:hint="eastAsia" w:ascii="宋体" w:hAnsi="宋体" w:eastAsia="宋体" w:cs="宋体"/>
                <w:sz w:val="24"/>
                <w:szCs w:val="24"/>
              </w:rPr>
              <w:t>董事、</w:t>
            </w:r>
            <w:r>
              <w:rPr>
                <w:rFonts w:hint="eastAsia" w:ascii="宋体" w:hAnsi="宋体" w:cs="宋体"/>
                <w:sz w:val="24"/>
                <w:szCs w:val="24"/>
                <w:lang w:val="en-US" w:eastAsia="zh-CN"/>
              </w:rPr>
              <w:t>副总裁、</w:t>
            </w:r>
            <w:r>
              <w:rPr>
                <w:rFonts w:hint="eastAsia" w:ascii="宋体" w:hAnsi="宋体" w:eastAsia="宋体" w:cs="宋体"/>
                <w:sz w:val="24"/>
                <w:szCs w:val="24"/>
              </w:rPr>
              <w:t>财务总监：徐珮珊女士</w:t>
            </w:r>
          </w:p>
          <w:p w14:paraId="3405321E">
            <w:pPr>
              <w:spacing w:line="360" w:lineRule="auto"/>
              <w:rPr>
                <w:rFonts w:hint="eastAsia" w:ascii="宋体" w:hAnsi="宋体" w:eastAsia="宋体" w:cs="宋体"/>
                <w:sz w:val="24"/>
                <w:szCs w:val="24"/>
              </w:rPr>
            </w:pPr>
            <w:r>
              <w:rPr>
                <w:rFonts w:hint="eastAsia" w:ascii="宋体" w:hAnsi="宋体" w:eastAsia="宋体" w:cs="宋体"/>
                <w:sz w:val="24"/>
                <w:szCs w:val="24"/>
              </w:rPr>
              <w:t>独立董事：陈百俭先生</w:t>
            </w:r>
          </w:p>
          <w:p w14:paraId="4AD52C46">
            <w:pPr>
              <w:spacing w:line="360" w:lineRule="auto"/>
              <w:rPr>
                <w:rFonts w:hint="eastAsia" w:ascii="宋体" w:hAnsi="宋体" w:eastAsia="宋体" w:cs="宋体"/>
                <w:sz w:val="24"/>
                <w:szCs w:val="24"/>
              </w:rPr>
            </w:pPr>
            <w:r>
              <w:rPr>
                <w:rFonts w:hint="eastAsia" w:ascii="宋体" w:hAnsi="宋体" w:eastAsia="宋体" w:cs="宋体"/>
                <w:sz w:val="24"/>
                <w:szCs w:val="24"/>
              </w:rPr>
              <w:t>董事会秘书：林云先生</w:t>
            </w:r>
          </w:p>
        </w:tc>
      </w:tr>
      <w:tr w14:paraId="113B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292B9DC3">
            <w:p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投资者关系活动主要内容介绍</w:t>
            </w:r>
          </w:p>
        </w:tc>
        <w:tc>
          <w:tcPr>
            <w:tcW w:w="7191" w:type="dxa"/>
            <w:noWrap w:val="0"/>
            <w:vAlign w:val="top"/>
          </w:tcPr>
          <w:p w14:paraId="2DAEED5A">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投资者关系活动主要内容</w:t>
            </w:r>
            <w:r>
              <w:rPr>
                <w:rFonts w:hint="eastAsia" w:ascii="宋体" w:hAnsi="宋体" w:cs="宋体"/>
                <w:color w:val="000000"/>
                <w:sz w:val="24"/>
                <w:szCs w:val="24"/>
                <w:lang w:val="en-US" w:eastAsia="zh-CN"/>
              </w:rPr>
              <w:t>如下：</w:t>
            </w:r>
          </w:p>
          <w:p w14:paraId="2FB2E46C">
            <w:pPr>
              <w:spacing w:line="360" w:lineRule="auto"/>
              <w:rPr>
                <w:rFonts w:hint="eastAsia" w:ascii="宋体" w:hAnsi="宋体" w:eastAsia="宋体" w:cs="宋体"/>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今年9月份，商务部发布政策，提及扩大服务消费市场，其中有提到畅享“中国购”；鼓励电商平台创新线上线下融合的数字服务消费场景，打造信息消费新产品新场景新热点，结合公司现有的业务，是否有拓展相关业务的详细规划</w:t>
            </w:r>
            <w:r>
              <w:rPr>
                <w:rFonts w:hint="eastAsia" w:ascii="宋体" w:hAnsi="宋体" w:cs="宋体"/>
                <w:b/>
                <w:bCs/>
                <w:color w:val="000000"/>
                <w:sz w:val="24"/>
                <w:szCs w:val="24"/>
                <w:lang w:val="en-US" w:eastAsia="zh-CN"/>
              </w:rPr>
              <w:t>？</w:t>
            </w:r>
          </w:p>
          <w:p w14:paraId="7A9CD60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您好，公司坚持以消费需求为导向，构建了直营门店、加盟门店、智能终端、电子商务和来伊份社区购 APP 等全渠道网络体系。同时，外卖自运营体系、社区团购等业务有效盘活线下门店资源，实现了商品、支付、会员、库存等全要素的线上线下高效协同。未来，公司将持续以政策为导向，依托全渠道优势与数字化能力，将“扩大服务消费”的政策红利转化为实际经营动能，在为消费者创造更优质体验的同时，推动企业高质量发展。相关业务进展请以公司后续披露的公告为准，感谢您的关注与支持！</w:t>
            </w:r>
          </w:p>
          <w:p w14:paraId="3AC0DEEB">
            <w:pPr>
              <w:spacing w:line="360" w:lineRule="auto"/>
              <w:rPr>
                <w:rFonts w:hint="default" w:ascii="宋体" w:hAnsi="宋体" w:eastAsia="宋体" w:cs="宋体"/>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请问公司在AI技术方面有哪些应用</w:t>
            </w:r>
            <w:r>
              <w:rPr>
                <w:rFonts w:hint="eastAsia" w:ascii="宋体" w:hAnsi="宋体" w:cs="宋体"/>
                <w:b/>
                <w:bCs/>
                <w:color w:val="000000"/>
                <w:sz w:val="24"/>
                <w:szCs w:val="24"/>
                <w:lang w:val="en-US" w:eastAsia="zh-CN"/>
              </w:rPr>
              <w:t>?</w:t>
            </w:r>
          </w:p>
          <w:p w14:paraId="719B68C4">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尊敬的投资者，您好！公司5月上线的“门店销售计划管理平台”将加盟商纳入统一框架，达成直营与加盟一体化协同，叠加 DeepSeek AI大模型推动计划智能化，销售预测准确率、数据采纳率分别提升30%、40%，供应链效能升级方面：五角大楼预警指挥平台构建全域预警网络，部署51个智能预警模型及多通道触达机制，依托大数据实时识别偏差并赋能纠偏，同步推广AI智能客服以提效降本。感谢您的关注与支持！</w:t>
            </w:r>
          </w:p>
          <w:p w14:paraId="3CFE7188">
            <w:pPr>
              <w:spacing w:line="360" w:lineRule="auto"/>
              <w:rPr>
                <w:rFonts w:hint="eastAsia" w:ascii="宋体" w:hAnsi="宋体" w:eastAsia="宋体" w:cs="宋体"/>
                <w:color w:val="000000"/>
                <w:sz w:val="24"/>
                <w:szCs w:val="24"/>
                <w:lang w:val="en-US" w:eastAsia="zh-CN"/>
              </w:rPr>
            </w:pPr>
          </w:p>
          <w:p w14:paraId="58B7CBA0">
            <w:pPr>
              <w:spacing w:line="360" w:lineRule="auto"/>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请问公司产品是否有实现出口海外</w:t>
            </w:r>
            <w:r>
              <w:rPr>
                <w:rFonts w:hint="eastAsia" w:ascii="宋体" w:hAnsi="宋体" w:cs="宋体"/>
                <w:b/>
                <w:bCs/>
                <w:color w:val="000000"/>
                <w:sz w:val="24"/>
                <w:szCs w:val="24"/>
                <w:lang w:val="en-US" w:eastAsia="zh-CN"/>
              </w:rPr>
              <w:t>?</w:t>
            </w:r>
          </w:p>
          <w:p w14:paraId="6F505E49">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尊敬的投资者，您好！截至2024年底，公司分销业务新增拓展至韩国、越南、泰国等本地连锁商超渠道。出口品类覆盖豆干、蜜饯、炒货等多种品类，出口SKU数增至30+SKU，海外经销获得突破。感谢您的关注与支持！</w:t>
            </w:r>
          </w:p>
          <w:p w14:paraId="4B425758">
            <w:pPr>
              <w:spacing w:line="360" w:lineRule="auto"/>
              <w:rPr>
                <w:rFonts w:hint="eastAsia" w:ascii="宋体" w:hAnsi="宋体" w:eastAsia="宋体" w:cs="宋体"/>
                <w:color w:val="000000"/>
                <w:sz w:val="24"/>
                <w:szCs w:val="24"/>
                <w:lang w:val="en-US" w:eastAsia="zh-CN"/>
              </w:rPr>
            </w:pPr>
          </w:p>
          <w:p w14:paraId="2FF11A06">
            <w:pPr>
              <w:spacing w:line="360" w:lineRule="auto"/>
              <w:rPr>
                <w:rFonts w:hint="eastAsia" w:ascii="宋体" w:hAnsi="宋体" w:eastAsia="宋体" w:cs="宋体"/>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公司的线上战略，在抖音、小红书、微信小店等新兴电商渠道是否布局？</w:t>
            </w:r>
          </w:p>
          <w:p w14:paraId="4F0F284D">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尊敬的投资者，您好！当前公司已于与抖音、快手、小红书、视频号等平台签订服务协议，在前述平台开设来伊份旗舰店，为消费者提供适合的产品和优质的服务。感谢您的关注与支持！</w:t>
            </w:r>
          </w:p>
          <w:p w14:paraId="638F9968">
            <w:pPr>
              <w:spacing w:line="360" w:lineRule="auto"/>
              <w:rPr>
                <w:rFonts w:hint="eastAsia" w:ascii="宋体" w:hAnsi="宋体" w:eastAsia="宋体" w:cs="宋体"/>
                <w:color w:val="000000"/>
                <w:sz w:val="24"/>
                <w:szCs w:val="24"/>
                <w:lang w:val="en-US" w:eastAsia="zh-CN"/>
              </w:rPr>
            </w:pPr>
          </w:p>
          <w:p w14:paraId="12B2C466">
            <w:pPr>
              <w:spacing w:line="360" w:lineRule="auto"/>
              <w:rPr>
                <w:rFonts w:hint="eastAsia" w:ascii="宋体" w:hAnsi="宋体" w:eastAsia="宋体" w:cs="宋体"/>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公司在盲盒经济/IP经济领域是否有布局？</w:t>
            </w:r>
          </w:p>
          <w:p w14:paraId="003497B8">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尊敬的投资者，您好！在品牌建设上，公司坚持品牌年轻化的升级理念。通过升级PI VI SI，代言人、数字IP、大单品的方式，持续构建自身品牌体系。同时，加强与多元化IP的合作，借助社交平台力量，实现品牌破圈。在跨界合作方面，来伊份携手腾讯大IP热门手游《元梦之星》，正式开启跨界战略合作联动，上线伊仔元梦之星新皮肤及中秋IP限定联名礼盒。感谢您的关注与支持！</w:t>
            </w:r>
          </w:p>
          <w:p w14:paraId="098E12F5">
            <w:pPr>
              <w:spacing w:line="360" w:lineRule="auto"/>
              <w:rPr>
                <w:rFonts w:hint="eastAsia" w:ascii="宋体" w:hAnsi="宋体" w:eastAsia="宋体" w:cs="宋体"/>
                <w:color w:val="000000"/>
                <w:sz w:val="24"/>
                <w:szCs w:val="24"/>
                <w:lang w:val="en-US" w:eastAsia="zh-CN"/>
              </w:rPr>
            </w:pPr>
          </w:p>
          <w:p w14:paraId="06B3F81B">
            <w:p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目前，公司的经销商有多少家？2025年上半年新增多少？</w:t>
            </w:r>
          </w:p>
          <w:p w14:paraId="744E9963">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尊敬的投资者，您好！2025年上半年，公司新增经销商44个，经销特通业务重点布局交通枢纽及教育场景，深化高铁特通渠道矩阵。感谢您的关注与支持！</w:t>
            </w:r>
          </w:p>
          <w:p w14:paraId="46F7FE2E">
            <w:pPr>
              <w:spacing w:line="360" w:lineRule="auto"/>
              <w:rPr>
                <w:rFonts w:hint="eastAsia" w:ascii="宋体" w:hAnsi="宋体" w:eastAsia="宋体" w:cs="宋体"/>
                <w:color w:val="000000"/>
                <w:sz w:val="24"/>
                <w:szCs w:val="24"/>
                <w:lang w:val="en-US" w:eastAsia="zh-CN"/>
              </w:rPr>
            </w:pPr>
          </w:p>
          <w:p w14:paraId="3024B58B">
            <w:p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公司给加盟商和联营商提供5000万的财务资助是出于哪些考量？</w:t>
            </w:r>
          </w:p>
          <w:p w14:paraId="7F8AFA53">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尊敬的投资者，您好！公司此次提供财务资助，资金仅限用于加盟或联营门店业务的经营，且单个加盟或联营门店的财务资助金额不超过100万元，对同一加盟商或联营商及其关联方的财务资助金额不超过500万元。这一举措将有效缓解加盟商日常运营中的流动性压力，尤其为新开门店培育期、成熟期门店拓展期提供了关键支持，进一步强化了加盟商与公司的合作黏性。感谢您的关注与支持！</w:t>
            </w:r>
          </w:p>
          <w:p w14:paraId="7489CF2E">
            <w:pPr>
              <w:spacing w:line="360" w:lineRule="auto"/>
              <w:rPr>
                <w:rFonts w:hint="eastAsia" w:ascii="宋体" w:hAnsi="宋体" w:eastAsia="宋体" w:cs="宋体"/>
                <w:color w:val="000000"/>
                <w:sz w:val="24"/>
                <w:szCs w:val="24"/>
                <w:lang w:val="en-US" w:eastAsia="zh-CN"/>
              </w:rPr>
            </w:pPr>
          </w:p>
          <w:p w14:paraId="18D52EB6">
            <w:pPr>
              <w:spacing w:line="360" w:lineRule="auto"/>
              <w:rPr>
                <w:rFonts w:hint="eastAsia" w:ascii="宋体" w:hAnsi="宋体" w:eastAsia="宋体" w:cs="宋体"/>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公司有没有打造新的增长点的想法，在新品布局上公司看好哪些方向？</w:t>
            </w:r>
          </w:p>
          <w:p w14:paraId="38C8C1EB">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尊敬的投资者，您好！公司持续拓展创新品类，积极架设第二增长引擎，在酒水饮料、乳制品、现制咖啡、锁鲜卤味、冷藏糕点、预制菜、水果生鲜、粮油调味等领域的布局成效显现，创新品类业绩实现正向增长，其中，冲调速食同比增长16.1%、饮料板块同比增长6.9%。在新业态零售方面，公司仓储店与生活店的战略布局正有效驱动创新品类发展。此外，公司在非食品类和跨境品类的探索与布局持续深化，致力于满足消费者在日用百货、数码产品、美妆护肤等领域的多元化、场景化需求。门店全温度带战略业务布局上，持续发力冷冻温度带，围绕消费者的一日三餐及休闲娱乐场景，布局冰淇淋、冷冻食品等系列产品。感谢您的关注与支持！</w:t>
            </w:r>
          </w:p>
          <w:p w14:paraId="5750BBFB">
            <w:pPr>
              <w:spacing w:line="360" w:lineRule="auto"/>
              <w:rPr>
                <w:rFonts w:hint="eastAsia" w:ascii="宋体" w:hAnsi="宋体" w:eastAsia="宋体" w:cs="宋体"/>
                <w:color w:val="000000"/>
                <w:sz w:val="24"/>
                <w:szCs w:val="24"/>
                <w:lang w:val="en-US" w:eastAsia="zh-CN"/>
              </w:rPr>
            </w:pPr>
          </w:p>
          <w:p w14:paraId="1B6D5D4E">
            <w:p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公司扣非净利润下滑536.91%，毛利率降至32.61%。请问：①毛利率下降的8.67个百分点中，哪些成本项影响最大?</w:t>
            </w:r>
            <w:r>
              <w:rPr>
                <w:rFonts w:hint="eastAsia" w:ascii="宋体" w:hAnsi="宋体" w:cs="宋体"/>
                <w:b/>
                <w:bCs/>
                <w:color w:val="000000"/>
                <w:sz w:val="24"/>
                <w:szCs w:val="24"/>
                <w:lang w:val="en-US" w:eastAsia="zh-CN"/>
              </w:rPr>
              <w:t xml:space="preserve"> </w:t>
            </w:r>
            <w:r>
              <w:rPr>
                <w:rFonts w:hint="eastAsia" w:ascii="宋体" w:hAnsi="宋体" w:eastAsia="宋体" w:cs="宋体"/>
                <w:b/>
                <w:bCs/>
                <w:color w:val="000000"/>
                <w:sz w:val="24"/>
                <w:szCs w:val="24"/>
                <w:lang w:val="en-US" w:eastAsia="zh-CN"/>
              </w:rPr>
              <w:t>②非经常性损益的具体构成是什么？③经营活动现金流净额同比下降78.68%，是否会影响未来门店扩张或并购计划的资金安排？</w:t>
            </w:r>
          </w:p>
          <w:p w14:paraId="41BE01C8">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尊敬的投资者，您好！公司在手现金充足，经营活动现金流净额短期变动不会影响公司正常经营以及未来的扩张计划；公司毛利率变动主要系拓展新业务毛利结构的不同所致；非经常性损益的具体情况请您查阅相关定期报告。感谢您的关注与支持！</w:t>
            </w:r>
          </w:p>
          <w:p w14:paraId="4B003F7F">
            <w:pPr>
              <w:spacing w:line="360" w:lineRule="auto"/>
              <w:rPr>
                <w:rFonts w:hint="eastAsia" w:ascii="宋体" w:hAnsi="宋体" w:eastAsia="宋体" w:cs="宋体"/>
                <w:color w:val="000000"/>
                <w:sz w:val="24"/>
                <w:szCs w:val="24"/>
                <w:lang w:val="en-US" w:eastAsia="zh-CN"/>
              </w:rPr>
            </w:pPr>
          </w:p>
          <w:p w14:paraId="21E98F0E">
            <w:pPr>
              <w:spacing w:line="360" w:lineRule="auto"/>
              <w:rPr>
                <w:rFonts w:hint="eastAsia" w:ascii="宋体" w:hAnsi="宋体" w:eastAsia="宋体" w:cs="宋体"/>
                <w:b w:val="0"/>
                <w:bCs w:val="0"/>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公司2025年上半年营收增长8.21%，但净利润由盈转亏，且直营门店净减少106家。请问：①门店结构调整是否已触及阶段性拐点？未来直营与加盟门店的理想比例目标是什么？②如何评估“万家灯火”计划当前进展与2023年1万家门店目标的差距？③在量贩零食品牌冲击下，公司如何差异化定位以提升竞争力？</w:t>
            </w:r>
          </w:p>
          <w:p w14:paraId="243472E1">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尊敬的投资者，您好！1、公司主动对部分区域门店结构及规模进行调整，截至2025年上半年，公司加盟门店1,584家，占比53%。加盟占比的逐年提升，标志着公司逐渐从传统零售企业向连锁管理服务+供应链平台型企业转变。未来公司将持续推动万家灯火战略，一方面优化单店盈利模型，主动调改部分社区店、特通店、商场店，同时推出生活店模型，并创新业内首家仓储会员店；另一方面拓宽品牌认知度，加强全国加盟推广力度，持续调转直营门店。2、万家灯火是公司的长期战略发展的目标，并不是公司2023年的经营目标。未来，公司将持续推进万家灯火战略，精耕长三角地区、拓展全国市场, 加大全国的加盟力度，同时持续优化升级直营门店,深化线下渠道布局,打造“随时随地来伊份”的场景。3、来伊份将坚持高品质、高性价比的产品定位，通过建设多业态消费场景的生态大平台，技术创新和供应链优化来降低成本，使消费者能够以更低的价格享受到更优质的产品与服务。感谢您的关注与支持！</w:t>
            </w:r>
          </w:p>
          <w:p w14:paraId="5F83B91D">
            <w:pPr>
              <w:spacing w:line="360" w:lineRule="auto"/>
              <w:rPr>
                <w:rFonts w:hint="eastAsia" w:ascii="宋体" w:hAnsi="宋体" w:eastAsia="宋体" w:cs="宋体"/>
                <w:color w:val="000000"/>
                <w:sz w:val="24"/>
                <w:szCs w:val="24"/>
                <w:lang w:val="en-US" w:eastAsia="zh-CN"/>
              </w:rPr>
            </w:pPr>
          </w:p>
          <w:p w14:paraId="4EF3A2D3">
            <w:pPr>
              <w:spacing w:line="360" w:lineRule="auto"/>
              <w:rPr>
                <w:rFonts w:hint="eastAsia" w:ascii="宋体" w:hAnsi="宋体" w:eastAsia="宋体" w:cs="宋体"/>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截至上半年末门店总数2979家，同比减少14.2%。请问在门店数量减少的背景下，公司如何提升单店的盈利能力？</w:t>
            </w:r>
          </w:p>
          <w:p w14:paraId="43E3503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r>
              <w:rPr>
                <w:rFonts w:hint="eastAsia" w:ascii="宋体" w:hAnsi="宋体" w:eastAsia="宋体" w:cs="宋体"/>
                <w:color w:val="000000"/>
                <w:sz w:val="24"/>
                <w:szCs w:val="24"/>
                <w:lang w:val="en-US" w:eastAsia="zh-CN"/>
              </w:rPr>
              <w:t>尊敬的投资者，您好！上半年末门店总数同比调整，是公司基于“优化门店结构、聚焦优质网点”战略的主动举措，即主动调优传统小型直营门店，持续加强加盟商拓展，战略性投资拓展以生活店为标准的新店型，进一步优化公司运营成本结构。在门店盈利优化方面，公司将持续开发与拓展创新品类，同时引入高质价比的非自有品牌产品，丰富产品矩阵以满足消费者多元化、高品质需求；另外，公司将加速推进存量门店的数字化改造，通过“降本、提效”直接改善单店盈利水平。感谢您的关注与支持！</w:t>
            </w:r>
          </w:p>
          <w:p w14:paraId="6F2F56F3">
            <w:pPr>
              <w:spacing w:line="360" w:lineRule="auto"/>
              <w:rPr>
                <w:rFonts w:hint="eastAsia" w:ascii="宋体" w:hAnsi="宋体" w:eastAsia="宋体" w:cs="宋体"/>
                <w:color w:val="000000"/>
                <w:sz w:val="24"/>
                <w:szCs w:val="24"/>
                <w:lang w:val="en-US" w:eastAsia="zh-CN"/>
              </w:rPr>
            </w:pPr>
          </w:p>
          <w:p w14:paraId="246784B2">
            <w:p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问题：</w:t>
            </w:r>
            <w:r>
              <w:rPr>
                <w:rFonts w:hint="eastAsia" w:ascii="宋体" w:hAnsi="宋体" w:eastAsia="宋体" w:cs="宋体"/>
                <w:b/>
                <w:bCs/>
                <w:color w:val="000000"/>
                <w:sz w:val="24"/>
                <w:szCs w:val="24"/>
                <w:lang w:val="en-US" w:eastAsia="zh-CN"/>
              </w:rPr>
              <w:t>国家推动生育补贴政策，有可能增加儿童零食的需求，公司有没有这方面的布局</w:t>
            </w:r>
            <w:r>
              <w:rPr>
                <w:rFonts w:hint="eastAsia" w:ascii="宋体" w:hAnsi="宋体" w:cs="宋体"/>
                <w:b/>
                <w:bCs/>
                <w:color w:val="000000"/>
                <w:sz w:val="24"/>
                <w:szCs w:val="24"/>
                <w:lang w:val="en-US" w:eastAsia="zh-CN"/>
              </w:rPr>
              <w:t>？</w:t>
            </w:r>
          </w:p>
          <w:p w14:paraId="09772792">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eastAsia" w:ascii="宋体" w:hAnsi="宋体" w:cs="宋体"/>
                <w:b/>
                <w:bCs/>
                <w:color w:val="000000"/>
                <w:sz w:val="24"/>
                <w:szCs w:val="24"/>
                <w:lang w:val="en-US" w:eastAsia="zh-CN"/>
              </w:rPr>
              <w:t>：</w:t>
            </w:r>
            <w:bookmarkStart w:id="0" w:name="_GoBack"/>
            <w:bookmarkEnd w:id="0"/>
            <w:r>
              <w:rPr>
                <w:rFonts w:hint="eastAsia" w:ascii="宋体" w:hAnsi="宋体" w:eastAsia="宋体" w:cs="宋体"/>
                <w:color w:val="000000"/>
                <w:sz w:val="24"/>
                <w:szCs w:val="24"/>
                <w:lang w:val="en-US" w:eastAsia="zh-CN"/>
              </w:rPr>
              <w:t>尊敬的投资者，您好！公司基于童食健康理念，以 4-12 岁儿童及其家长为目标人群，孵化了43余款儿童系列零食，并在线下门店设立儿童系列零食专区，打造儿童零食行业标杆。未来公司将进一步扩大儿童线产品的规模与品种，以满足更多家庭的需求。感谢您的关注与支持！</w:t>
            </w:r>
          </w:p>
        </w:tc>
      </w:tr>
      <w:tr w14:paraId="38C1F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shd w:val="clear" w:color="auto" w:fill="auto"/>
            <w:noWrap w:val="0"/>
            <w:vAlign w:val="center"/>
          </w:tcPr>
          <w:p w14:paraId="62F765FF">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附件清单（如有）</w:t>
            </w:r>
          </w:p>
        </w:tc>
        <w:tc>
          <w:tcPr>
            <w:tcW w:w="7191" w:type="dxa"/>
            <w:shd w:val="clear" w:color="auto" w:fill="auto"/>
            <w:noWrap w:val="0"/>
            <w:vAlign w:val="center"/>
          </w:tcPr>
          <w:p w14:paraId="21B5EBA2">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r>
      <w:tr w14:paraId="51A14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shd w:val="clear" w:color="auto" w:fill="auto"/>
            <w:noWrap w:val="0"/>
            <w:vAlign w:val="center"/>
          </w:tcPr>
          <w:p w14:paraId="000F0576">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日期</w:t>
            </w:r>
          </w:p>
        </w:tc>
        <w:tc>
          <w:tcPr>
            <w:tcW w:w="7191" w:type="dxa"/>
            <w:shd w:val="clear" w:color="auto" w:fill="auto"/>
            <w:noWrap w:val="0"/>
            <w:vAlign w:val="center"/>
          </w:tcPr>
          <w:p w14:paraId="74250561">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2025年10月14日</w:t>
            </w:r>
          </w:p>
        </w:tc>
      </w:tr>
    </w:tbl>
    <w:p w14:paraId="64C84CE5">
      <w:pPr>
        <w:spacing w:line="360" w:lineRule="auto"/>
        <w:rPr>
          <w:rFonts w:hint="eastAsia" w:ascii="宋体" w:hAnsi="宋体" w:eastAsia="宋体" w:cs="宋体"/>
          <w:color w:val="000000"/>
          <w:sz w:val="24"/>
          <w:szCs w:val="24"/>
          <w:lang w:val="en-US" w:eastAsia="zh-CN"/>
        </w:rPr>
      </w:pPr>
    </w:p>
    <w:p w14:paraId="4AF38875">
      <w:pPr>
        <w:spacing w:line="360" w:lineRule="auto"/>
        <w:rPr>
          <w:rFonts w:hint="eastAsia" w:ascii="宋体" w:hAnsi="宋体" w:eastAsia="宋体" w:cs="宋体"/>
          <w:color w:val="000000"/>
          <w:sz w:val="24"/>
          <w:szCs w:val="24"/>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C9A3F">
    <w:pPr>
      <w:pStyle w:val="2"/>
      <w:tabs>
        <w:tab w:val="clear" w:pos="4153"/>
      </w:tabs>
      <w:jc w:val="right"/>
    </w:pPr>
    <w:r>
      <w:rPr>
        <w:rFonts w:hint="eastAsia"/>
      </w:rPr>
      <w:t>上海来伊份股份有限公司投资者关系活动记录表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4E61969"/>
    <w:rsid w:val="0A1E20A6"/>
    <w:rsid w:val="0B1E4CE9"/>
    <w:rsid w:val="17453DA6"/>
    <w:rsid w:val="18DF7E53"/>
    <w:rsid w:val="1969650B"/>
    <w:rsid w:val="1CB2496B"/>
    <w:rsid w:val="1DD73282"/>
    <w:rsid w:val="36B85FBC"/>
    <w:rsid w:val="61B42C51"/>
    <w:rsid w:val="66B63D39"/>
    <w:rsid w:val="670E1BEF"/>
    <w:rsid w:val="6E7F49D6"/>
    <w:rsid w:val="71734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2967</Words>
  <Characters>3140</Characters>
  <Lines>0</Lines>
  <Paragraphs>0</Paragraphs>
  <TotalTime>10</TotalTime>
  <ScaleCrop>false</ScaleCrop>
  <LinksUpToDate>false</LinksUpToDate>
  <CharactersWithSpaces>3209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满羽</cp:lastModifiedBy>
  <dcterms:modified xsi:type="dcterms:W3CDTF">2025-10-14T06:59:37Z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473F7511D4CA4D9E81586EE9A3CD7F9E_13</vt:lpwstr>
  </property>
  <property fmtid="{D5CDD505-2E9C-101B-9397-08002B2CF9AE}" pid="4" name="KSOTemplateDocerSaveRecord">
    <vt:lpwstr>eyJoZGlkIjoiZjZlNzcwYzM2Mzk0YjU4NTk5ZDQ3YWYyNTNmZjZmMWYiLCJ1c2VySWQiOiI5MDA2MTI4MjIifQ==</vt:lpwstr>
  </property>
</Properties>
</file>