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9A" w:rsidRDefault="00DD549A" w:rsidP="00DD549A">
      <w:pPr>
        <w:adjustRightInd w:val="0"/>
        <w:snapToGrid w:val="0"/>
        <w:spacing w:line="360" w:lineRule="auto"/>
        <w:rPr>
          <w:rFonts w:ascii="宋体" w:hAnsi="宋体"/>
          <w:bCs/>
          <w:snapToGrid w:val="0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证券代码：600117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 w:rsidR="00EA5D36">
        <w:rPr>
          <w:rFonts w:ascii="宋体" w:cs="宋体"/>
          <w:sz w:val="28"/>
          <w:szCs w:val="28"/>
        </w:rPr>
        <w:t xml:space="preserve">                      </w:t>
      </w:r>
      <w:r>
        <w:rPr>
          <w:rFonts w:ascii="宋体" w:cs="宋体" w:hint="eastAsia"/>
          <w:sz w:val="28"/>
          <w:szCs w:val="28"/>
        </w:rPr>
        <w:t>证券简称：</w:t>
      </w:r>
      <w:r w:rsidR="006E2517">
        <w:rPr>
          <w:rFonts w:ascii="宋体" w:cs="宋体" w:hint="eastAsia"/>
          <w:sz w:val="28"/>
          <w:szCs w:val="28"/>
        </w:rPr>
        <w:t>西宁特钢</w:t>
      </w:r>
    </w:p>
    <w:p w:rsidR="006E2517" w:rsidRDefault="006E2517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</w:p>
    <w:p w:rsidR="00DD549A" w:rsidRPr="00DD549A" w:rsidRDefault="00940E59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西宁特殊钢股份有限</w:t>
      </w:r>
      <w:r w:rsidR="00A35C9D"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公司</w:t>
      </w:r>
    </w:p>
    <w:p w:rsidR="00956EA3" w:rsidRPr="00DD549A" w:rsidRDefault="00A35C9D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投资者关系活动记录表</w:t>
      </w:r>
    </w:p>
    <w:p w:rsidR="00DD549A" w:rsidRDefault="00DD549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</w:p>
    <w:p w:rsidR="001C4F79" w:rsidRDefault="00DD549A" w:rsidP="001C4F79">
      <w:pPr>
        <w:spacing w:line="276" w:lineRule="auto"/>
        <w:ind w:firstLineChars="200" w:firstLine="560"/>
        <w:rPr>
          <w:rFonts w:ascii="楷体_GB2312" w:eastAsia="楷体_GB2312" w:hAnsi="Times New Roman"/>
          <w:snapToGrid w:val="0"/>
          <w:sz w:val="28"/>
          <w:szCs w:val="28"/>
        </w:rPr>
      </w:pPr>
      <w:r>
        <w:rPr>
          <w:rFonts w:ascii="楷体_GB2312" w:eastAsia="楷体_GB2312" w:hAnsi="Times New Roman" w:hint="eastAsia"/>
          <w:snapToGrid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Pr="00DD549A">
        <w:rPr>
          <w:rFonts w:ascii="宋体" w:hAnsi="宋体" w:cs="宋体"/>
          <w:b/>
          <w:kern w:val="0"/>
          <w:sz w:val="28"/>
          <w:szCs w:val="28"/>
        </w:rPr>
        <w:t>、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投资者关系活动类别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</w:t>
      </w:r>
      <w:r w:rsidRPr="00DD549A">
        <w:rPr>
          <w:rFonts w:ascii="宋体" w:hAnsi="宋体" w:cs="宋体"/>
          <w:kern w:val="0"/>
          <w:sz w:val="28"/>
          <w:szCs w:val="28"/>
        </w:rPr>
        <w:t>特定对象调研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□分析师会议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□媒体采访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□新闻发布会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□现场参观</w:t>
      </w:r>
      <w:r w:rsidRPr="00DD549A">
        <w:rPr>
          <w:rFonts w:ascii="宋体" w:hAnsi="宋体" w:cs="宋体" w:hint="eastAsia"/>
          <w:kern w:val="0"/>
          <w:sz w:val="28"/>
          <w:szCs w:val="28"/>
        </w:rPr>
        <w:tab/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sym w:font="Wingdings" w:char="F0FE"/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□其他</w:t>
      </w:r>
    </w:p>
    <w:p w:rsidR="00DD549A" w:rsidRPr="001C4F79" w:rsidRDefault="00DD549A" w:rsidP="001C4F79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549A">
        <w:rPr>
          <w:rFonts w:ascii="宋体" w:hAnsi="宋体" w:cs="宋体"/>
          <w:b/>
          <w:kern w:val="0"/>
          <w:sz w:val="28"/>
          <w:szCs w:val="28"/>
        </w:rPr>
        <w:t>、投资者关系活动情况</w:t>
      </w:r>
    </w:p>
    <w:p w:rsidR="001C4F79" w:rsidRPr="00DD549A" w:rsidRDefault="001C4F79" w:rsidP="001C4F79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DD549A">
        <w:rPr>
          <w:rFonts w:ascii="宋体" w:hAnsi="宋体" w:cs="宋体"/>
          <w:kern w:val="0"/>
          <w:sz w:val="28"/>
          <w:szCs w:val="28"/>
        </w:rPr>
        <w:t>202</w:t>
      </w:r>
      <w:r w:rsidR="00D662C6">
        <w:rPr>
          <w:rFonts w:ascii="宋体" w:hAnsi="宋体" w:cs="宋体"/>
          <w:kern w:val="0"/>
          <w:sz w:val="28"/>
          <w:szCs w:val="28"/>
        </w:rPr>
        <w:t>5</w:t>
      </w:r>
      <w:r w:rsidRPr="00DD549A">
        <w:rPr>
          <w:rFonts w:ascii="宋体" w:hAnsi="宋体" w:cs="宋体"/>
          <w:kern w:val="0"/>
          <w:sz w:val="28"/>
          <w:szCs w:val="28"/>
        </w:rPr>
        <w:t>年</w:t>
      </w:r>
      <w:r w:rsidR="00CD0D47">
        <w:rPr>
          <w:rFonts w:ascii="宋体" w:hAnsi="宋体" w:cs="宋体"/>
          <w:kern w:val="0"/>
          <w:sz w:val="28"/>
          <w:szCs w:val="28"/>
        </w:rPr>
        <w:t>10</w:t>
      </w:r>
      <w:r w:rsidRPr="00DD549A">
        <w:rPr>
          <w:rFonts w:ascii="宋体" w:hAnsi="宋体" w:cs="宋体"/>
          <w:kern w:val="0"/>
          <w:sz w:val="28"/>
          <w:szCs w:val="28"/>
        </w:rPr>
        <w:t>月</w:t>
      </w:r>
      <w:r w:rsidR="00CD0D47">
        <w:rPr>
          <w:rFonts w:ascii="宋体" w:hAnsi="宋体" w:cs="宋体"/>
          <w:kern w:val="0"/>
          <w:sz w:val="28"/>
          <w:szCs w:val="28"/>
        </w:rPr>
        <w:t>14</w:t>
      </w:r>
      <w:r w:rsidRPr="00DD549A">
        <w:rPr>
          <w:rFonts w:ascii="宋体" w:hAnsi="宋体" w:cs="宋体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>上午</w:t>
      </w:r>
      <w:r w:rsidRPr="001C4F79">
        <w:rPr>
          <w:rFonts w:ascii="宋体" w:hAnsi="宋体" w:cs="宋体" w:hint="eastAsia"/>
          <w:kern w:val="0"/>
          <w:sz w:val="28"/>
          <w:szCs w:val="28"/>
        </w:rPr>
        <w:t>11:00-12:00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活动地点：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上海证券交易所上证路演中心（网址：http://roadshow.sseinfo.com/）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参会单位及人员：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以网络</w:t>
      </w:r>
      <w:r w:rsidR="007A672B">
        <w:rPr>
          <w:rFonts w:ascii="宋体" w:hAnsi="宋体" w:cs="宋体" w:hint="eastAsia"/>
          <w:kern w:val="0"/>
          <w:sz w:val="28"/>
          <w:szCs w:val="28"/>
        </w:rPr>
        <w:t>文字</w:t>
      </w:r>
      <w:r w:rsidRPr="00DD549A">
        <w:rPr>
          <w:rFonts w:ascii="宋体" w:hAnsi="宋体" w:cs="宋体" w:hint="eastAsia"/>
          <w:kern w:val="0"/>
          <w:sz w:val="28"/>
          <w:szCs w:val="28"/>
        </w:rPr>
        <w:t>互动的方式线上参与公司202</w:t>
      </w:r>
      <w:r w:rsidR="00CD0D47">
        <w:rPr>
          <w:rFonts w:ascii="宋体" w:hAnsi="宋体" w:cs="宋体"/>
          <w:kern w:val="0"/>
          <w:sz w:val="28"/>
          <w:szCs w:val="28"/>
        </w:rPr>
        <w:t>5</w:t>
      </w:r>
      <w:r w:rsidRPr="00DD549A">
        <w:rPr>
          <w:rFonts w:ascii="宋体" w:hAnsi="宋体" w:cs="宋体" w:hint="eastAsia"/>
          <w:kern w:val="0"/>
          <w:sz w:val="28"/>
          <w:szCs w:val="28"/>
        </w:rPr>
        <w:t>年</w:t>
      </w:r>
      <w:r w:rsidR="00CD0D47">
        <w:rPr>
          <w:rFonts w:ascii="宋体" w:hAnsi="宋体" w:cs="宋体" w:hint="eastAsia"/>
          <w:kern w:val="0"/>
          <w:sz w:val="28"/>
          <w:szCs w:val="28"/>
        </w:rPr>
        <w:t>上半年</w:t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业绩说明会的投资者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上市公司接待人员：董事、总经理</w:t>
      </w:r>
      <w:r w:rsidR="001C4F79">
        <w:rPr>
          <w:rFonts w:ascii="宋体" w:hAnsi="宋体" w:cs="宋体" w:hint="eastAsia"/>
          <w:kern w:val="0"/>
          <w:sz w:val="28"/>
          <w:szCs w:val="28"/>
        </w:rPr>
        <w:t>杨乃辉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Pr="00DD549A">
        <w:rPr>
          <w:rFonts w:ascii="宋体" w:hAnsi="宋体" w:cs="宋体" w:hint="eastAsia"/>
          <w:kern w:val="0"/>
          <w:sz w:val="28"/>
          <w:szCs w:val="28"/>
        </w:rPr>
        <w:t>；独立董事</w:t>
      </w:r>
      <w:r w:rsidRPr="00DD549A">
        <w:rPr>
          <w:rFonts w:ascii="宋体" w:hAnsi="宋体" w:cs="宋体"/>
          <w:kern w:val="0"/>
          <w:sz w:val="28"/>
          <w:szCs w:val="28"/>
        </w:rPr>
        <w:t>范增裕</w:t>
      </w:r>
      <w:r w:rsidRPr="00DD549A">
        <w:rPr>
          <w:rFonts w:ascii="宋体" w:hAnsi="宋体" w:cs="宋体"/>
          <w:kern w:val="0"/>
          <w:sz w:val="28"/>
          <w:szCs w:val="28"/>
        </w:rPr>
        <w:lastRenderedPageBreak/>
        <w:t>先生；副总经理、财务总监</w:t>
      </w:r>
      <w:r w:rsidRPr="00DD549A">
        <w:rPr>
          <w:rFonts w:ascii="宋体" w:hAnsi="宋体" w:cs="宋体" w:hint="eastAsia"/>
          <w:kern w:val="0"/>
          <w:sz w:val="28"/>
          <w:szCs w:val="28"/>
        </w:rPr>
        <w:t>周泳先生</w:t>
      </w:r>
      <w:r w:rsidRPr="00DD549A">
        <w:rPr>
          <w:rFonts w:ascii="宋体" w:hAnsi="宋体" w:cs="宋体"/>
          <w:kern w:val="0"/>
          <w:sz w:val="28"/>
          <w:szCs w:val="28"/>
        </w:rPr>
        <w:t>；</w:t>
      </w:r>
      <w:r w:rsidRPr="00DD549A">
        <w:rPr>
          <w:rFonts w:ascii="宋体" w:hAnsi="宋体" w:cs="宋体" w:hint="eastAsia"/>
          <w:kern w:val="0"/>
          <w:sz w:val="28"/>
          <w:szCs w:val="28"/>
        </w:rPr>
        <w:t>董事会</w:t>
      </w:r>
      <w:r w:rsidRPr="00DD549A">
        <w:rPr>
          <w:rFonts w:ascii="宋体" w:hAnsi="宋体" w:cs="宋体"/>
          <w:kern w:val="0"/>
          <w:sz w:val="28"/>
          <w:szCs w:val="28"/>
        </w:rPr>
        <w:t>秘书</w:t>
      </w:r>
      <w:r w:rsidRPr="00DD549A">
        <w:rPr>
          <w:rFonts w:ascii="宋体" w:hAnsi="宋体" w:cs="宋体" w:hint="eastAsia"/>
          <w:kern w:val="0"/>
          <w:sz w:val="28"/>
          <w:szCs w:val="28"/>
        </w:rPr>
        <w:t>焦付良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="00CD0D47">
        <w:rPr>
          <w:rFonts w:ascii="宋体" w:hAnsi="宋体" w:cs="宋体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t>三、投资者关系活动主要内容</w:t>
      </w:r>
    </w:p>
    <w:p w:rsidR="004C0F01" w:rsidRPr="004C0F01" w:rsidRDefault="004C0F01" w:rsidP="004C0F01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t>1、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Pr="004C0F01">
        <w:rPr>
          <w:rFonts w:ascii="宋体" w:hAnsi="宋体" w:cs="宋体"/>
          <w:b/>
          <w:kern w:val="0"/>
          <w:sz w:val="28"/>
          <w:szCs w:val="28"/>
        </w:rPr>
        <w:t>您好！西部大规模基础设施建设（如川藏铁路、新藏铁路、雅下水电等）对未来高性能特种钢材的需求预计将持续增加。请问公司在高端装备用钢、新能源领域用钢（如水电站压力钢管、风力发电机组用钢）等方面，有哪些技术研发和产能储备？谢谢！</w:t>
      </w:r>
    </w:p>
    <w:p w:rsidR="004C0F01" w:rsidRPr="004C0F01" w:rsidRDefault="004C0F01" w:rsidP="004C0F01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cs="宋体" w:hint="eastAsia"/>
          <w:kern w:val="0"/>
          <w:sz w:val="28"/>
          <w:szCs w:val="28"/>
        </w:rPr>
        <w:t>回答：</w:t>
      </w:r>
      <w:bookmarkEnd w:id="0"/>
      <w:bookmarkEnd w:id="1"/>
      <w:r w:rsidRPr="004C0F01">
        <w:rPr>
          <w:rFonts w:ascii="宋体" w:hAnsi="宋体" w:cs="宋体"/>
          <w:kern w:val="0"/>
          <w:sz w:val="28"/>
          <w:szCs w:val="28"/>
        </w:rPr>
        <w:t>尊敬的投资者您好，公司围绕汽车、工程机械、铁路、煤机、矿山机械、新能源等行业对特钢的新需求，结合先进工装及工艺技术，生产多个新品种，成为国内商用车核心零部件用钢主要生产基地，其中铁路轴承用钢、汽车用非调质曲轴及连杆用钢、高端齿轮用钢、钎具钢等品种在国内属于技术领先，具有明显的质量优势和品牌优势，占有较大的市场份额，未来将加大研发投入，开发满足市场需求的新产品。针对西部大规模基础设施建设我公司非常重视，并积极拓展业务。感谢您对公司的关注。</w:t>
      </w:r>
    </w:p>
    <w:p w:rsidR="004C0F01" w:rsidRPr="004C0F01" w:rsidRDefault="004C0F01" w:rsidP="004C0F01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t>2、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Pr="004C0F01">
        <w:rPr>
          <w:rFonts w:ascii="宋体" w:hAnsi="宋体" w:cs="宋体"/>
          <w:b/>
          <w:kern w:val="0"/>
          <w:sz w:val="28"/>
          <w:szCs w:val="28"/>
        </w:rPr>
        <w:t>您好！近年来西藏、新疆、青海等西部地区的大型基础设施建设投资力度较大，请问公司如何看待西部市场对公司产品的潜在需求拉动？公司在西部市场的布局情况如何？谢谢！</w:t>
      </w:r>
    </w:p>
    <w:p w:rsidR="001C4F79" w:rsidRDefault="004C0F01" w:rsidP="004C0F01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Pr="004C0F01">
        <w:rPr>
          <w:rFonts w:ascii="宋体" w:hAnsi="宋体" w:cs="宋体"/>
          <w:kern w:val="0"/>
          <w:sz w:val="28"/>
          <w:szCs w:val="28"/>
        </w:rPr>
        <w:t>尊敬的投资者您好，公司是中国西部地区最大的特殊钢生产企业，是国家级创新型企业、国家重要装备配套企业。国家对西部地区的基础设施建设投入对公司产品存在潜在的拉动，公司产品具有较好的品牌优势，广泛应用在汽车、工程机械、铁路、石油化工、矿山机械、煤炭机械、大型水电工程建设等领域，公司扎根青海，在西部地区产品销售有地域优势。感谢您对公司关注。</w:t>
      </w:r>
    </w:p>
    <w:p w:rsidR="00DD549A" w:rsidRDefault="004C0F01" w:rsidP="004C0F01">
      <w:pPr>
        <w:spacing w:line="560" w:lineRule="exact"/>
        <w:ind w:firstLineChars="200" w:firstLine="56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4C0F01"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Pr="004C0F01">
        <w:rPr>
          <w:rFonts w:ascii="宋体" w:hAnsi="宋体" w:cs="宋体" w:hint="eastAsia"/>
          <w:b/>
          <w:kern w:val="0"/>
          <w:sz w:val="28"/>
          <w:szCs w:val="28"/>
        </w:rPr>
        <w:t>请问？西宁特钢在重整之初，重整方承诺建成千万吨</w:t>
      </w:r>
      <w:r w:rsidRPr="004C0F01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级企业，从目前情况来看，与目标差距非常大，那后续有重整或其他资产注入的计划吗？</w:t>
      </w:r>
    </w:p>
    <w:p w:rsidR="004C0F01" w:rsidRDefault="004C0F01" w:rsidP="004C0F01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Pr="004C0F01">
        <w:rPr>
          <w:rFonts w:ascii="宋体" w:hAnsi="宋体" w:cs="宋体" w:hint="eastAsia"/>
          <w:kern w:val="0"/>
          <w:sz w:val="28"/>
          <w:szCs w:val="28"/>
        </w:rPr>
        <w:t>尊敬的投资者您好，根据《西宁特钢重整计划》中所述“建龙集团拟</w:t>
      </w:r>
      <w:r w:rsidR="006612B3">
        <w:rPr>
          <w:rFonts w:ascii="宋体" w:hAnsi="宋体" w:cs="宋体" w:hint="eastAsia"/>
          <w:kern w:val="0"/>
          <w:sz w:val="28"/>
          <w:szCs w:val="28"/>
        </w:rPr>
        <w:t>择机将旗下优质特钢资产重组置入西宁特钢，与西宁特钢协</w:t>
      </w:r>
      <w:bookmarkStart w:id="2" w:name="_GoBack"/>
      <w:bookmarkEnd w:id="2"/>
      <w:r w:rsidR="006612B3">
        <w:rPr>
          <w:rFonts w:ascii="宋体" w:hAnsi="宋体" w:cs="宋体" w:hint="eastAsia"/>
          <w:kern w:val="0"/>
          <w:sz w:val="28"/>
          <w:szCs w:val="28"/>
        </w:rPr>
        <w:t>同发展…</w:t>
      </w:r>
      <w:r w:rsidR="006612B3">
        <w:rPr>
          <w:rFonts w:ascii="宋体" w:hAnsi="宋体" w:cs="宋体"/>
          <w:kern w:val="0"/>
          <w:sz w:val="28"/>
          <w:szCs w:val="28"/>
        </w:rPr>
        <w:t>…</w:t>
      </w:r>
      <w:r w:rsidRPr="004C0F01">
        <w:rPr>
          <w:rFonts w:ascii="宋体" w:hAnsi="宋体" w:cs="宋体" w:hint="eastAsia"/>
          <w:kern w:val="0"/>
          <w:sz w:val="28"/>
          <w:szCs w:val="28"/>
        </w:rPr>
        <w:t>”。如后续资产注入等重大事项，公司将严格遵守上市公司信息披露规则及时公告。感谢您对公司的关注。</w:t>
      </w:r>
    </w:p>
    <w:p w:rsidR="001C4F79" w:rsidRDefault="001C4F79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2F5B08" w:rsidRDefault="002F5B08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2F5B08" w:rsidRDefault="002F5B08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DD549A" w:rsidRDefault="00DD549A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DD549A" w:rsidRDefault="00DD549A" w:rsidP="00DD549A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DD549A" w:rsidRDefault="00DD549A" w:rsidP="001C4F79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西宁特殊钢股份有限公司董事会</w:t>
      </w:r>
    </w:p>
    <w:p w:rsidR="00956EA3" w:rsidRPr="001C4F79" w:rsidRDefault="00DD549A" w:rsidP="00AA4171">
      <w:pPr>
        <w:spacing w:line="560" w:lineRule="exact"/>
        <w:ind w:right="560" w:firstLineChars="200" w:firstLine="56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202</w:t>
      </w:r>
      <w:r w:rsidR="001C4F79">
        <w:rPr>
          <w:rFonts w:ascii="宋体" w:cs="宋体"/>
          <w:kern w:val="0"/>
          <w:sz w:val="28"/>
          <w:szCs w:val="28"/>
        </w:rPr>
        <w:t>5</w:t>
      </w:r>
      <w:r>
        <w:rPr>
          <w:rFonts w:ascii="宋体" w:cs="宋体" w:hint="eastAsia"/>
          <w:kern w:val="0"/>
          <w:sz w:val="28"/>
          <w:szCs w:val="28"/>
        </w:rPr>
        <w:t>年</w:t>
      </w:r>
      <w:r w:rsidR="00CD0D47">
        <w:rPr>
          <w:rFonts w:ascii="宋体" w:cs="宋体"/>
          <w:kern w:val="0"/>
          <w:sz w:val="28"/>
          <w:szCs w:val="28"/>
        </w:rPr>
        <w:t>10</w:t>
      </w:r>
      <w:r>
        <w:rPr>
          <w:rFonts w:ascii="宋体" w:cs="宋体" w:hint="eastAsia"/>
          <w:kern w:val="0"/>
          <w:sz w:val="28"/>
          <w:szCs w:val="28"/>
        </w:rPr>
        <w:t>月</w:t>
      </w:r>
      <w:r w:rsidR="00CD0D47">
        <w:rPr>
          <w:rFonts w:ascii="宋体" w:cs="宋体"/>
          <w:kern w:val="0"/>
          <w:sz w:val="28"/>
          <w:szCs w:val="28"/>
        </w:rPr>
        <w:t>14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sectPr w:rsidR="00956EA3" w:rsidRPr="001C4F79" w:rsidSect="001C4F79">
      <w:pgSz w:w="11906" w:h="16838"/>
      <w:pgMar w:top="1440" w:right="1797" w:bottom="1701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14" w:rsidRDefault="00CB5914">
      <w:r>
        <w:separator/>
      </w:r>
    </w:p>
  </w:endnote>
  <w:endnote w:type="continuationSeparator" w:id="0">
    <w:p w:rsidR="00CB5914" w:rsidRDefault="00CB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14" w:rsidRDefault="00CB5914">
      <w:r>
        <w:separator/>
      </w:r>
    </w:p>
  </w:footnote>
  <w:footnote w:type="continuationSeparator" w:id="0">
    <w:p w:rsidR="00CB5914" w:rsidRDefault="00CB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7"/>
    <w:rsid w:val="00004450"/>
    <w:rsid w:val="0003699D"/>
    <w:rsid w:val="00037382"/>
    <w:rsid w:val="00044A8C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E32FF"/>
    <w:rsid w:val="000F401F"/>
    <w:rsid w:val="000F5B41"/>
    <w:rsid w:val="00101ED7"/>
    <w:rsid w:val="001047FE"/>
    <w:rsid w:val="00113E0B"/>
    <w:rsid w:val="00130E2A"/>
    <w:rsid w:val="001453E3"/>
    <w:rsid w:val="001C20EA"/>
    <w:rsid w:val="001C4F79"/>
    <w:rsid w:val="001E043B"/>
    <w:rsid w:val="002236C1"/>
    <w:rsid w:val="00236517"/>
    <w:rsid w:val="002915A4"/>
    <w:rsid w:val="002961B7"/>
    <w:rsid w:val="002A0533"/>
    <w:rsid w:val="002B3622"/>
    <w:rsid w:val="002B39CD"/>
    <w:rsid w:val="002F5B08"/>
    <w:rsid w:val="00302659"/>
    <w:rsid w:val="0031363D"/>
    <w:rsid w:val="0035341F"/>
    <w:rsid w:val="00386A5D"/>
    <w:rsid w:val="00393A12"/>
    <w:rsid w:val="003A14CD"/>
    <w:rsid w:val="003B3DA1"/>
    <w:rsid w:val="003C34DC"/>
    <w:rsid w:val="003E0DEE"/>
    <w:rsid w:val="004030B4"/>
    <w:rsid w:val="00403DEC"/>
    <w:rsid w:val="00412B3C"/>
    <w:rsid w:val="00422B11"/>
    <w:rsid w:val="00446372"/>
    <w:rsid w:val="00450316"/>
    <w:rsid w:val="00470539"/>
    <w:rsid w:val="0048117D"/>
    <w:rsid w:val="0049046A"/>
    <w:rsid w:val="0049650C"/>
    <w:rsid w:val="004C0F01"/>
    <w:rsid w:val="004D5BEA"/>
    <w:rsid w:val="004E34B5"/>
    <w:rsid w:val="004F1C65"/>
    <w:rsid w:val="0050763D"/>
    <w:rsid w:val="00520A10"/>
    <w:rsid w:val="005242D2"/>
    <w:rsid w:val="005263C2"/>
    <w:rsid w:val="00550EA7"/>
    <w:rsid w:val="00554042"/>
    <w:rsid w:val="00562BA0"/>
    <w:rsid w:val="005765A6"/>
    <w:rsid w:val="00583648"/>
    <w:rsid w:val="005A1A6B"/>
    <w:rsid w:val="005F0569"/>
    <w:rsid w:val="005F130F"/>
    <w:rsid w:val="00607E8B"/>
    <w:rsid w:val="00622609"/>
    <w:rsid w:val="00625065"/>
    <w:rsid w:val="00625BE0"/>
    <w:rsid w:val="006343BA"/>
    <w:rsid w:val="00642946"/>
    <w:rsid w:val="006612B3"/>
    <w:rsid w:val="00686BF4"/>
    <w:rsid w:val="00694273"/>
    <w:rsid w:val="006E166A"/>
    <w:rsid w:val="006E2517"/>
    <w:rsid w:val="006F0744"/>
    <w:rsid w:val="00702654"/>
    <w:rsid w:val="00767BDC"/>
    <w:rsid w:val="0079344F"/>
    <w:rsid w:val="007969E3"/>
    <w:rsid w:val="007A652A"/>
    <w:rsid w:val="007A672B"/>
    <w:rsid w:val="007B356F"/>
    <w:rsid w:val="007C165E"/>
    <w:rsid w:val="007D4AC0"/>
    <w:rsid w:val="00817613"/>
    <w:rsid w:val="0085799B"/>
    <w:rsid w:val="00860E21"/>
    <w:rsid w:val="00892449"/>
    <w:rsid w:val="008B1C89"/>
    <w:rsid w:val="008B2181"/>
    <w:rsid w:val="008C4139"/>
    <w:rsid w:val="008E1CA9"/>
    <w:rsid w:val="008F56B5"/>
    <w:rsid w:val="008F5F02"/>
    <w:rsid w:val="008F7D33"/>
    <w:rsid w:val="009310BD"/>
    <w:rsid w:val="00933396"/>
    <w:rsid w:val="00935F07"/>
    <w:rsid w:val="00940E59"/>
    <w:rsid w:val="009429CA"/>
    <w:rsid w:val="00956EA3"/>
    <w:rsid w:val="009709A8"/>
    <w:rsid w:val="00975059"/>
    <w:rsid w:val="009931E3"/>
    <w:rsid w:val="00997D5D"/>
    <w:rsid w:val="009A3115"/>
    <w:rsid w:val="009B4A4D"/>
    <w:rsid w:val="009F3634"/>
    <w:rsid w:val="00A02792"/>
    <w:rsid w:val="00A212C7"/>
    <w:rsid w:val="00A35C9D"/>
    <w:rsid w:val="00A55ECB"/>
    <w:rsid w:val="00A7063E"/>
    <w:rsid w:val="00A72166"/>
    <w:rsid w:val="00A727C5"/>
    <w:rsid w:val="00A92973"/>
    <w:rsid w:val="00A94D7A"/>
    <w:rsid w:val="00AA3E75"/>
    <w:rsid w:val="00AA4171"/>
    <w:rsid w:val="00AD7E1C"/>
    <w:rsid w:val="00AF1AED"/>
    <w:rsid w:val="00B06FA1"/>
    <w:rsid w:val="00B30215"/>
    <w:rsid w:val="00B44423"/>
    <w:rsid w:val="00B5182F"/>
    <w:rsid w:val="00B647E3"/>
    <w:rsid w:val="00B663BF"/>
    <w:rsid w:val="00B67800"/>
    <w:rsid w:val="00B7249C"/>
    <w:rsid w:val="00B724A4"/>
    <w:rsid w:val="00B7635A"/>
    <w:rsid w:val="00B87438"/>
    <w:rsid w:val="00B97B92"/>
    <w:rsid w:val="00BA277C"/>
    <w:rsid w:val="00BB19A6"/>
    <w:rsid w:val="00BB6EAD"/>
    <w:rsid w:val="00BC324F"/>
    <w:rsid w:val="00BD1167"/>
    <w:rsid w:val="00BE4438"/>
    <w:rsid w:val="00C03E50"/>
    <w:rsid w:val="00C05C68"/>
    <w:rsid w:val="00C06CC5"/>
    <w:rsid w:val="00C07E57"/>
    <w:rsid w:val="00C12856"/>
    <w:rsid w:val="00C12BA6"/>
    <w:rsid w:val="00CA4615"/>
    <w:rsid w:val="00CA7A8B"/>
    <w:rsid w:val="00CB5914"/>
    <w:rsid w:val="00CD02AE"/>
    <w:rsid w:val="00CD0D47"/>
    <w:rsid w:val="00CE2291"/>
    <w:rsid w:val="00CF7890"/>
    <w:rsid w:val="00D35B95"/>
    <w:rsid w:val="00D4436E"/>
    <w:rsid w:val="00D44E5F"/>
    <w:rsid w:val="00D54EA9"/>
    <w:rsid w:val="00D61341"/>
    <w:rsid w:val="00D662C6"/>
    <w:rsid w:val="00DD18BE"/>
    <w:rsid w:val="00DD549A"/>
    <w:rsid w:val="00E26B5C"/>
    <w:rsid w:val="00E3501F"/>
    <w:rsid w:val="00E41520"/>
    <w:rsid w:val="00E612AD"/>
    <w:rsid w:val="00E8556E"/>
    <w:rsid w:val="00E93AD7"/>
    <w:rsid w:val="00EA5D36"/>
    <w:rsid w:val="00EC71EC"/>
    <w:rsid w:val="00EE33AB"/>
    <w:rsid w:val="00EF7494"/>
    <w:rsid w:val="00F064B2"/>
    <w:rsid w:val="00F26997"/>
    <w:rsid w:val="00F34ED6"/>
    <w:rsid w:val="00F37E87"/>
    <w:rsid w:val="00F40147"/>
    <w:rsid w:val="00F424E0"/>
    <w:rsid w:val="00F7530C"/>
    <w:rsid w:val="00F837C0"/>
    <w:rsid w:val="00F8725F"/>
    <w:rsid w:val="00FA214A"/>
    <w:rsid w:val="00FA3D32"/>
    <w:rsid w:val="00FB3454"/>
    <w:rsid w:val="00FC634E"/>
    <w:rsid w:val="00FC6A5B"/>
    <w:rsid w:val="00FD3A9C"/>
    <w:rsid w:val="00FF05F1"/>
    <w:rsid w:val="00FF14EA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303F1-C3EF-471B-8137-3C6AE07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Administrator</cp:lastModifiedBy>
  <cp:revision>30</cp:revision>
  <dcterms:created xsi:type="dcterms:W3CDTF">2021-07-12T02:22:00Z</dcterms:created>
  <dcterms:modified xsi:type="dcterms:W3CDTF">2025-10-14T07:03:00Z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