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6C6DF" w14:textId="77777777" w:rsidR="006A637E" w:rsidRDefault="00000000">
      <w:pPr>
        <w:spacing w:beforeLines="50" w:before="156" w:afterLines="50" w:after="156" w:line="400" w:lineRule="exact"/>
        <w:jc w:val="center"/>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601717                             </w:t>
      </w:r>
      <w:r>
        <w:rPr>
          <w:rFonts w:hAnsi="宋体"/>
          <w:bCs/>
          <w:iCs/>
          <w:color w:val="000000"/>
          <w:sz w:val="24"/>
        </w:rPr>
        <w:t>证券简称：</w:t>
      </w:r>
      <w:r>
        <w:rPr>
          <w:rFonts w:hint="eastAsia"/>
          <w:color w:val="000000"/>
          <w:sz w:val="24"/>
        </w:rPr>
        <w:t>中创智领</w:t>
      </w:r>
    </w:p>
    <w:p w14:paraId="0D24D875" w14:textId="77777777" w:rsidR="006A637E"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中创智领（郑州）工业技术集团股份有限公司</w:t>
      </w:r>
    </w:p>
    <w:p w14:paraId="0C784C7B" w14:textId="77777777" w:rsidR="006A637E"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p w14:paraId="7E1ABAB6" w14:textId="77777777" w:rsidR="006A637E" w:rsidRDefault="00000000">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087"/>
      </w:tblGrid>
      <w:tr w:rsidR="006A637E" w14:paraId="0D205840" w14:textId="77777777">
        <w:trPr>
          <w:trHeight w:val="1077"/>
        </w:trPr>
        <w:tc>
          <w:tcPr>
            <w:tcW w:w="1668" w:type="dxa"/>
            <w:tcBorders>
              <w:top w:val="single" w:sz="4" w:space="0" w:color="auto"/>
              <w:left w:val="single" w:sz="4" w:space="0" w:color="auto"/>
              <w:bottom w:val="single" w:sz="4" w:space="0" w:color="auto"/>
              <w:right w:val="single" w:sz="4" w:space="0" w:color="auto"/>
            </w:tcBorders>
            <w:vAlign w:val="center"/>
          </w:tcPr>
          <w:p w14:paraId="74281918" w14:textId="77777777" w:rsidR="006A637E" w:rsidRDefault="00000000">
            <w:pPr>
              <w:jc w:val="center"/>
              <w:rPr>
                <w:rFonts w:ascii="宋体" w:hAnsi="宋体" w:hint="eastAsia"/>
                <w:bCs/>
                <w:iCs/>
                <w:color w:val="000000"/>
                <w:szCs w:val="21"/>
              </w:rPr>
            </w:pPr>
            <w:r>
              <w:rPr>
                <w:rFonts w:ascii="宋体" w:hAnsi="宋体"/>
                <w:bCs/>
                <w:iCs/>
                <w:color w:val="000000"/>
                <w:kern w:val="0"/>
                <w:szCs w:val="21"/>
              </w:rPr>
              <w:t>投资者关系</w:t>
            </w:r>
            <w:r>
              <w:rPr>
                <w:rFonts w:ascii="宋体" w:hAnsi="宋体"/>
                <w:bCs/>
                <w:iCs/>
                <w:color w:val="000000"/>
                <w:kern w:val="0"/>
                <w:szCs w:val="21"/>
              </w:rPr>
              <w:br/>
              <w:t>活动类别</w:t>
            </w:r>
          </w:p>
        </w:tc>
        <w:tc>
          <w:tcPr>
            <w:tcW w:w="7087" w:type="dxa"/>
            <w:tcBorders>
              <w:top w:val="single" w:sz="4" w:space="0" w:color="auto"/>
              <w:left w:val="single" w:sz="4" w:space="0" w:color="auto"/>
              <w:bottom w:val="single" w:sz="4" w:space="0" w:color="auto"/>
              <w:right w:val="single" w:sz="4" w:space="0" w:color="auto"/>
            </w:tcBorders>
          </w:tcPr>
          <w:p w14:paraId="41579113" w14:textId="77777777" w:rsidR="006A637E" w:rsidRDefault="00000000">
            <w:pPr>
              <w:rPr>
                <w:rFonts w:ascii="宋体" w:hAnsi="宋体" w:hint="eastAsia"/>
                <w:bCs/>
                <w:iCs/>
                <w:color w:val="000000"/>
                <w:szCs w:val="21"/>
              </w:rPr>
            </w:pPr>
            <w:r>
              <w:rPr>
                <w:rFonts w:ascii="宋体" w:hAnsi="宋体"/>
                <w:bCs/>
                <w:iCs/>
                <w:color w:val="000000"/>
                <w:kern w:val="0"/>
                <w:szCs w:val="21"/>
              </w:rPr>
              <w:t>√</w:t>
            </w:r>
            <w:r>
              <w:rPr>
                <w:rFonts w:ascii="宋体" w:hAnsi="宋体" w:hint="eastAsia"/>
                <w:bCs/>
                <w:iCs/>
                <w:color w:val="000000"/>
                <w:kern w:val="0"/>
                <w:szCs w:val="21"/>
              </w:rPr>
              <w:t xml:space="preserve"> </w:t>
            </w:r>
            <w:r>
              <w:rPr>
                <w:rFonts w:ascii="宋体" w:hAnsi="宋体"/>
                <w:kern w:val="0"/>
                <w:szCs w:val="21"/>
              </w:rPr>
              <w:t xml:space="preserve">特定对象调研    </w:t>
            </w:r>
            <w:r>
              <w:rPr>
                <w:rFonts w:ascii="宋体" w:hAnsi="宋体" w:hint="eastAsia"/>
                <w:kern w:val="0"/>
                <w:szCs w:val="21"/>
              </w:rPr>
              <w:t xml:space="preserve"> </w:t>
            </w: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 xml:space="preserve"> </w:t>
            </w:r>
            <w:r>
              <w:rPr>
                <w:rFonts w:ascii="宋体" w:hAnsi="宋体"/>
                <w:bCs/>
                <w:iCs/>
                <w:color w:val="000000"/>
                <w:kern w:val="0"/>
                <w:szCs w:val="21"/>
              </w:rPr>
              <w:t>□</w:t>
            </w:r>
            <w:r>
              <w:rPr>
                <w:rFonts w:ascii="宋体" w:hAnsi="宋体" w:hint="eastAsia"/>
                <w:bCs/>
                <w:iCs/>
                <w:color w:val="000000"/>
                <w:kern w:val="0"/>
                <w:szCs w:val="21"/>
              </w:rPr>
              <w:t xml:space="preserve"> </w:t>
            </w:r>
            <w:r>
              <w:rPr>
                <w:rFonts w:ascii="宋体" w:hAnsi="宋体"/>
                <w:kern w:val="0"/>
                <w:szCs w:val="21"/>
              </w:rPr>
              <w:t>分析师会议</w:t>
            </w:r>
          </w:p>
          <w:p w14:paraId="57655A58" w14:textId="77777777" w:rsidR="006A637E" w:rsidRDefault="00000000">
            <w:pPr>
              <w:rPr>
                <w:rFonts w:ascii="宋体" w:hAnsi="宋体" w:hint="eastAsia"/>
                <w:bCs/>
                <w:iCs/>
                <w:color w:val="000000"/>
                <w:kern w:val="0"/>
                <w:szCs w:val="21"/>
              </w:rPr>
            </w:pPr>
            <w:r>
              <w:rPr>
                <w:rFonts w:ascii="宋体" w:hAnsi="宋体"/>
                <w:bCs/>
                <w:iCs/>
                <w:color w:val="000000"/>
                <w:kern w:val="0"/>
                <w:szCs w:val="21"/>
              </w:rPr>
              <w:t>□</w:t>
            </w:r>
            <w:r>
              <w:rPr>
                <w:rFonts w:ascii="宋体" w:hAnsi="宋体" w:hint="eastAsia"/>
                <w:bCs/>
                <w:iCs/>
                <w:color w:val="000000"/>
                <w:kern w:val="0"/>
                <w:szCs w:val="21"/>
              </w:rPr>
              <w:t xml:space="preserve"> </w:t>
            </w:r>
            <w:r>
              <w:rPr>
                <w:rFonts w:ascii="宋体" w:hAnsi="宋体"/>
                <w:kern w:val="0"/>
                <w:szCs w:val="21"/>
              </w:rPr>
              <w:t xml:space="preserve">媒体采访            </w:t>
            </w:r>
            <w:r>
              <w:rPr>
                <w:rFonts w:ascii="宋体" w:hAnsi="宋体"/>
                <w:bCs/>
                <w:iCs/>
                <w:color w:val="000000"/>
                <w:kern w:val="0"/>
                <w:szCs w:val="21"/>
              </w:rPr>
              <w:t>□</w:t>
            </w:r>
            <w:r>
              <w:rPr>
                <w:rFonts w:ascii="宋体" w:hAnsi="宋体" w:hint="eastAsia"/>
                <w:bCs/>
                <w:iCs/>
                <w:color w:val="000000"/>
                <w:kern w:val="0"/>
                <w:szCs w:val="21"/>
              </w:rPr>
              <w:t xml:space="preserve"> </w:t>
            </w:r>
            <w:r>
              <w:rPr>
                <w:rFonts w:ascii="宋体" w:hAnsi="宋体"/>
                <w:kern w:val="0"/>
                <w:szCs w:val="21"/>
              </w:rPr>
              <w:t>业绩说明会</w:t>
            </w:r>
          </w:p>
          <w:p w14:paraId="6647D701" w14:textId="77777777" w:rsidR="006A637E" w:rsidRDefault="00000000">
            <w:pPr>
              <w:rPr>
                <w:rFonts w:ascii="宋体" w:hAnsi="宋体" w:hint="eastAsia"/>
                <w:bCs/>
                <w:iCs/>
                <w:color w:val="000000"/>
                <w:kern w:val="0"/>
                <w:szCs w:val="21"/>
              </w:rPr>
            </w:pPr>
            <w:r>
              <w:rPr>
                <w:rFonts w:ascii="宋体" w:hAnsi="宋体"/>
                <w:bCs/>
                <w:iCs/>
                <w:color w:val="000000"/>
                <w:kern w:val="0"/>
                <w:szCs w:val="21"/>
              </w:rPr>
              <w:t>□</w:t>
            </w:r>
            <w:r>
              <w:rPr>
                <w:rFonts w:ascii="宋体" w:hAnsi="宋体" w:hint="eastAsia"/>
                <w:bCs/>
                <w:iCs/>
                <w:color w:val="000000"/>
                <w:kern w:val="0"/>
                <w:szCs w:val="21"/>
              </w:rPr>
              <w:t xml:space="preserve"> </w:t>
            </w:r>
            <w:r>
              <w:rPr>
                <w:rFonts w:ascii="宋体" w:hAnsi="宋体"/>
                <w:kern w:val="0"/>
                <w:szCs w:val="21"/>
              </w:rPr>
              <w:t xml:space="preserve">新闻发布会          </w:t>
            </w:r>
            <w:r>
              <w:rPr>
                <w:rFonts w:ascii="宋体" w:hAnsi="宋体"/>
                <w:bCs/>
                <w:iCs/>
                <w:color w:val="000000"/>
                <w:kern w:val="0"/>
                <w:szCs w:val="21"/>
              </w:rPr>
              <w:t>□</w:t>
            </w:r>
            <w:r>
              <w:rPr>
                <w:rFonts w:ascii="宋体" w:hAnsi="宋体" w:hint="eastAsia"/>
                <w:bCs/>
                <w:iCs/>
                <w:color w:val="000000"/>
                <w:kern w:val="0"/>
                <w:szCs w:val="21"/>
              </w:rPr>
              <w:t xml:space="preserve"> </w:t>
            </w:r>
            <w:r>
              <w:rPr>
                <w:rFonts w:ascii="宋体" w:hAnsi="宋体"/>
                <w:kern w:val="0"/>
                <w:szCs w:val="21"/>
              </w:rPr>
              <w:t>路演活动</w:t>
            </w:r>
          </w:p>
          <w:p w14:paraId="6D1036EC" w14:textId="77777777" w:rsidR="006A637E" w:rsidRDefault="00000000">
            <w:pPr>
              <w:tabs>
                <w:tab w:val="left" w:pos="3045"/>
                <w:tab w:val="center" w:pos="3199"/>
              </w:tabs>
              <w:rPr>
                <w:rFonts w:ascii="宋体" w:hAnsi="宋体" w:hint="eastAsia"/>
                <w:bCs/>
                <w:iCs/>
                <w:color w:val="000000"/>
                <w:kern w:val="0"/>
                <w:szCs w:val="21"/>
              </w:rPr>
            </w:pPr>
            <w:r>
              <w:rPr>
                <w:rFonts w:ascii="宋体" w:hAnsi="宋体"/>
                <w:bCs/>
                <w:iCs/>
                <w:color w:val="000000"/>
                <w:kern w:val="0"/>
                <w:szCs w:val="21"/>
              </w:rPr>
              <w:t>√</w:t>
            </w:r>
            <w:r>
              <w:rPr>
                <w:rFonts w:ascii="宋体" w:hAnsi="宋体" w:hint="eastAsia"/>
                <w:bCs/>
                <w:iCs/>
                <w:color w:val="000000"/>
                <w:kern w:val="0"/>
                <w:szCs w:val="21"/>
              </w:rPr>
              <w:t xml:space="preserve"> </w:t>
            </w:r>
            <w:r>
              <w:rPr>
                <w:rFonts w:ascii="宋体" w:hAnsi="宋体"/>
                <w:kern w:val="0"/>
                <w:szCs w:val="21"/>
              </w:rPr>
              <w:t>现场参观</w:t>
            </w:r>
          </w:p>
          <w:p w14:paraId="2217FBB7" w14:textId="77777777" w:rsidR="006A637E" w:rsidRDefault="00000000">
            <w:pPr>
              <w:tabs>
                <w:tab w:val="center" w:pos="3199"/>
              </w:tabs>
              <w:rPr>
                <w:rFonts w:ascii="宋体" w:hAnsi="宋体" w:hint="eastAsia"/>
                <w:bCs/>
                <w:iCs/>
                <w:color w:val="000000"/>
                <w:szCs w:val="21"/>
              </w:rPr>
            </w:pPr>
            <w:r>
              <w:rPr>
                <w:rFonts w:ascii="宋体" w:hAnsi="宋体"/>
                <w:bCs/>
                <w:iCs/>
                <w:color w:val="000000"/>
                <w:kern w:val="0"/>
                <w:szCs w:val="21"/>
              </w:rPr>
              <w:t>□</w:t>
            </w:r>
            <w:r>
              <w:rPr>
                <w:rFonts w:ascii="宋体" w:hAnsi="宋体" w:hint="eastAsia"/>
                <w:bCs/>
                <w:iCs/>
                <w:color w:val="000000"/>
                <w:kern w:val="0"/>
                <w:szCs w:val="21"/>
              </w:rPr>
              <w:t xml:space="preserve"> </w:t>
            </w:r>
            <w:r>
              <w:rPr>
                <w:rFonts w:ascii="宋体" w:hAnsi="宋体"/>
                <w:kern w:val="0"/>
                <w:szCs w:val="21"/>
              </w:rPr>
              <w:t>其他</w:t>
            </w:r>
          </w:p>
        </w:tc>
      </w:tr>
      <w:tr w:rsidR="006A637E" w14:paraId="7E640786" w14:textId="77777777">
        <w:trPr>
          <w:trHeight w:val="1077"/>
        </w:trPr>
        <w:tc>
          <w:tcPr>
            <w:tcW w:w="1668" w:type="dxa"/>
            <w:tcBorders>
              <w:top w:val="single" w:sz="4" w:space="0" w:color="auto"/>
              <w:left w:val="single" w:sz="4" w:space="0" w:color="auto"/>
              <w:bottom w:val="single" w:sz="4" w:space="0" w:color="auto"/>
              <w:right w:val="single" w:sz="4" w:space="0" w:color="auto"/>
            </w:tcBorders>
            <w:vAlign w:val="center"/>
          </w:tcPr>
          <w:p w14:paraId="2CE64EA4" w14:textId="77777777" w:rsidR="006A637E" w:rsidRDefault="00000000">
            <w:pPr>
              <w:jc w:val="center"/>
              <w:rPr>
                <w:bCs/>
                <w:iCs/>
                <w:color w:val="000000"/>
                <w:kern w:val="0"/>
                <w:szCs w:val="21"/>
              </w:rPr>
            </w:pPr>
            <w:r>
              <w:rPr>
                <w:rFonts w:hAnsi="宋体"/>
                <w:bCs/>
                <w:iCs/>
                <w:color w:val="000000"/>
                <w:kern w:val="0"/>
                <w:szCs w:val="21"/>
              </w:rPr>
              <w:t>参与单位名称</w:t>
            </w:r>
          </w:p>
        </w:tc>
        <w:tc>
          <w:tcPr>
            <w:tcW w:w="7087" w:type="dxa"/>
            <w:tcBorders>
              <w:top w:val="single" w:sz="4" w:space="0" w:color="auto"/>
              <w:left w:val="single" w:sz="4" w:space="0" w:color="auto"/>
              <w:bottom w:val="single" w:sz="4" w:space="0" w:color="auto"/>
              <w:right w:val="single" w:sz="4" w:space="0" w:color="auto"/>
            </w:tcBorders>
            <w:vAlign w:val="center"/>
          </w:tcPr>
          <w:p w14:paraId="1A63B6AF" w14:textId="77777777" w:rsidR="006A637E" w:rsidRDefault="00000000">
            <w:pPr>
              <w:rPr>
                <w:bCs/>
                <w:iCs/>
                <w:color w:val="000000"/>
                <w:szCs w:val="21"/>
                <w:lang w:val="en-GB"/>
              </w:rPr>
            </w:pPr>
            <w:r>
              <w:rPr>
                <w:rFonts w:hint="eastAsia"/>
                <w:bCs/>
                <w:iCs/>
                <w:color w:val="000000"/>
                <w:szCs w:val="21"/>
                <w:lang w:val="en-GB"/>
              </w:rPr>
              <w:t>东方财富证券、中信证券、中金公司、</w:t>
            </w:r>
            <w:r>
              <w:rPr>
                <w:rFonts w:hint="eastAsia"/>
                <w:bCs/>
                <w:iCs/>
                <w:color w:val="000000"/>
                <w:szCs w:val="21"/>
              </w:rPr>
              <w:t>东北证券、上海</w:t>
            </w:r>
            <w:proofErr w:type="gramStart"/>
            <w:r>
              <w:rPr>
                <w:rFonts w:hint="eastAsia"/>
                <w:bCs/>
                <w:iCs/>
                <w:color w:val="000000"/>
                <w:szCs w:val="21"/>
              </w:rPr>
              <w:t>沣</w:t>
            </w:r>
            <w:proofErr w:type="gramEnd"/>
            <w:r>
              <w:rPr>
                <w:rFonts w:hint="eastAsia"/>
                <w:bCs/>
                <w:iCs/>
                <w:color w:val="000000"/>
                <w:szCs w:val="21"/>
              </w:rPr>
              <w:t>谊投资、财通证券、</w:t>
            </w:r>
            <w:r>
              <w:rPr>
                <w:rFonts w:hint="eastAsia"/>
                <w:bCs/>
                <w:iCs/>
                <w:color w:val="000000"/>
                <w:szCs w:val="21"/>
                <w:lang w:val="en-GB"/>
              </w:rPr>
              <w:t>光大证券、广发证券、方正证券、</w:t>
            </w:r>
            <w:r>
              <w:rPr>
                <w:rFonts w:hint="eastAsia"/>
                <w:bCs/>
                <w:iCs/>
                <w:color w:val="000000"/>
                <w:szCs w:val="21"/>
              </w:rPr>
              <w:t>国金证券、兴业证券、大成基金、交银施罗德基金、</w:t>
            </w:r>
            <w:r>
              <w:rPr>
                <w:rFonts w:hint="eastAsia"/>
                <w:bCs/>
                <w:iCs/>
                <w:color w:val="000000"/>
                <w:szCs w:val="21"/>
              </w:rPr>
              <w:t>Bright Valley Capital</w:t>
            </w:r>
            <w:r>
              <w:rPr>
                <w:rFonts w:hint="eastAsia"/>
                <w:bCs/>
                <w:iCs/>
                <w:color w:val="000000"/>
                <w:szCs w:val="21"/>
                <w:lang w:val="en-GB"/>
              </w:rPr>
              <w:t>、</w:t>
            </w:r>
            <w:r>
              <w:rPr>
                <w:rFonts w:hint="eastAsia"/>
                <w:bCs/>
                <w:iCs/>
                <w:color w:val="000000"/>
                <w:szCs w:val="21"/>
              </w:rPr>
              <w:t>新华资产、上海峰境私募基金、上海胤胜资产、</w:t>
            </w:r>
            <w:proofErr w:type="gramStart"/>
            <w:r>
              <w:rPr>
                <w:rFonts w:hint="eastAsia"/>
                <w:bCs/>
                <w:iCs/>
                <w:color w:val="000000"/>
                <w:szCs w:val="21"/>
              </w:rPr>
              <w:t>浙江圣熙资产</w:t>
            </w:r>
            <w:proofErr w:type="gramEnd"/>
            <w:r>
              <w:rPr>
                <w:rFonts w:hint="eastAsia"/>
                <w:bCs/>
                <w:iCs/>
                <w:color w:val="000000"/>
                <w:szCs w:val="21"/>
              </w:rPr>
              <w:t>、上海睿信投资、</w:t>
            </w:r>
            <w:proofErr w:type="gramStart"/>
            <w:r>
              <w:rPr>
                <w:rFonts w:hint="eastAsia"/>
                <w:bCs/>
                <w:iCs/>
                <w:color w:val="000000"/>
                <w:szCs w:val="21"/>
              </w:rPr>
              <w:t>深圳固禾私募</w:t>
            </w:r>
            <w:proofErr w:type="gramEnd"/>
            <w:r>
              <w:rPr>
                <w:rFonts w:hint="eastAsia"/>
                <w:bCs/>
                <w:iCs/>
                <w:color w:val="000000"/>
                <w:szCs w:val="21"/>
              </w:rPr>
              <w:t>、</w:t>
            </w:r>
            <w:r>
              <w:rPr>
                <w:rFonts w:hint="eastAsia"/>
                <w:bCs/>
                <w:iCs/>
                <w:color w:val="000000"/>
                <w:szCs w:val="21"/>
                <w:lang w:val="en-GB"/>
              </w:rPr>
              <w:t>富国基金、</w:t>
            </w:r>
            <w:r>
              <w:rPr>
                <w:rFonts w:hint="eastAsia"/>
                <w:bCs/>
                <w:iCs/>
                <w:color w:val="000000"/>
                <w:szCs w:val="21"/>
              </w:rPr>
              <w:t>中银基金、国泰基金、财信基金、</w:t>
            </w:r>
            <w:r>
              <w:rPr>
                <w:rFonts w:hint="eastAsia"/>
                <w:bCs/>
                <w:iCs/>
                <w:color w:val="000000"/>
                <w:szCs w:val="21"/>
                <w:lang w:val="en-GB"/>
              </w:rPr>
              <w:t>东方证券、</w:t>
            </w:r>
            <w:r>
              <w:rPr>
                <w:rFonts w:hint="eastAsia"/>
                <w:bCs/>
                <w:iCs/>
                <w:color w:val="000000"/>
                <w:szCs w:val="21"/>
              </w:rPr>
              <w:t>上海瞰道资产、上海曜川投资</w:t>
            </w:r>
            <w:r>
              <w:rPr>
                <w:rFonts w:hint="eastAsia"/>
                <w:bCs/>
                <w:iCs/>
                <w:color w:val="000000"/>
                <w:szCs w:val="21"/>
                <w:lang w:val="en-GB"/>
              </w:rPr>
              <w:t>等投资者（排名不分先后）</w:t>
            </w:r>
          </w:p>
        </w:tc>
      </w:tr>
      <w:tr w:rsidR="006A637E" w14:paraId="137AC133" w14:textId="77777777">
        <w:trPr>
          <w:trHeight w:val="397"/>
        </w:trPr>
        <w:tc>
          <w:tcPr>
            <w:tcW w:w="1668" w:type="dxa"/>
            <w:tcBorders>
              <w:top w:val="single" w:sz="4" w:space="0" w:color="auto"/>
              <w:left w:val="single" w:sz="4" w:space="0" w:color="auto"/>
              <w:bottom w:val="single" w:sz="4" w:space="0" w:color="auto"/>
              <w:right w:val="single" w:sz="4" w:space="0" w:color="auto"/>
            </w:tcBorders>
            <w:vAlign w:val="center"/>
          </w:tcPr>
          <w:p w14:paraId="5E81A979" w14:textId="77777777" w:rsidR="006A637E" w:rsidRDefault="00000000">
            <w:pPr>
              <w:jc w:val="center"/>
              <w:rPr>
                <w:bCs/>
                <w:iCs/>
                <w:color w:val="000000"/>
                <w:kern w:val="0"/>
                <w:szCs w:val="21"/>
              </w:rPr>
            </w:pPr>
            <w:r>
              <w:rPr>
                <w:rFonts w:hAnsi="宋体"/>
                <w:bCs/>
                <w:iCs/>
                <w:color w:val="000000"/>
                <w:kern w:val="0"/>
                <w:szCs w:val="21"/>
              </w:rPr>
              <w:t>时间</w:t>
            </w:r>
          </w:p>
        </w:tc>
        <w:tc>
          <w:tcPr>
            <w:tcW w:w="7087" w:type="dxa"/>
            <w:tcBorders>
              <w:top w:val="single" w:sz="4" w:space="0" w:color="auto"/>
              <w:left w:val="single" w:sz="4" w:space="0" w:color="auto"/>
              <w:bottom w:val="single" w:sz="4" w:space="0" w:color="auto"/>
              <w:right w:val="single" w:sz="4" w:space="0" w:color="auto"/>
            </w:tcBorders>
            <w:vAlign w:val="center"/>
          </w:tcPr>
          <w:p w14:paraId="2F4F624C" w14:textId="77777777" w:rsidR="006A637E" w:rsidRDefault="00000000">
            <w:pPr>
              <w:rPr>
                <w:bCs/>
                <w:iCs/>
                <w:color w:val="000000"/>
                <w:szCs w:val="21"/>
              </w:rPr>
            </w:pPr>
            <w:r>
              <w:rPr>
                <w:bCs/>
                <w:iCs/>
                <w:color w:val="000000"/>
                <w:szCs w:val="21"/>
              </w:rPr>
              <w:t>2025</w:t>
            </w:r>
            <w:r>
              <w:rPr>
                <w:bCs/>
                <w:iCs/>
                <w:color w:val="000000"/>
                <w:szCs w:val="21"/>
              </w:rPr>
              <w:t>年</w:t>
            </w:r>
            <w:r>
              <w:rPr>
                <w:rFonts w:hint="eastAsia"/>
                <w:bCs/>
                <w:iCs/>
                <w:color w:val="000000"/>
                <w:szCs w:val="21"/>
              </w:rPr>
              <w:t>10</w:t>
            </w:r>
            <w:r>
              <w:rPr>
                <w:bCs/>
                <w:iCs/>
                <w:color w:val="000000"/>
                <w:szCs w:val="21"/>
              </w:rPr>
              <w:t>月</w:t>
            </w:r>
            <w:r>
              <w:rPr>
                <w:rFonts w:hint="eastAsia"/>
                <w:bCs/>
                <w:iCs/>
                <w:color w:val="000000"/>
                <w:szCs w:val="21"/>
              </w:rPr>
              <w:t>10</w:t>
            </w:r>
            <w:r>
              <w:rPr>
                <w:rFonts w:hint="eastAsia"/>
                <w:bCs/>
                <w:iCs/>
                <w:color w:val="000000"/>
                <w:szCs w:val="21"/>
              </w:rPr>
              <w:t>日、</w:t>
            </w:r>
            <w:r>
              <w:rPr>
                <w:rFonts w:hint="eastAsia"/>
                <w:bCs/>
                <w:iCs/>
                <w:color w:val="000000"/>
                <w:szCs w:val="21"/>
              </w:rPr>
              <w:t>11</w:t>
            </w:r>
            <w:r>
              <w:rPr>
                <w:bCs/>
                <w:iCs/>
                <w:color w:val="000000"/>
                <w:szCs w:val="21"/>
              </w:rPr>
              <w:t>日</w:t>
            </w:r>
          </w:p>
        </w:tc>
      </w:tr>
      <w:tr w:rsidR="006A637E" w14:paraId="54253CA0" w14:textId="77777777">
        <w:trPr>
          <w:trHeight w:val="397"/>
        </w:trPr>
        <w:tc>
          <w:tcPr>
            <w:tcW w:w="1668" w:type="dxa"/>
            <w:tcBorders>
              <w:top w:val="single" w:sz="4" w:space="0" w:color="auto"/>
              <w:left w:val="single" w:sz="4" w:space="0" w:color="auto"/>
              <w:bottom w:val="single" w:sz="4" w:space="0" w:color="auto"/>
              <w:right w:val="single" w:sz="4" w:space="0" w:color="auto"/>
            </w:tcBorders>
            <w:vAlign w:val="center"/>
          </w:tcPr>
          <w:p w14:paraId="67526EDB" w14:textId="77777777" w:rsidR="006A637E" w:rsidRDefault="00000000">
            <w:pPr>
              <w:jc w:val="center"/>
              <w:rPr>
                <w:bCs/>
                <w:iCs/>
                <w:color w:val="000000"/>
                <w:kern w:val="0"/>
                <w:szCs w:val="21"/>
              </w:rPr>
            </w:pPr>
            <w:r>
              <w:rPr>
                <w:rFonts w:hAnsi="宋体"/>
                <w:bCs/>
                <w:iCs/>
                <w:color w:val="000000"/>
                <w:kern w:val="0"/>
                <w:szCs w:val="21"/>
              </w:rPr>
              <w:t>地点</w:t>
            </w:r>
          </w:p>
        </w:tc>
        <w:tc>
          <w:tcPr>
            <w:tcW w:w="7087" w:type="dxa"/>
            <w:tcBorders>
              <w:top w:val="single" w:sz="4" w:space="0" w:color="auto"/>
              <w:left w:val="single" w:sz="4" w:space="0" w:color="auto"/>
              <w:bottom w:val="single" w:sz="4" w:space="0" w:color="auto"/>
              <w:right w:val="single" w:sz="4" w:space="0" w:color="auto"/>
            </w:tcBorders>
            <w:vAlign w:val="center"/>
          </w:tcPr>
          <w:p w14:paraId="346E9D1E" w14:textId="77777777" w:rsidR="006A637E" w:rsidRDefault="00000000">
            <w:pPr>
              <w:rPr>
                <w:rFonts w:asciiTheme="minorEastAsia" w:eastAsiaTheme="minorEastAsia" w:hAnsiTheme="minorEastAsia" w:cstheme="minorEastAsia" w:hint="eastAsia"/>
                <w:color w:val="0F1115"/>
                <w:sz w:val="22"/>
                <w:szCs w:val="22"/>
                <w:shd w:val="clear" w:color="auto" w:fill="FFFFFF"/>
              </w:rPr>
            </w:pPr>
            <w:r>
              <w:rPr>
                <w:rFonts w:asciiTheme="minorEastAsia" w:eastAsiaTheme="minorEastAsia" w:hAnsiTheme="minorEastAsia" w:cstheme="minorEastAsia" w:hint="eastAsia"/>
                <w:color w:val="0F1115"/>
                <w:sz w:val="22"/>
                <w:szCs w:val="22"/>
                <w:shd w:val="clear" w:color="auto" w:fill="FFFFFF"/>
              </w:rPr>
              <w:t>湖南长沙：子公司索恩格汽车电动系统有限公司；</w:t>
            </w:r>
          </w:p>
          <w:p w14:paraId="6073C3A3" w14:textId="77777777" w:rsidR="006A637E" w:rsidRDefault="00000000">
            <w:pPr>
              <w:rPr>
                <w:bCs/>
                <w:iCs/>
                <w:color w:val="000000"/>
                <w:szCs w:val="21"/>
              </w:rPr>
            </w:pPr>
            <w:r>
              <w:rPr>
                <w:rFonts w:asciiTheme="minorEastAsia" w:eastAsiaTheme="minorEastAsia" w:hAnsiTheme="minorEastAsia" w:cstheme="minorEastAsia" w:hint="eastAsia"/>
                <w:color w:val="0F1115"/>
                <w:sz w:val="22"/>
                <w:szCs w:val="22"/>
                <w:shd w:val="clear" w:color="auto" w:fill="FFFFFF"/>
              </w:rPr>
              <w:t>江苏仪征：子公司亚新科智能汽车技术（仪征）有限公司、仪征亚新科双环活塞环有限公司</w:t>
            </w:r>
          </w:p>
        </w:tc>
      </w:tr>
      <w:tr w:rsidR="006A637E" w14:paraId="6AD0B8AD" w14:textId="77777777">
        <w:trPr>
          <w:trHeight w:val="782"/>
        </w:trPr>
        <w:tc>
          <w:tcPr>
            <w:tcW w:w="1668" w:type="dxa"/>
            <w:tcBorders>
              <w:top w:val="single" w:sz="4" w:space="0" w:color="auto"/>
              <w:left w:val="single" w:sz="4" w:space="0" w:color="auto"/>
              <w:bottom w:val="single" w:sz="4" w:space="0" w:color="auto"/>
              <w:right w:val="single" w:sz="4" w:space="0" w:color="auto"/>
            </w:tcBorders>
            <w:vAlign w:val="center"/>
          </w:tcPr>
          <w:p w14:paraId="33939BFE" w14:textId="77777777" w:rsidR="006A637E" w:rsidRDefault="00000000">
            <w:pPr>
              <w:jc w:val="center"/>
              <w:rPr>
                <w:bCs/>
                <w:iCs/>
                <w:color w:val="000000"/>
                <w:kern w:val="0"/>
                <w:szCs w:val="21"/>
              </w:rPr>
            </w:pPr>
            <w:r>
              <w:rPr>
                <w:rFonts w:hAnsi="宋体"/>
                <w:bCs/>
                <w:iCs/>
                <w:color w:val="000000"/>
                <w:kern w:val="0"/>
                <w:szCs w:val="21"/>
              </w:rPr>
              <w:t>上市公司接待人员姓名</w:t>
            </w:r>
          </w:p>
        </w:tc>
        <w:tc>
          <w:tcPr>
            <w:tcW w:w="7087" w:type="dxa"/>
            <w:tcBorders>
              <w:top w:val="single" w:sz="4" w:space="0" w:color="auto"/>
              <w:left w:val="single" w:sz="4" w:space="0" w:color="auto"/>
              <w:bottom w:val="single" w:sz="4" w:space="0" w:color="auto"/>
              <w:right w:val="single" w:sz="4" w:space="0" w:color="auto"/>
            </w:tcBorders>
            <w:vAlign w:val="center"/>
          </w:tcPr>
          <w:p w14:paraId="298B949B" w14:textId="77777777" w:rsidR="006A637E" w:rsidRDefault="00000000">
            <w:pPr>
              <w:rPr>
                <w:rFonts w:ascii="宋体" w:hAnsi="宋体" w:hint="eastAsia"/>
                <w:bCs/>
                <w:szCs w:val="21"/>
              </w:rPr>
            </w:pPr>
            <w:r>
              <w:rPr>
                <w:rFonts w:ascii="宋体" w:hAnsi="宋体" w:hint="eastAsia"/>
                <w:bCs/>
                <w:szCs w:val="21"/>
              </w:rPr>
              <w:t>副董事长、总经理贾浩，董事李开顺，董事会秘书张易辰及相关子公司负责人</w:t>
            </w:r>
          </w:p>
        </w:tc>
      </w:tr>
      <w:tr w:rsidR="006A637E" w14:paraId="6C7B11C3" w14:textId="77777777">
        <w:trPr>
          <w:trHeight w:val="1077"/>
        </w:trPr>
        <w:tc>
          <w:tcPr>
            <w:tcW w:w="1668" w:type="dxa"/>
            <w:tcBorders>
              <w:top w:val="single" w:sz="4" w:space="0" w:color="auto"/>
              <w:left w:val="single" w:sz="4" w:space="0" w:color="auto"/>
              <w:bottom w:val="single" w:sz="4" w:space="0" w:color="auto"/>
              <w:right w:val="single" w:sz="4" w:space="0" w:color="auto"/>
            </w:tcBorders>
            <w:vAlign w:val="center"/>
          </w:tcPr>
          <w:p w14:paraId="7A3696C7" w14:textId="77777777" w:rsidR="006A637E" w:rsidRDefault="00000000">
            <w:pPr>
              <w:jc w:val="center"/>
              <w:rPr>
                <w:bCs/>
                <w:iCs/>
                <w:color w:val="000000"/>
                <w:szCs w:val="21"/>
              </w:rPr>
            </w:pPr>
            <w:r>
              <w:rPr>
                <w:rFonts w:hAnsi="宋体"/>
                <w:bCs/>
                <w:iCs/>
                <w:color w:val="000000"/>
                <w:kern w:val="0"/>
                <w:szCs w:val="21"/>
              </w:rPr>
              <w:t>投资者关系活动主要内容介绍</w:t>
            </w:r>
          </w:p>
        </w:tc>
        <w:tc>
          <w:tcPr>
            <w:tcW w:w="7087" w:type="dxa"/>
            <w:tcBorders>
              <w:top w:val="single" w:sz="4" w:space="0" w:color="auto"/>
              <w:left w:val="single" w:sz="4" w:space="0" w:color="auto"/>
              <w:bottom w:val="single" w:sz="4" w:space="0" w:color="auto"/>
              <w:right w:val="single" w:sz="4" w:space="0" w:color="auto"/>
            </w:tcBorders>
            <w:vAlign w:val="center"/>
          </w:tcPr>
          <w:p w14:paraId="540A21F2" w14:textId="77777777" w:rsidR="006A637E" w:rsidRPr="00D36B7B" w:rsidRDefault="00000000">
            <w:pPr>
              <w:spacing w:line="276" w:lineRule="auto"/>
              <w:ind w:firstLineChars="200" w:firstLine="422"/>
              <w:rPr>
                <w:rFonts w:ascii="宋体" w:hAnsi="宋体" w:hint="eastAsia"/>
                <w:b/>
                <w:iCs/>
                <w:color w:val="000000"/>
                <w:szCs w:val="21"/>
              </w:rPr>
            </w:pPr>
            <w:r w:rsidRPr="00D36B7B">
              <w:rPr>
                <w:rFonts w:ascii="宋体" w:hAnsi="宋体" w:hint="eastAsia"/>
                <w:b/>
                <w:iCs/>
                <w:color w:val="000000"/>
                <w:szCs w:val="21"/>
              </w:rPr>
              <w:t>1、问：能否就未来目标拆解一下集团主要业务板块的构成以及利润率的情况？</w:t>
            </w:r>
          </w:p>
          <w:p w14:paraId="11CE3AB1" w14:textId="7FD25E15" w:rsidR="006A637E" w:rsidRPr="00D36B7B" w:rsidRDefault="00000000">
            <w:pPr>
              <w:spacing w:line="276" w:lineRule="auto"/>
              <w:ind w:firstLineChars="200" w:firstLine="420"/>
              <w:rPr>
                <w:rFonts w:ascii="宋体" w:hAnsi="宋体" w:hint="eastAsia"/>
                <w:bCs/>
                <w:iCs/>
                <w:color w:val="000000"/>
                <w:szCs w:val="21"/>
              </w:rPr>
            </w:pPr>
            <w:r w:rsidRPr="00D36B7B">
              <w:rPr>
                <w:rFonts w:ascii="宋体" w:hAnsi="宋体" w:hint="eastAsia"/>
                <w:bCs/>
                <w:iCs/>
                <w:color w:val="000000"/>
                <w:szCs w:val="21"/>
              </w:rPr>
              <w:t>答：当前，公司各业务板块保持总体稳定发展。在煤机板块，行业正处于结构性调整阶段，市场需求变化带来新的发展机遇。部分煤炭企业推进业务优化与重组工作，公司也在持续关注可能的协同发展机会。在市场竞争方面，随着经济环境和煤炭行业形势的变化，市场竞争进一步加剧，行业整体盈利能力</w:t>
            </w:r>
            <w:r w:rsidR="00CE099B" w:rsidRPr="00D36B7B">
              <w:rPr>
                <w:rFonts w:ascii="宋体" w:hAnsi="宋体" w:hint="eastAsia"/>
                <w:bCs/>
                <w:iCs/>
                <w:color w:val="000000"/>
                <w:szCs w:val="21"/>
              </w:rPr>
              <w:t>受</w:t>
            </w:r>
            <w:r w:rsidRPr="00D36B7B">
              <w:rPr>
                <w:rFonts w:ascii="宋体" w:hAnsi="宋体" w:hint="eastAsia"/>
                <w:bCs/>
                <w:iCs/>
                <w:color w:val="000000"/>
                <w:szCs w:val="21"/>
              </w:rPr>
              <w:t>到一定影响。在汽车零部件业务板块，公司保持战略性投入，通过持续研发强化核心竞争力，不断提高单车价值量，提高盈利能力。目前的盈利能力能够支撑业务发展需求，财务状况健康，负债水平保持在合理区间。关于投资方向，公司着眼于长远发展，在符合国家政策导向的领域进行布局。虽然部分新兴领域短期投资回报存在不确定性，但我们更注重市场规模、客户认可度和长期价值。</w:t>
            </w:r>
          </w:p>
          <w:p w14:paraId="0A54D532" w14:textId="77777777" w:rsidR="006A637E" w:rsidRPr="00D36B7B" w:rsidRDefault="00000000">
            <w:pPr>
              <w:spacing w:line="276" w:lineRule="auto"/>
              <w:ind w:firstLineChars="200" w:firstLine="422"/>
              <w:rPr>
                <w:rFonts w:ascii="宋体" w:hAnsi="宋体" w:hint="eastAsia"/>
                <w:b/>
                <w:iCs/>
                <w:color w:val="000000"/>
                <w:szCs w:val="21"/>
              </w:rPr>
            </w:pPr>
            <w:r w:rsidRPr="00D36B7B">
              <w:rPr>
                <w:rFonts w:ascii="宋体" w:hAnsi="宋体" w:hint="eastAsia"/>
                <w:b/>
                <w:iCs/>
                <w:color w:val="000000"/>
                <w:szCs w:val="21"/>
              </w:rPr>
              <w:t>2、关注到索恩格的海外业务是公司重要的增长支柱。能否请管理层展望一下其未来1-2年的发展趋势？</w:t>
            </w:r>
          </w:p>
          <w:p w14:paraId="627A6512" w14:textId="77777777" w:rsidR="006A637E" w:rsidRPr="00D36B7B" w:rsidRDefault="00000000">
            <w:pPr>
              <w:spacing w:line="276" w:lineRule="auto"/>
              <w:ind w:firstLineChars="200" w:firstLine="420"/>
              <w:rPr>
                <w:rFonts w:ascii="宋体" w:hAnsi="宋体" w:hint="eastAsia"/>
                <w:bCs/>
                <w:iCs/>
                <w:color w:val="000000"/>
                <w:szCs w:val="21"/>
              </w:rPr>
            </w:pPr>
            <w:r w:rsidRPr="00D36B7B">
              <w:rPr>
                <w:rFonts w:ascii="宋体" w:hAnsi="宋体" w:hint="eastAsia"/>
                <w:bCs/>
                <w:iCs/>
                <w:color w:val="000000"/>
                <w:szCs w:val="21"/>
              </w:rPr>
              <w:t>答：在当前行业发展阶段，公司始终秉持稳健经营理念，坚持传统业务与创新领域协同发展的战略方向。在国际市场，我们通过持续布局培育新的业务增长点，并依托全球资源协同优势推动项目落地实施。在中国市场，我</w:t>
            </w:r>
            <w:r w:rsidRPr="00D36B7B">
              <w:rPr>
                <w:rFonts w:ascii="宋体" w:hAnsi="宋体" w:hint="eastAsia"/>
                <w:bCs/>
                <w:iCs/>
                <w:color w:val="000000"/>
                <w:szCs w:val="21"/>
              </w:rPr>
              <w:lastRenderedPageBreak/>
              <w:t>们积极适应行业格局变化，不断提升本土化服务能力，在与国内外客户的合作中取得积极进展。</w:t>
            </w:r>
          </w:p>
          <w:p w14:paraId="632EE930" w14:textId="77777777" w:rsidR="006A637E" w:rsidRPr="00D36B7B" w:rsidRDefault="00000000">
            <w:pPr>
              <w:spacing w:line="276" w:lineRule="auto"/>
              <w:ind w:firstLineChars="200" w:firstLine="420"/>
              <w:rPr>
                <w:rFonts w:ascii="宋体" w:hAnsi="宋体" w:hint="eastAsia"/>
                <w:bCs/>
                <w:iCs/>
                <w:color w:val="000000"/>
                <w:szCs w:val="21"/>
              </w:rPr>
            </w:pPr>
            <w:r w:rsidRPr="00D36B7B">
              <w:rPr>
                <w:rFonts w:ascii="宋体" w:hAnsi="宋体" w:hint="eastAsia"/>
                <w:bCs/>
                <w:iCs/>
                <w:color w:val="000000"/>
                <w:szCs w:val="21"/>
              </w:rPr>
              <w:t>商用车领域展现出良好发展态势，我们依托自主研发体系，推动产品创新迭代，更好满足市场需求。同时，持续拓展业务边界，在售后市场及海外业务方面取得良好成果。通过优化资源配置，我们保持了主营业务规模的总体稳定，运营效率持续改善。</w:t>
            </w:r>
          </w:p>
          <w:p w14:paraId="2A1CE52B" w14:textId="77777777" w:rsidR="006A637E" w:rsidRPr="00D36B7B" w:rsidRDefault="00000000">
            <w:pPr>
              <w:spacing w:line="276" w:lineRule="auto"/>
              <w:ind w:firstLineChars="200" w:firstLine="420"/>
              <w:rPr>
                <w:rFonts w:ascii="宋体" w:hAnsi="宋体" w:hint="eastAsia"/>
                <w:bCs/>
                <w:iCs/>
                <w:color w:val="000000"/>
                <w:szCs w:val="21"/>
              </w:rPr>
            </w:pPr>
            <w:r w:rsidRPr="00D36B7B">
              <w:rPr>
                <w:rFonts w:ascii="宋体" w:hAnsi="宋体" w:hint="eastAsia"/>
                <w:bCs/>
                <w:iCs/>
                <w:color w:val="000000"/>
                <w:szCs w:val="21"/>
              </w:rPr>
              <w:t>面对未来行业发展，我们将继续推进产品结构优化升级，加强全球业务协同，积极培育新的业务增长点。通过深化创新驱动，我们致力于将更多优质产品推向市场，为企业可持续发展注入新动能。</w:t>
            </w:r>
          </w:p>
          <w:p w14:paraId="49B8ECCA" w14:textId="77777777" w:rsidR="006A637E" w:rsidRPr="00D36B7B" w:rsidRDefault="00000000">
            <w:pPr>
              <w:spacing w:line="276" w:lineRule="auto"/>
              <w:ind w:firstLineChars="200" w:firstLine="422"/>
              <w:rPr>
                <w:rFonts w:ascii="宋体" w:hAnsi="宋体" w:hint="eastAsia"/>
                <w:b/>
                <w:iCs/>
                <w:color w:val="000000"/>
                <w:szCs w:val="21"/>
              </w:rPr>
            </w:pPr>
            <w:r w:rsidRPr="00D36B7B">
              <w:rPr>
                <w:rFonts w:ascii="宋体" w:hAnsi="宋体" w:hint="eastAsia"/>
                <w:b/>
                <w:iCs/>
                <w:color w:val="000000"/>
                <w:szCs w:val="21"/>
              </w:rPr>
              <w:t>3、问：索恩格在新能源电机业务方面下一步的重点发展方向是怎样的？</w:t>
            </w:r>
          </w:p>
          <w:p w14:paraId="7C05B52A" w14:textId="77777777" w:rsidR="006A637E" w:rsidRPr="00D36B7B" w:rsidRDefault="00000000">
            <w:pPr>
              <w:spacing w:line="276" w:lineRule="auto"/>
              <w:ind w:firstLineChars="200" w:firstLine="420"/>
              <w:rPr>
                <w:rFonts w:ascii="宋体" w:hAnsi="宋体" w:hint="eastAsia"/>
                <w:bCs/>
                <w:iCs/>
                <w:color w:val="000000"/>
                <w:szCs w:val="21"/>
              </w:rPr>
            </w:pPr>
            <w:r w:rsidRPr="00D36B7B">
              <w:rPr>
                <w:rFonts w:ascii="宋体" w:hAnsi="宋体" w:hint="eastAsia"/>
                <w:bCs/>
                <w:iCs/>
                <w:color w:val="000000"/>
                <w:szCs w:val="21"/>
              </w:rPr>
              <w:t>答：公司下属SES（索恩格电动系统公司）在高压驱动电机核心工艺技术方面已形成扎实积累，并成功实现技术突破，目前已完成面向多家主流客户的定转子项目定点，为核心整车企业提供汽车关键零部件。同时，公司在底盘域电机业务方面也取得积极进展。SES将持续聚焦客户需求，充分发挥规模化制造能力，通过高效生产和稳定交付提升市场竞争力。依托在电机电控、软硬件集成等方面的核心研发能力，公司将以现有业务为基础，围绕战略客户发展方向，积极探索驱动、制动、转向、悬挂等与电机相关的智能驾驶业务新机遇。此外，公司将持续推进精益管理和卓越运营，通过开源节流和持续改善提升运营效率与盈利能力。随着业务规模的不断扩大和订单的有序落地，预计未来公司盈利水平将得到进一步优化。</w:t>
            </w:r>
          </w:p>
          <w:p w14:paraId="3C652672" w14:textId="77777777" w:rsidR="006A637E" w:rsidRPr="00D36B7B" w:rsidRDefault="00000000">
            <w:pPr>
              <w:spacing w:line="276" w:lineRule="auto"/>
              <w:ind w:firstLineChars="200" w:firstLine="422"/>
              <w:rPr>
                <w:rFonts w:ascii="宋体" w:hAnsi="宋体" w:hint="eastAsia"/>
                <w:b/>
                <w:iCs/>
                <w:color w:val="000000"/>
                <w:szCs w:val="21"/>
              </w:rPr>
            </w:pPr>
            <w:r w:rsidRPr="00D36B7B">
              <w:rPr>
                <w:rFonts w:ascii="宋体" w:hAnsi="宋体" w:hint="eastAsia"/>
                <w:b/>
                <w:iCs/>
                <w:color w:val="000000"/>
                <w:szCs w:val="21"/>
              </w:rPr>
              <w:t>4、为促进海外索恩格业务的健康发展，公司计划从哪些方面着手提升其运营管理水平？在提升运营效率和优化成本结构方面，公司将采取哪些具体实施路径？</w:t>
            </w:r>
          </w:p>
          <w:p w14:paraId="6D9EF827" w14:textId="77777777" w:rsidR="006A637E" w:rsidRPr="00D36B7B" w:rsidRDefault="00000000">
            <w:pPr>
              <w:spacing w:line="276" w:lineRule="auto"/>
              <w:ind w:firstLineChars="200" w:firstLine="420"/>
              <w:rPr>
                <w:rFonts w:ascii="宋体" w:hAnsi="宋体" w:hint="eastAsia"/>
                <w:bCs/>
                <w:iCs/>
                <w:color w:val="000000"/>
                <w:szCs w:val="21"/>
              </w:rPr>
            </w:pPr>
            <w:r w:rsidRPr="00D36B7B">
              <w:rPr>
                <w:rFonts w:ascii="宋体" w:hAnsi="宋体" w:hint="eastAsia"/>
                <w:bCs/>
                <w:iCs/>
                <w:color w:val="000000"/>
                <w:szCs w:val="21"/>
              </w:rPr>
              <w:t>答：在德国法律框架下，索恩格（SEG）通过监事会实施重大决策管理。运营层面建立了授权经营机制，公司高管定期参与月度经营会议，内部审计全面覆盖全球工厂。公司正推进全球数字化体系建设，通过流程优化和数据整合提升集团协同效能。</w:t>
            </w:r>
          </w:p>
          <w:p w14:paraId="71C82978" w14:textId="77777777" w:rsidR="006A637E" w:rsidRPr="00D36B7B" w:rsidRDefault="00000000">
            <w:pPr>
              <w:spacing w:line="276" w:lineRule="auto"/>
              <w:ind w:firstLineChars="200" w:firstLine="420"/>
              <w:rPr>
                <w:rFonts w:ascii="宋体" w:hAnsi="宋体" w:hint="eastAsia"/>
                <w:bCs/>
                <w:iCs/>
                <w:color w:val="000000"/>
                <w:szCs w:val="21"/>
              </w:rPr>
            </w:pPr>
            <w:r w:rsidRPr="00D36B7B">
              <w:rPr>
                <w:rFonts w:ascii="宋体" w:hAnsi="宋体" w:hint="eastAsia"/>
                <w:bCs/>
                <w:iCs/>
                <w:color w:val="000000"/>
                <w:szCs w:val="21"/>
              </w:rPr>
              <w:t>SEG凭借优质客户基础实现市场份额与现金流的持续提升，利润结构稳步改善。通过推进48V BRM电机量产，在12V及48V领域进一步扩大市场份额，现有业务未来数年将保持稳定。欧洲高压驱动业务与印度高压电机业务均取得新突破。</w:t>
            </w:r>
          </w:p>
          <w:p w14:paraId="184BF273" w14:textId="77777777" w:rsidR="006A637E" w:rsidRPr="00D36B7B" w:rsidRDefault="00000000">
            <w:pPr>
              <w:spacing w:line="276" w:lineRule="auto"/>
              <w:ind w:firstLineChars="200" w:firstLine="420"/>
              <w:rPr>
                <w:rFonts w:ascii="宋体" w:hAnsi="宋体" w:hint="eastAsia"/>
                <w:bCs/>
                <w:iCs/>
                <w:color w:val="000000"/>
                <w:szCs w:val="21"/>
              </w:rPr>
            </w:pPr>
            <w:r w:rsidRPr="00D36B7B">
              <w:rPr>
                <w:rFonts w:ascii="宋体" w:hAnsi="宋体" w:hint="eastAsia"/>
                <w:bCs/>
                <w:iCs/>
                <w:color w:val="000000"/>
                <w:szCs w:val="21"/>
              </w:rPr>
              <w:t>在降本提效方面，SEG将通过精简管理层级、强化总部赋能、优化高成本地区人员结构等措施激发内生动力。借助中国供应</w:t>
            </w:r>
            <w:proofErr w:type="gramStart"/>
            <w:r w:rsidRPr="00D36B7B">
              <w:rPr>
                <w:rFonts w:ascii="宋体" w:hAnsi="宋体" w:hint="eastAsia"/>
                <w:bCs/>
                <w:iCs/>
                <w:color w:val="000000"/>
                <w:szCs w:val="21"/>
              </w:rPr>
              <w:t>链优势</w:t>
            </w:r>
            <w:proofErr w:type="gramEnd"/>
            <w:r w:rsidRPr="00D36B7B">
              <w:rPr>
                <w:rFonts w:ascii="宋体" w:hAnsi="宋体" w:hint="eastAsia"/>
                <w:bCs/>
                <w:iCs/>
                <w:color w:val="000000"/>
                <w:szCs w:val="21"/>
              </w:rPr>
              <w:t>提升全球盈利能力，同时扩大售后业务规模，积极把握发展中国家市场增长机遇。</w:t>
            </w:r>
          </w:p>
          <w:p w14:paraId="4663F3D6" w14:textId="77777777" w:rsidR="006A637E" w:rsidRPr="00D36B7B" w:rsidRDefault="00000000">
            <w:pPr>
              <w:spacing w:line="276" w:lineRule="auto"/>
              <w:ind w:firstLineChars="200" w:firstLine="422"/>
              <w:rPr>
                <w:rFonts w:ascii="宋体" w:hAnsi="宋体" w:hint="eastAsia"/>
                <w:b/>
                <w:iCs/>
                <w:color w:val="000000"/>
                <w:szCs w:val="21"/>
              </w:rPr>
            </w:pPr>
            <w:r w:rsidRPr="00D36B7B">
              <w:rPr>
                <w:rFonts w:ascii="宋体" w:hAnsi="宋体" w:hint="eastAsia"/>
                <w:b/>
                <w:iCs/>
                <w:color w:val="000000"/>
                <w:szCs w:val="21"/>
              </w:rPr>
              <w:t>5、能否介绍一下索恩格目前的研发体系布局和投入情况？</w:t>
            </w:r>
          </w:p>
          <w:p w14:paraId="5567947D" w14:textId="77777777" w:rsidR="006A637E" w:rsidRPr="00D36B7B" w:rsidRDefault="00000000">
            <w:pPr>
              <w:spacing w:line="276" w:lineRule="auto"/>
              <w:ind w:firstLineChars="200" w:firstLine="420"/>
              <w:rPr>
                <w:rFonts w:ascii="宋体" w:hAnsi="宋体" w:hint="eastAsia"/>
                <w:bCs/>
                <w:iCs/>
                <w:color w:val="000000"/>
                <w:szCs w:val="21"/>
              </w:rPr>
            </w:pPr>
            <w:r w:rsidRPr="00D36B7B">
              <w:rPr>
                <w:rFonts w:ascii="宋体" w:hAnsi="宋体" w:hint="eastAsia"/>
                <w:bCs/>
                <w:iCs/>
                <w:color w:val="000000"/>
                <w:szCs w:val="21"/>
              </w:rPr>
              <w:t>答：索恩格目前在全球范围内建有完善的研发体系，研发团队规模与业务发展需求相匹配，研发投入保持在合理水平。索恩格坚持技术创新导向，通过布局在中国、欧洲等地的研发中心协同发展，持续优化研发资源配置。</w:t>
            </w:r>
            <w:r w:rsidRPr="00D36B7B">
              <w:rPr>
                <w:rFonts w:ascii="宋体" w:hAnsi="宋体" w:hint="eastAsia"/>
                <w:bCs/>
                <w:iCs/>
                <w:color w:val="000000"/>
                <w:szCs w:val="21"/>
              </w:rPr>
              <w:lastRenderedPageBreak/>
              <w:t>随着业务规模的不断扩大，公司将持续完善研发管理体系，确保研发投入与营业收入保持科学合理的比例关系，为可持续发展提供有效支撑。</w:t>
            </w:r>
          </w:p>
          <w:p w14:paraId="49F0A778" w14:textId="77777777" w:rsidR="006A637E" w:rsidRPr="00D36B7B" w:rsidRDefault="00000000">
            <w:pPr>
              <w:spacing w:line="276" w:lineRule="auto"/>
              <w:ind w:firstLineChars="200" w:firstLine="422"/>
              <w:rPr>
                <w:rFonts w:ascii="宋体" w:hAnsi="宋体" w:hint="eastAsia"/>
                <w:b/>
                <w:iCs/>
                <w:color w:val="000000"/>
                <w:szCs w:val="21"/>
              </w:rPr>
            </w:pPr>
            <w:r w:rsidRPr="00D36B7B">
              <w:rPr>
                <w:rFonts w:ascii="宋体" w:hAnsi="宋体" w:hint="eastAsia"/>
                <w:b/>
                <w:iCs/>
                <w:color w:val="000000"/>
                <w:szCs w:val="21"/>
              </w:rPr>
              <w:t>6、亚新科集团在目前多元化的业务和产品布局下，如何规划未来业务发展的路径，维持专业领域的竞争优势？</w:t>
            </w:r>
          </w:p>
          <w:p w14:paraId="7C8151C2" w14:textId="77777777" w:rsidR="006A637E" w:rsidRPr="00D36B7B" w:rsidRDefault="00000000">
            <w:pPr>
              <w:spacing w:line="276" w:lineRule="auto"/>
              <w:ind w:firstLineChars="200" w:firstLine="420"/>
              <w:rPr>
                <w:rFonts w:ascii="宋体" w:hAnsi="宋体" w:hint="eastAsia"/>
                <w:bCs/>
                <w:iCs/>
                <w:color w:val="000000"/>
                <w:szCs w:val="21"/>
              </w:rPr>
            </w:pPr>
            <w:r w:rsidRPr="00D36B7B">
              <w:rPr>
                <w:rFonts w:ascii="宋体" w:hAnsi="宋体" w:hint="eastAsia"/>
                <w:bCs/>
                <w:iCs/>
                <w:color w:val="000000"/>
                <w:szCs w:val="21"/>
              </w:rPr>
              <w:t>答：亚新科在继续巩固现有客户关系的同时，集中优势资源专注于新能源汽车零部件业务的深耕，包括底盘减震、空气悬架等核心产品。经过持续的投入，亚新科在底盘减震领域已从最初服务少数本土客户发展到当前具备一定市场影响力的阶段，空气悬架系统部件也获得头部客户的定点。亚新科坚持专业化团队运作模式，每个团队专注一个产品线，通过聚焦战略实现深度发展。在制造体系方面持续提升工业4.0实践能力，目前中创</w:t>
            </w:r>
            <w:proofErr w:type="gramStart"/>
            <w:r w:rsidRPr="00D36B7B">
              <w:rPr>
                <w:rFonts w:ascii="宋体" w:hAnsi="宋体" w:hint="eastAsia"/>
                <w:bCs/>
                <w:iCs/>
                <w:color w:val="000000"/>
                <w:szCs w:val="21"/>
              </w:rPr>
              <w:t>智领集团</w:t>
            </w:r>
            <w:proofErr w:type="gramEnd"/>
            <w:r w:rsidRPr="00D36B7B">
              <w:rPr>
                <w:rFonts w:ascii="宋体" w:hAnsi="宋体" w:hint="eastAsia"/>
                <w:bCs/>
                <w:iCs/>
                <w:color w:val="000000"/>
                <w:szCs w:val="21"/>
              </w:rPr>
              <w:t>在全球32个工厂中已有11个获</w:t>
            </w:r>
            <w:proofErr w:type="gramStart"/>
            <w:r w:rsidRPr="00D36B7B">
              <w:rPr>
                <w:rFonts w:ascii="宋体" w:hAnsi="宋体" w:hint="eastAsia"/>
                <w:bCs/>
                <w:iCs/>
                <w:color w:val="000000"/>
                <w:szCs w:val="21"/>
              </w:rPr>
              <w:t>评工信</w:t>
            </w:r>
            <w:proofErr w:type="gramEnd"/>
            <w:r w:rsidRPr="00D36B7B">
              <w:rPr>
                <w:rFonts w:ascii="宋体" w:hAnsi="宋体" w:hint="eastAsia"/>
                <w:bCs/>
                <w:iCs/>
                <w:color w:val="000000"/>
                <w:szCs w:val="21"/>
              </w:rPr>
              <w:t xml:space="preserve">部数字化工厂标杆，运营效率持续提升。 </w:t>
            </w:r>
          </w:p>
          <w:p w14:paraId="46603D21" w14:textId="77777777" w:rsidR="006A637E" w:rsidRPr="00D36B7B" w:rsidRDefault="00000000">
            <w:pPr>
              <w:spacing w:line="276" w:lineRule="auto"/>
              <w:ind w:firstLineChars="200" w:firstLine="422"/>
              <w:rPr>
                <w:rFonts w:ascii="宋体" w:hAnsi="宋体" w:hint="eastAsia"/>
                <w:b/>
                <w:iCs/>
                <w:color w:val="000000"/>
                <w:szCs w:val="21"/>
              </w:rPr>
            </w:pPr>
            <w:r w:rsidRPr="00D36B7B">
              <w:rPr>
                <w:rFonts w:ascii="宋体" w:hAnsi="宋体" w:hint="eastAsia"/>
                <w:b/>
                <w:iCs/>
                <w:color w:val="000000"/>
                <w:szCs w:val="21"/>
              </w:rPr>
              <w:t>7、请问亚新科在新能源业务开拓客户和市场方面经历了怎样的战略转变过程？</w:t>
            </w:r>
          </w:p>
          <w:p w14:paraId="354FE1B4" w14:textId="77777777" w:rsidR="006A637E" w:rsidRPr="00D36B7B" w:rsidRDefault="00000000">
            <w:pPr>
              <w:spacing w:line="276" w:lineRule="auto"/>
              <w:ind w:firstLineChars="200" w:firstLine="420"/>
              <w:rPr>
                <w:rFonts w:ascii="宋体" w:hAnsi="宋体" w:hint="eastAsia"/>
                <w:bCs/>
                <w:iCs/>
                <w:color w:val="000000"/>
                <w:szCs w:val="21"/>
              </w:rPr>
            </w:pPr>
            <w:r w:rsidRPr="00D36B7B">
              <w:rPr>
                <w:rFonts w:ascii="宋体" w:hAnsi="宋体" w:hint="eastAsia"/>
                <w:bCs/>
                <w:iCs/>
                <w:color w:val="000000"/>
                <w:szCs w:val="21"/>
              </w:rPr>
              <w:t>答：亚新科新能源汽车零部件业务在发展过程中对市场策略进行了重要调整，从最初计划服务全球</w:t>
            </w:r>
            <w:proofErr w:type="gramStart"/>
            <w:r w:rsidRPr="00D36B7B">
              <w:rPr>
                <w:rFonts w:ascii="宋体" w:hAnsi="宋体" w:hint="eastAsia"/>
                <w:bCs/>
                <w:iCs/>
                <w:color w:val="000000"/>
                <w:szCs w:val="21"/>
              </w:rPr>
              <w:t>主流车企转向</w:t>
            </w:r>
            <w:proofErr w:type="gramEnd"/>
            <w:r w:rsidRPr="00D36B7B">
              <w:rPr>
                <w:rFonts w:ascii="宋体" w:hAnsi="宋体" w:hint="eastAsia"/>
                <w:bCs/>
                <w:iCs/>
                <w:color w:val="000000"/>
                <w:szCs w:val="21"/>
              </w:rPr>
              <w:t>聚焦中国本土客户，特别是造车新势力群体。通过积极接触新势力企业，亚新科发现并抓住了为中国</w:t>
            </w:r>
            <w:proofErr w:type="gramStart"/>
            <w:r w:rsidRPr="00D36B7B">
              <w:rPr>
                <w:rFonts w:ascii="宋体" w:hAnsi="宋体" w:hint="eastAsia"/>
                <w:bCs/>
                <w:iCs/>
                <w:color w:val="000000"/>
                <w:szCs w:val="21"/>
              </w:rPr>
              <w:t>车企配套</w:t>
            </w:r>
            <w:proofErr w:type="gramEnd"/>
            <w:r w:rsidRPr="00D36B7B">
              <w:rPr>
                <w:rFonts w:ascii="宋体" w:hAnsi="宋体" w:hint="eastAsia"/>
                <w:bCs/>
                <w:iCs/>
                <w:color w:val="000000"/>
                <w:szCs w:val="21"/>
              </w:rPr>
              <w:t>的机遇，快速获得订单并积累经验。亚新科认识到要实现长远发展，必须依托中国市场的增长动能，因此将战略重心转向服务中国本土头部客户，集中资源满足其高标准需求，亚新科注重通过严格的实验验证和专利布局确保产品质量，坚持以质量、成本和创新赢得客户认可，从而逐步建立起可持续的业务体系。</w:t>
            </w:r>
          </w:p>
          <w:p w14:paraId="28FED4BD" w14:textId="77777777" w:rsidR="006A637E" w:rsidRPr="00D36B7B" w:rsidRDefault="00000000">
            <w:pPr>
              <w:spacing w:line="276" w:lineRule="auto"/>
              <w:ind w:firstLineChars="200" w:firstLine="422"/>
              <w:rPr>
                <w:rFonts w:ascii="宋体" w:hAnsi="宋体" w:hint="eastAsia"/>
                <w:b/>
                <w:iCs/>
                <w:color w:val="000000"/>
                <w:szCs w:val="21"/>
              </w:rPr>
            </w:pPr>
            <w:r w:rsidRPr="00D36B7B">
              <w:rPr>
                <w:rFonts w:ascii="宋体" w:hAnsi="宋体" w:hint="eastAsia"/>
                <w:b/>
                <w:iCs/>
                <w:color w:val="000000"/>
                <w:szCs w:val="21"/>
              </w:rPr>
              <w:t>8、中创</w:t>
            </w:r>
            <w:proofErr w:type="gramStart"/>
            <w:r w:rsidRPr="00D36B7B">
              <w:rPr>
                <w:rFonts w:ascii="宋体" w:hAnsi="宋体" w:hint="eastAsia"/>
                <w:b/>
                <w:iCs/>
                <w:color w:val="000000"/>
                <w:szCs w:val="21"/>
              </w:rPr>
              <w:t>智领如何</w:t>
            </w:r>
            <w:proofErr w:type="gramEnd"/>
            <w:r w:rsidRPr="00D36B7B">
              <w:rPr>
                <w:rFonts w:ascii="宋体" w:hAnsi="宋体" w:hint="eastAsia"/>
                <w:b/>
                <w:iCs/>
                <w:color w:val="000000"/>
                <w:szCs w:val="21"/>
              </w:rPr>
              <w:t>确保在巩固煤</w:t>
            </w:r>
            <w:proofErr w:type="gramStart"/>
            <w:r w:rsidRPr="00D36B7B">
              <w:rPr>
                <w:rFonts w:ascii="宋体" w:hAnsi="宋体" w:hint="eastAsia"/>
                <w:b/>
                <w:iCs/>
                <w:color w:val="000000"/>
                <w:szCs w:val="21"/>
              </w:rPr>
              <w:t>机传统</w:t>
            </w:r>
            <w:proofErr w:type="gramEnd"/>
            <w:r w:rsidRPr="00D36B7B">
              <w:rPr>
                <w:rFonts w:ascii="宋体" w:hAnsi="宋体" w:hint="eastAsia"/>
                <w:b/>
                <w:iCs/>
                <w:color w:val="000000"/>
                <w:szCs w:val="21"/>
              </w:rPr>
              <w:t>优势的同时，有能力在竞争激烈的汽车新能源与工业智能化领域实现快速突破，并避免因多元化布局而导致的资源分散风险？</w:t>
            </w:r>
          </w:p>
          <w:p w14:paraId="5EC2DE65" w14:textId="77777777" w:rsidR="006A637E" w:rsidRPr="00D36B7B" w:rsidRDefault="00000000">
            <w:pPr>
              <w:spacing w:line="276" w:lineRule="auto"/>
              <w:ind w:firstLineChars="200" w:firstLine="420"/>
              <w:rPr>
                <w:rFonts w:ascii="宋体" w:hAnsi="宋体" w:hint="eastAsia"/>
                <w:bCs/>
                <w:iCs/>
                <w:color w:val="000000"/>
                <w:szCs w:val="21"/>
              </w:rPr>
            </w:pPr>
            <w:r w:rsidRPr="00D36B7B">
              <w:rPr>
                <w:rFonts w:ascii="宋体" w:hAnsi="宋体" w:hint="eastAsia"/>
                <w:bCs/>
                <w:iCs/>
                <w:color w:val="000000"/>
                <w:szCs w:val="21"/>
              </w:rPr>
              <w:t>答：在发展路径上，中创</w:t>
            </w:r>
            <w:proofErr w:type="gramStart"/>
            <w:r w:rsidRPr="00D36B7B">
              <w:rPr>
                <w:rFonts w:ascii="宋体" w:hAnsi="宋体" w:hint="eastAsia"/>
                <w:bCs/>
                <w:iCs/>
                <w:color w:val="000000"/>
                <w:szCs w:val="21"/>
              </w:rPr>
              <w:t>智领一</w:t>
            </w:r>
            <w:proofErr w:type="gramEnd"/>
            <w:r w:rsidRPr="00D36B7B">
              <w:rPr>
                <w:rFonts w:ascii="宋体" w:hAnsi="宋体" w:hint="eastAsia"/>
                <w:bCs/>
                <w:iCs/>
                <w:color w:val="000000"/>
                <w:szCs w:val="21"/>
              </w:rPr>
              <w:t>是深耕煤机业务，以智能化和成套化为核心，加大研发投入，构建一站</w:t>
            </w:r>
            <w:proofErr w:type="gramStart"/>
            <w:r w:rsidRPr="00D36B7B">
              <w:rPr>
                <w:rFonts w:ascii="宋体" w:hAnsi="宋体" w:hint="eastAsia"/>
                <w:bCs/>
                <w:iCs/>
                <w:color w:val="000000"/>
                <w:szCs w:val="21"/>
              </w:rPr>
              <w:t>式解决</w:t>
            </w:r>
            <w:proofErr w:type="gramEnd"/>
            <w:r w:rsidRPr="00D36B7B">
              <w:rPr>
                <w:rFonts w:ascii="宋体" w:hAnsi="宋体" w:hint="eastAsia"/>
                <w:bCs/>
                <w:iCs/>
                <w:color w:val="000000"/>
                <w:szCs w:val="21"/>
              </w:rPr>
              <w:t>方案能力，并聚焦人工智能在开采</w:t>
            </w:r>
            <w:proofErr w:type="gramStart"/>
            <w:r w:rsidRPr="00D36B7B">
              <w:rPr>
                <w:rFonts w:ascii="宋体" w:hAnsi="宋体" w:hint="eastAsia"/>
                <w:bCs/>
                <w:iCs/>
                <w:color w:val="000000"/>
                <w:szCs w:val="21"/>
              </w:rPr>
              <w:t>无人化</w:t>
            </w:r>
            <w:proofErr w:type="gramEnd"/>
            <w:r w:rsidRPr="00D36B7B">
              <w:rPr>
                <w:rFonts w:ascii="宋体" w:hAnsi="宋体" w:hint="eastAsia"/>
                <w:bCs/>
                <w:iCs/>
                <w:color w:val="000000"/>
                <w:szCs w:val="21"/>
              </w:rPr>
              <w:t>等场景的应用，引领行业智能升级。二是加速汽车零部件业务的电气化转型，在巩固传统优势的同时，重点布局高压电驱动、空气悬架、电池冷板等新能源产品，并探索智能驾驶相关的新机遇。三是强化数字化转型，将矿山领域的智能解决方案经验延伸至更广泛的工业领域，致力于打造集生产、物流、信息自动化于一体的软硬件交付能力。公司旗下的煤机智</w:t>
            </w:r>
            <w:proofErr w:type="gramStart"/>
            <w:r w:rsidRPr="00D36B7B">
              <w:rPr>
                <w:rFonts w:ascii="宋体" w:hAnsi="宋体" w:hint="eastAsia"/>
                <w:bCs/>
                <w:iCs/>
                <w:color w:val="000000"/>
                <w:szCs w:val="21"/>
              </w:rPr>
              <w:t>能工厂</w:t>
            </w:r>
            <w:proofErr w:type="gramEnd"/>
            <w:r w:rsidRPr="00D36B7B">
              <w:rPr>
                <w:rFonts w:ascii="宋体" w:hAnsi="宋体" w:hint="eastAsia"/>
                <w:bCs/>
                <w:iCs/>
                <w:color w:val="000000"/>
                <w:szCs w:val="21"/>
              </w:rPr>
              <w:t>作为行业灯塔，为离散型智能工厂的交钥匙工程树立了标杆。四是积极把握“双碳”机遇，借助资本力量，围绕主业系统性地开展产业孵化与投资布局，旨在培育新的增长极并全面提升公司投资价值。</w:t>
            </w:r>
          </w:p>
          <w:p w14:paraId="31DD535C" w14:textId="77777777" w:rsidR="006A637E" w:rsidRPr="00D36B7B" w:rsidRDefault="00000000">
            <w:pPr>
              <w:spacing w:line="276" w:lineRule="auto"/>
              <w:ind w:firstLineChars="200" w:firstLine="422"/>
              <w:rPr>
                <w:rFonts w:ascii="宋体" w:hAnsi="宋体" w:hint="eastAsia"/>
                <w:b/>
                <w:iCs/>
                <w:color w:val="000000"/>
                <w:szCs w:val="21"/>
              </w:rPr>
            </w:pPr>
            <w:r w:rsidRPr="00D36B7B">
              <w:rPr>
                <w:rFonts w:ascii="宋体" w:hAnsi="宋体" w:hint="eastAsia"/>
                <w:b/>
                <w:iCs/>
                <w:color w:val="000000"/>
                <w:szCs w:val="21"/>
              </w:rPr>
              <w:t xml:space="preserve">9、基于亚新科业务当前建立的产能基础、客户资源与市场格局，公司计划通过哪些具体策略确保该业务在未来保持可持续的增长态势？ </w:t>
            </w:r>
          </w:p>
          <w:p w14:paraId="452E87CE" w14:textId="77777777" w:rsidR="006A637E" w:rsidRPr="00D36B7B" w:rsidRDefault="00000000">
            <w:pPr>
              <w:spacing w:line="276" w:lineRule="auto"/>
              <w:ind w:firstLineChars="200" w:firstLine="420"/>
              <w:rPr>
                <w:rFonts w:ascii="宋体" w:hAnsi="宋体" w:hint="eastAsia"/>
                <w:bCs/>
                <w:iCs/>
                <w:color w:val="000000"/>
                <w:szCs w:val="21"/>
              </w:rPr>
            </w:pPr>
            <w:r w:rsidRPr="00D36B7B">
              <w:rPr>
                <w:rFonts w:ascii="宋体" w:hAnsi="宋体" w:hint="eastAsia"/>
                <w:bCs/>
                <w:iCs/>
                <w:color w:val="000000"/>
                <w:szCs w:val="21"/>
              </w:rPr>
              <w:t>答：亚新科秉持清晰的战略方向，持续推进从商用车零部件</w:t>
            </w:r>
            <w:proofErr w:type="gramStart"/>
            <w:r w:rsidRPr="00D36B7B">
              <w:rPr>
                <w:rFonts w:ascii="宋体" w:hAnsi="宋体" w:hint="eastAsia"/>
                <w:bCs/>
                <w:iCs/>
                <w:color w:val="000000"/>
                <w:szCs w:val="21"/>
              </w:rPr>
              <w:t>为主向乘用</w:t>
            </w:r>
            <w:r w:rsidRPr="00D36B7B">
              <w:rPr>
                <w:rFonts w:ascii="宋体" w:hAnsi="宋体" w:hint="eastAsia"/>
                <w:bCs/>
                <w:iCs/>
                <w:color w:val="000000"/>
                <w:szCs w:val="21"/>
              </w:rPr>
              <w:lastRenderedPageBreak/>
              <w:t>车</w:t>
            </w:r>
            <w:proofErr w:type="gramEnd"/>
            <w:r w:rsidRPr="00D36B7B">
              <w:rPr>
                <w:rFonts w:ascii="宋体" w:hAnsi="宋体" w:hint="eastAsia"/>
                <w:bCs/>
                <w:iCs/>
                <w:color w:val="000000"/>
                <w:szCs w:val="21"/>
              </w:rPr>
              <w:t>领域的业务转型，积极拓展市场规模更大的赛道，推动产品从零件向部件及系统级升级，并加速国际化布局进程。</w:t>
            </w:r>
          </w:p>
          <w:p w14:paraId="27FCA394" w14:textId="77777777" w:rsidR="006A637E" w:rsidRPr="00D36B7B" w:rsidRDefault="00000000">
            <w:pPr>
              <w:spacing w:line="276" w:lineRule="auto"/>
              <w:ind w:firstLineChars="200" w:firstLine="420"/>
              <w:rPr>
                <w:rFonts w:ascii="宋体" w:hAnsi="宋体" w:hint="eastAsia"/>
                <w:bCs/>
                <w:iCs/>
                <w:color w:val="000000"/>
                <w:szCs w:val="21"/>
              </w:rPr>
            </w:pPr>
            <w:r w:rsidRPr="00D36B7B">
              <w:rPr>
                <w:rFonts w:ascii="宋体" w:hAnsi="宋体" w:hint="eastAsia"/>
                <w:bCs/>
                <w:iCs/>
                <w:color w:val="000000"/>
                <w:szCs w:val="21"/>
              </w:rPr>
              <w:t>亚新科正积极推进三大战略转型以驱动持续增长：在业务结构上，公司加速从以商用车为主（</w:t>
            </w:r>
            <w:proofErr w:type="gramStart"/>
            <w:r w:rsidRPr="00D36B7B">
              <w:rPr>
                <w:rFonts w:ascii="宋体" w:hAnsi="宋体" w:hint="eastAsia"/>
                <w:bCs/>
                <w:iCs/>
                <w:color w:val="000000"/>
                <w:szCs w:val="21"/>
              </w:rPr>
              <w:t>原占比超</w:t>
            </w:r>
            <w:proofErr w:type="gramEnd"/>
            <w:r w:rsidRPr="00D36B7B">
              <w:rPr>
                <w:rFonts w:ascii="宋体" w:hAnsi="宋体" w:hint="eastAsia"/>
                <w:bCs/>
                <w:iCs/>
                <w:color w:val="000000"/>
                <w:szCs w:val="21"/>
              </w:rPr>
              <w:t>70%）</w:t>
            </w:r>
            <w:proofErr w:type="gramStart"/>
            <w:r w:rsidRPr="00D36B7B">
              <w:rPr>
                <w:rFonts w:ascii="宋体" w:hAnsi="宋体" w:hint="eastAsia"/>
                <w:bCs/>
                <w:iCs/>
                <w:color w:val="000000"/>
                <w:szCs w:val="21"/>
              </w:rPr>
              <w:t>向乘用车</w:t>
            </w:r>
            <w:proofErr w:type="gramEnd"/>
            <w:r w:rsidRPr="00D36B7B">
              <w:rPr>
                <w:rFonts w:ascii="宋体" w:hAnsi="宋体" w:hint="eastAsia"/>
                <w:bCs/>
                <w:iCs/>
                <w:color w:val="000000"/>
                <w:szCs w:val="21"/>
              </w:rPr>
              <w:t>领域拓展，紧抓中国自主品牌乘用车市场渗透率提升的机遇，实现乘用车业务的快速放量，使其成为拉动集团收入增长的重要引擎；在产品升级上，公司着力推动从零件向部件及系统化方向发展，空气悬架、</w:t>
            </w:r>
            <w:proofErr w:type="gramStart"/>
            <w:r w:rsidRPr="00D36B7B">
              <w:rPr>
                <w:rFonts w:ascii="宋体" w:hAnsi="宋体" w:hint="eastAsia"/>
                <w:bCs/>
                <w:iCs/>
                <w:color w:val="000000"/>
                <w:szCs w:val="21"/>
              </w:rPr>
              <w:t>热管理</w:t>
            </w:r>
            <w:proofErr w:type="gramEnd"/>
            <w:r w:rsidRPr="00D36B7B">
              <w:rPr>
                <w:rFonts w:ascii="宋体" w:hAnsi="宋体" w:hint="eastAsia"/>
                <w:bCs/>
                <w:iCs/>
                <w:color w:val="000000"/>
                <w:szCs w:val="21"/>
              </w:rPr>
              <w:t>及底盘杆件等多项部件业务已获得客户定点并进入小批量生产阶段，随着产能逐步释放和规模效应显现，高价值量的部件业务将成为未来增长的重要动力；在国际化布局方面，公司目前约20%的收入来源于出口业务，主要向北美康明斯、沃尔沃等全球客户供应缸体、缸盖等产品，在应对关税挑战的同时保持了在北美市场的竞争力。短期来看，亚新科将</w:t>
            </w:r>
            <w:proofErr w:type="gramStart"/>
            <w:r w:rsidRPr="00D36B7B">
              <w:rPr>
                <w:rFonts w:ascii="宋体" w:hAnsi="宋体" w:hint="eastAsia"/>
                <w:bCs/>
                <w:iCs/>
                <w:color w:val="000000"/>
                <w:szCs w:val="21"/>
              </w:rPr>
              <w:t>聚焦国</w:t>
            </w:r>
            <w:proofErr w:type="gramEnd"/>
            <w:r w:rsidRPr="00D36B7B">
              <w:rPr>
                <w:rFonts w:ascii="宋体" w:hAnsi="宋体" w:hint="eastAsia"/>
                <w:bCs/>
                <w:iCs/>
                <w:color w:val="000000"/>
                <w:szCs w:val="21"/>
              </w:rPr>
              <w:t>内乘用车市场，巩固在减震、底盘及</w:t>
            </w:r>
            <w:proofErr w:type="gramStart"/>
            <w:r w:rsidRPr="00D36B7B">
              <w:rPr>
                <w:rFonts w:ascii="宋体" w:hAnsi="宋体" w:hint="eastAsia"/>
                <w:bCs/>
                <w:iCs/>
                <w:color w:val="000000"/>
                <w:szCs w:val="21"/>
              </w:rPr>
              <w:t>热管理</w:t>
            </w:r>
            <w:proofErr w:type="gramEnd"/>
            <w:r w:rsidRPr="00D36B7B">
              <w:rPr>
                <w:rFonts w:ascii="宋体" w:hAnsi="宋体" w:hint="eastAsia"/>
                <w:bCs/>
                <w:iCs/>
                <w:color w:val="000000"/>
                <w:szCs w:val="21"/>
              </w:rPr>
              <w:t>领域的市场地位；中长期则将依托中创</w:t>
            </w:r>
            <w:proofErr w:type="gramStart"/>
            <w:r w:rsidRPr="00D36B7B">
              <w:rPr>
                <w:rFonts w:ascii="宋体" w:hAnsi="宋体" w:hint="eastAsia"/>
                <w:bCs/>
                <w:iCs/>
                <w:color w:val="000000"/>
                <w:szCs w:val="21"/>
              </w:rPr>
              <w:t>智领集团</w:t>
            </w:r>
            <w:proofErr w:type="gramEnd"/>
            <w:r w:rsidRPr="00D36B7B">
              <w:rPr>
                <w:rFonts w:ascii="宋体" w:hAnsi="宋体" w:hint="eastAsia"/>
                <w:bCs/>
                <w:iCs/>
                <w:color w:val="000000"/>
                <w:szCs w:val="21"/>
              </w:rPr>
              <w:t>的全球网络，系统性拓展海外市场，为高质量发展开辟更广阔空间。</w:t>
            </w:r>
          </w:p>
        </w:tc>
      </w:tr>
      <w:tr w:rsidR="006A637E" w14:paraId="2E0E4266" w14:textId="77777777">
        <w:trPr>
          <w:trHeight w:val="454"/>
        </w:trPr>
        <w:tc>
          <w:tcPr>
            <w:tcW w:w="1668" w:type="dxa"/>
            <w:tcBorders>
              <w:top w:val="single" w:sz="4" w:space="0" w:color="auto"/>
              <w:left w:val="single" w:sz="4" w:space="0" w:color="auto"/>
              <w:bottom w:val="single" w:sz="4" w:space="0" w:color="auto"/>
              <w:right w:val="single" w:sz="4" w:space="0" w:color="auto"/>
            </w:tcBorders>
            <w:vAlign w:val="center"/>
          </w:tcPr>
          <w:p w14:paraId="48655C87" w14:textId="77777777" w:rsidR="006A637E" w:rsidRDefault="00000000">
            <w:pPr>
              <w:jc w:val="center"/>
              <w:rPr>
                <w:bCs/>
                <w:iCs/>
                <w:color w:val="000000"/>
                <w:kern w:val="0"/>
                <w:szCs w:val="21"/>
              </w:rPr>
            </w:pPr>
            <w:r>
              <w:rPr>
                <w:rFonts w:hAnsi="宋体"/>
                <w:bCs/>
                <w:iCs/>
                <w:color w:val="000000"/>
                <w:kern w:val="0"/>
                <w:szCs w:val="21"/>
              </w:rPr>
              <w:lastRenderedPageBreak/>
              <w:t>附件清单</w:t>
            </w:r>
            <w:r>
              <w:rPr>
                <w:rFonts w:hAnsi="宋体"/>
                <w:bCs/>
                <w:iCs/>
                <w:color w:val="000000"/>
                <w:kern w:val="0"/>
                <w:szCs w:val="21"/>
              </w:rPr>
              <w:br/>
            </w:r>
            <w:r>
              <w:rPr>
                <w:rFonts w:hAnsi="宋体"/>
                <w:bCs/>
                <w:iCs/>
                <w:color w:val="000000"/>
                <w:kern w:val="0"/>
                <w:szCs w:val="21"/>
              </w:rPr>
              <w:t>（如有）</w:t>
            </w:r>
          </w:p>
        </w:tc>
        <w:tc>
          <w:tcPr>
            <w:tcW w:w="7087" w:type="dxa"/>
            <w:tcBorders>
              <w:top w:val="single" w:sz="4" w:space="0" w:color="auto"/>
              <w:left w:val="single" w:sz="4" w:space="0" w:color="auto"/>
              <w:bottom w:val="single" w:sz="4" w:space="0" w:color="auto"/>
              <w:right w:val="single" w:sz="4" w:space="0" w:color="auto"/>
            </w:tcBorders>
            <w:vAlign w:val="center"/>
          </w:tcPr>
          <w:p w14:paraId="739B7617" w14:textId="77777777" w:rsidR="006A637E" w:rsidRDefault="006A637E">
            <w:pPr>
              <w:rPr>
                <w:bCs/>
                <w:iCs/>
                <w:color w:val="000000"/>
                <w:szCs w:val="21"/>
              </w:rPr>
            </w:pPr>
          </w:p>
        </w:tc>
      </w:tr>
      <w:tr w:rsidR="006A637E" w14:paraId="72772400" w14:textId="77777777">
        <w:trPr>
          <w:trHeight w:val="454"/>
        </w:trPr>
        <w:tc>
          <w:tcPr>
            <w:tcW w:w="1668" w:type="dxa"/>
            <w:tcBorders>
              <w:top w:val="single" w:sz="4" w:space="0" w:color="auto"/>
              <w:left w:val="single" w:sz="4" w:space="0" w:color="auto"/>
              <w:bottom w:val="single" w:sz="4" w:space="0" w:color="auto"/>
              <w:right w:val="single" w:sz="4" w:space="0" w:color="auto"/>
            </w:tcBorders>
            <w:vAlign w:val="center"/>
          </w:tcPr>
          <w:p w14:paraId="74160836" w14:textId="77777777" w:rsidR="006A637E" w:rsidRDefault="00000000">
            <w:pPr>
              <w:jc w:val="center"/>
              <w:rPr>
                <w:bCs/>
                <w:iCs/>
                <w:color w:val="000000"/>
                <w:kern w:val="0"/>
                <w:szCs w:val="21"/>
              </w:rPr>
            </w:pPr>
            <w:r>
              <w:rPr>
                <w:rFonts w:hAnsi="宋体"/>
                <w:bCs/>
                <w:iCs/>
                <w:color w:val="000000"/>
                <w:kern w:val="0"/>
                <w:szCs w:val="21"/>
              </w:rPr>
              <w:t>日期</w:t>
            </w:r>
          </w:p>
        </w:tc>
        <w:tc>
          <w:tcPr>
            <w:tcW w:w="7087" w:type="dxa"/>
            <w:tcBorders>
              <w:top w:val="single" w:sz="4" w:space="0" w:color="auto"/>
              <w:left w:val="single" w:sz="4" w:space="0" w:color="auto"/>
              <w:bottom w:val="single" w:sz="4" w:space="0" w:color="auto"/>
              <w:right w:val="single" w:sz="4" w:space="0" w:color="auto"/>
            </w:tcBorders>
            <w:vAlign w:val="center"/>
          </w:tcPr>
          <w:p w14:paraId="0C45F290" w14:textId="1CD5E5B4" w:rsidR="006A637E" w:rsidRDefault="00000000">
            <w:pPr>
              <w:rPr>
                <w:bCs/>
                <w:iCs/>
                <w:color w:val="000000"/>
                <w:szCs w:val="21"/>
              </w:rPr>
            </w:pPr>
            <w:r>
              <w:rPr>
                <w:bCs/>
                <w:iCs/>
                <w:color w:val="000000"/>
                <w:szCs w:val="21"/>
              </w:rPr>
              <w:t>2025-</w:t>
            </w:r>
            <w:r>
              <w:rPr>
                <w:rFonts w:hint="eastAsia"/>
                <w:bCs/>
                <w:iCs/>
                <w:color w:val="000000"/>
                <w:szCs w:val="21"/>
              </w:rPr>
              <w:t>10</w:t>
            </w:r>
            <w:r>
              <w:rPr>
                <w:bCs/>
                <w:iCs/>
                <w:color w:val="000000"/>
                <w:szCs w:val="21"/>
              </w:rPr>
              <w:t>-</w:t>
            </w:r>
            <w:r>
              <w:rPr>
                <w:rFonts w:hint="eastAsia"/>
                <w:bCs/>
                <w:iCs/>
                <w:color w:val="000000"/>
                <w:szCs w:val="21"/>
              </w:rPr>
              <w:t>1</w:t>
            </w:r>
            <w:r w:rsidR="00A50475">
              <w:rPr>
                <w:rFonts w:hint="eastAsia"/>
                <w:bCs/>
                <w:iCs/>
                <w:color w:val="000000"/>
                <w:szCs w:val="21"/>
              </w:rPr>
              <w:t>5</w:t>
            </w:r>
          </w:p>
        </w:tc>
      </w:tr>
    </w:tbl>
    <w:p w14:paraId="5FACFBD9" w14:textId="77777777" w:rsidR="006A637E" w:rsidRDefault="006A637E"/>
    <w:sectPr w:rsidR="006A637E">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B414F" w14:textId="77777777" w:rsidR="006F586D" w:rsidRDefault="006F586D">
      <w:r>
        <w:separator/>
      </w:r>
    </w:p>
  </w:endnote>
  <w:endnote w:type="continuationSeparator" w:id="0">
    <w:p w14:paraId="7676BF36" w14:textId="77777777" w:rsidR="006F586D" w:rsidRDefault="006F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3121A" w14:textId="77777777" w:rsidR="006F586D" w:rsidRDefault="006F586D">
      <w:r>
        <w:separator/>
      </w:r>
    </w:p>
  </w:footnote>
  <w:footnote w:type="continuationSeparator" w:id="0">
    <w:p w14:paraId="50FF24E1" w14:textId="77777777" w:rsidR="006F586D" w:rsidRDefault="006F5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617E" w14:textId="77777777" w:rsidR="006A637E" w:rsidRDefault="006A637E">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1C7"/>
    <w:rsid w:val="B7DDD54D"/>
    <w:rsid w:val="E3FFE6ED"/>
    <w:rsid w:val="F5DB8A63"/>
    <w:rsid w:val="F797912E"/>
    <w:rsid w:val="FE7B4896"/>
    <w:rsid w:val="00024E11"/>
    <w:rsid w:val="000254B7"/>
    <w:rsid w:val="000268C0"/>
    <w:rsid w:val="000363B5"/>
    <w:rsid w:val="000375D7"/>
    <w:rsid w:val="00043015"/>
    <w:rsid w:val="00046DDE"/>
    <w:rsid w:val="00047EB9"/>
    <w:rsid w:val="0005141A"/>
    <w:rsid w:val="00060A74"/>
    <w:rsid w:val="00067110"/>
    <w:rsid w:val="00083CC3"/>
    <w:rsid w:val="0009298A"/>
    <w:rsid w:val="000A2808"/>
    <w:rsid w:val="000A3BAC"/>
    <w:rsid w:val="000C1192"/>
    <w:rsid w:val="000C26FD"/>
    <w:rsid w:val="000C2D85"/>
    <w:rsid w:val="000E5700"/>
    <w:rsid w:val="000E7BE0"/>
    <w:rsid w:val="000F0C4B"/>
    <w:rsid w:val="000F0E22"/>
    <w:rsid w:val="000F4E2D"/>
    <w:rsid w:val="00105A04"/>
    <w:rsid w:val="001169A9"/>
    <w:rsid w:val="00125EB2"/>
    <w:rsid w:val="001372C7"/>
    <w:rsid w:val="00142A4C"/>
    <w:rsid w:val="00144279"/>
    <w:rsid w:val="001452FF"/>
    <w:rsid w:val="001575C9"/>
    <w:rsid w:val="0016617A"/>
    <w:rsid w:val="00167E99"/>
    <w:rsid w:val="001704D4"/>
    <w:rsid w:val="001975AB"/>
    <w:rsid w:val="001A00F5"/>
    <w:rsid w:val="001A1F65"/>
    <w:rsid w:val="001A5CE9"/>
    <w:rsid w:val="001A6D45"/>
    <w:rsid w:val="001C50AD"/>
    <w:rsid w:val="001C7E8A"/>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5174"/>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2F15B7"/>
    <w:rsid w:val="002F6320"/>
    <w:rsid w:val="003005F0"/>
    <w:rsid w:val="003030BF"/>
    <w:rsid w:val="00304F89"/>
    <w:rsid w:val="00306023"/>
    <w:rsid w:val="00324648"/>
    <w:rsid w:val="00326768"/>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C62AF"/>
    <w:rsid w:val="003D18F1"/>
    <w:rsid w:val="003E001E"/>
    <w:rsid w:val="003E1D3D"/>
    <w:rsid w:val="003F7C4D"/>
    <w:rsid w:val="0040075F"/>
    <w:rsid w:val="00403300"/>
    <w:rsid w:val="004118C0"/>
    <w:rsid w:val="00417A31"/>
    <w:rsid w:val="0042004B"/>
    <w:rsid w:val="00433384"/>
    <w:rsid w:val="0043777D"/>
    <w:rsid w:val="0045767F"/>
    <w:rsid w:val="00463E9B"/>
    <w:rsid w:val="00467414"/>
    <w:rsid w:val="0047105E"/>
    <w:rsid w:val="00473F30"/>
    <w:rsid w:val="0048591A"/>
    <w:rsid w:val="00486D86"/>
    <w:rsid w:val="0048721A"/>
    <w:rsid w:val="004A0BD5"/>
    <w:rsid w:val="004A1BBF"/>
    <w:rsid w:val="004A73E5"/>
    <w:rsid w:val="004B7372"/>
    <w:rsid w:val="004C19BF"/>
    <w:rsid w:val="004D7640"/>
    <w:rsid w:val="004E1A9B"/>
    <w:rsid w:val="004E45B0"/>
    <w:rsid w:val="004F01C1"/>
    <w:rsid w:val="004F6D0C"/>
    <w:rsid w:val="00500AB6"/>
    <w:rsid w:val="005155FB"/>
    <w:rsid w:val="00523907"/>
    <w:rsid w:val="00537C53"/>
    <w:rsid w:val="005438F5"/>
    <w:rsid w:val="00544901"/>
    <w:rsid w:val="00546CF9"/>
    <w:rsid w:val="005474D3"/>
    <w:rsid w:val="00550737"/>
    <w:rsid w:val="00555DD2"/>
    <w:rsid w:val="00565ED9"/>
    <w:rsid w:val="005760C6"/>
    <w:rsid w:val="00585A1B"/>
    <w:rsid w:val="00591260"/>
    <w:rsid w:val="00591314"/>
    <w:rsid w:val="00592EAA"/>
    <w:rsid w:val="00593D40"/>
    <w:rsid w:val="00595F1B"/>
    <w:rsid w:val="005A3BE0"/>
    <w:rsid w:val="005B1026"/>
    <w:rsid w:val="005B19D3"/>
    <w:rsid w:val="005B642F"/>
    <w:rsid w:val="005C04C1"/>
    <w:rsid w:val="005C1785"/>
    <w:rsid w:val="005C4CB5"/>
    <w:rsid w:val="005D2D87"/>
    <w:rsid w:val="005D6A09"/>
    <w:rsid w:val="005E2B4B"/>
    <w:rsid w:val="005E5F63"/>
    <w:rsid w:val="005E6BA1"/>
    <w:rsid w:val="005F1985"/>
    <w:rsid w:val="0060779A"/>
    <w:rsid w:val="00622F13"/>
    <w:rsid w:val="00625503"/>
    <w:rsid w:val="0062662D"/>
    <w:rsid w:val="00632E78"/>
    <w:rsid w:val="006344F1"/>
    <w:rsid w:val="00637186"/>
    <w:rsid w:val="00645F80"/>
    <w:rsid w:val="00646DF4"/>
    <w:rsid w:val="00651DE6"/>
    <w:rsid w:val="006523BB"/>
    <w:rsid w:val="0065347E"/>
    <w:rsid w:val="00654B49"/>
    <w:rsid w:val="00662505"/>
    <w:rsid w:val="0066674C"/>
    <w:rsid w:val="00675926"/>
    <w:rsid w:val="006760F7"/>
    <w:rsid w:val="006861C7"/>
    <w:rsid w:val="00686DDF"/>
    <w:rsid w:val="0069493B"/>
    <w:rsid w:val="00697B12"/>
    <w:rsid w:val="006A55BB"/>
    <w:rsid w:val="006A637E"/>
    <w:rsid w:val="006A7613"/>
    <w:rsid w:val="006B661A"/>
    <w:rsid w:val="006B7D00"/>
    <w:rsid w:val="006C6BC5"/>
    <w:rsid w:val="006D3F4E"/>
    <w:rsid w:val="006D4595"/>
    <w:rsid w:val="006D61A2"/>
    <w:rsid w:val="006E1DB4"/>
    <w:rsid w:val="006F5645"/>
    <w:rsid w:val="006F586D"/>
    <w:rsid w:val="00750C6D"/>
    <w:rsid w:val="00753DB6"/>
    <w:rsid w:val="00763847"/>
    <w:rsid w:val="0077120D"/>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2B30"/>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3681C"/>
    <w:rsid w:val="009474EF"/>
    <w:rsid w:val="00962626"/>
    <w:rsid w:val="009762CF"/>
    <w:rsid w:val="009767DD"/>
    <w:rsid w:val="00977AF2"/>
    <w:rsid w:val="00985FC5"/>
    <w:rsid w:val="009925A0"/>
    <w:rsid w:val="00993BDD"/>
    <w:rsid w:val="009A6DFB"/>
    <w:rsid w:val="009B6EC0"/>
    <w:rsid w:val="009C4E52"/>
    <w:rsid w:val="009C7FAF"/>
    <w:rsid w:val="009D4199"/>
    <w:rsid w:val="009E5E6A"/>
    <w:rsid w:val="009F0DD5"/>
    <w:rsid w:val="009F0F59"/>
    <w:rsid w:val="009F1B95"/>
    <w:rsid w:val="009F1E5F"/>
    <w:rsid w:val="009F6C05"/>
    <w:rsid w:val="00A00C4D"/>
    <w:rsid w:val="00A13CB6"/>
    <w:rsid w:val="00A14A1A"/>
    <w:rsid w:val="00A22CDD"/>
    <w:rsid w:val="00A25AEE"/>
    <w:rsid w:val="00A2712B"/>
    <w:rsid w:val="00A31EB1"/>
    <w:rsid w:val="00A33AEA"/>
    <w:rsid w:val="00A35512"/>
    <w:rsid w:val="00A36248"/>
    <w:rsid w:val="00A427A5"/>
    <w:rsid w:val="00A461CD"/>
    <w:rsid w:val="00A469C5"/>
    <w:rsid w:val="00A50475"/>
    <w:rsid w:val="00A5317D"/>
    <w:rsid w:val="00A6284E"/>
    <w:rsid w:val="00A63E81"/>
    <w:rsid w:val="00A8775A"/>
    <w:rsid w:val="00A90CDC"/>
    <w:rsid w:val="00AA5998"/>
    <w:rsid w:val="00AB07E7"/>
    <w:rsid w:val="00AC3EB5"/>
    <w:rsid w:val="00AD1BA8"/>
    <w:rsid w:val="00B02A29"/>
    <w:rsid w:val="00B03522"/>
    <w:rsid w:val="00B04AD6"/>
    <w:rsid w:val="00B14CAA"/>
    <w:rsid w:val="00B257CE"/>
    <w:rsid w:val="00B36FF4"/>
    <w:rsid w:val="00B37892"/>
    <w:rsid w:val="00B4746C"/>
    <w:rsid w:val="00B61577"/>
    <w:rsid w:val="00B61D20"/>
    <w:rsid w:val="00B65354"/>
    <w:rsid w:val="00B71A0E"/>
    <w:rsid w:val="00B77FCA"/>
    <w:rsid w:val="00B81765"/>
    <w:rsid w:val="00B832F5"/>
    <w:rsid w:val="00B867A6"/>
    <w:rsid w:val="00BA03B0"/>
    <w:rsid w:val="00BA2FAB"/>
    <w:rsid w:val="00BA7824"/>
    <w:rsid w:val="00BB5E28"/>
    <w:rsid w:val="00BB725E"/>
    <w:rsid w:val="00BD15F3"/>
    <w:rsid w:val="00BD7986"/>
    <w:rsid w:val="00BD79D3"/>
    <w:rsid w:val="00C04F82"/>
    <w:rsid w:val="00C11452"/>
    <w:rsid w:val="00C15AC0"/>
    <w:rsid w:val="00C166C3"/>
    <w:rsid w:val="00C26030"/>
    <w:rsid w:val="00C41091"/>
    <w:rsid w:val="00C63056"/>
    <w:rsid w:val="00C661D1"/>
    <w:rsid w:val="00C775BA"/>
    <w:rsid w:val="00C85331"/>
    <w:rsid w:val="00C85A50"/>
    <w:rsid w:val="00C912DB"/>
    <w:rsid w:val="00C94D46"/>
    <w:rsid w:val="00CA443A"/>
    <w:rsid w:val="00CA7234"/>
    <w:rsid w:val="00CB2461"/>
    <w:rsid w:val="00CB37FD"/>
    <w:rsid w:val="00CC4D65"/>
    <w:rsid w:val="00CC61E7"/>
    <w:rsid w:val="00CD25AD"/>
    <w:rsid w:val="00CD3FFC"/>
    <w:rsid w:val="00CE099B"/>
    <w:rsid w:val="00CF565C"/>
    <w:rsid w:val="00D016A3"/>
    <w:rsid w:val="00D217BB"/>
    <w:rsid w:val="00D358B0"/>
    <w:rsid w:val="00D36B7B"/>
    <w:rsid w:val="00D512E3"/>
    <w:rsid w:val="00D57E91"/>
    <w:rsid w:val="00D602C9"/>
    <w:rsid w:val="00D70EE3"/>
    <w:rsid w:val="00D71E34"/>
    <w:rsid w:val="00D80E53"/>
    <w:rsid w:val="00D90C1F"/>
    <w:rsid w:val="00DA26A9"/>
    <w:rsid w:val="00DB01FF"/>
    <w:rsid w:val="00DC7778"/>
    <w:rsid w:val="00DD45E3"/>
    <w:rsid w:val="00DE3B8C"/>
    <w:rsid w:val="00DE7391"/>
    <w:rsid w:val="00DF2DB5"/>
    <w:rsid w:val="00DF6560"/>
    <w:rsid w:val="00E04914"/>
    <w:rsid w:val="00E04CC0"/>
    <w:rsid w:val="00E136FF"/>
    <w:rsid w:val="00E241F4"/>
    <w:rsid w:val="00E32528"/>
    <w:rsid w:val="00E35F26"/>
    <w:rsid w:val="00E53165"/>
    <w:rsid w:val="00E576FC"/>
    <w:rsid w:val="00E61EF7"/>
    <w:rsid w:val="00E663B4"/>
    <w:rsid w:val="00E80CEB"/>
    <w:rsid w:val="00EA5103"/>
    <w:rsid w:val="00EA6FB9"/>
    <w:rsid w:val="00EB5E6A"/>
    <w:rsid w:val="00EC15D0"/>
    <w:rsid w:val="00EC2AD7"/>
    <w:rsid w:val="00EC66A6"/>
    <w:rsid w:val="00ED7DE0"/>
    <w:rsid w:val="00EE7891"/>
    <w:rsid w:val="00EF49FE"/>
    <w:rsid w:val="00EF5341"/>
    <w:rsid w:val="00F04908"/>
    <w:rsid w:val="00F07C21"/>
    <w:rsid w:val="00F12EF6"/>
    <w:rsid w:val="00F15828"/>
    <w:rsid w:val="00F21065"/>
    <w:rsid w:val="00F21BD0"/>
    <w:rsid w:val="00F24CB4"/>
    <w:rsid w:val="00F43465"/>
    <w:rsid w:val="00F45475"/>
    <w:rsid w:val="00F5260F"/>
    <w:rsid w:val="00F64E72"/>
    <w:rsid w:val="00F70C7D"/>
    <w:rsid w:val="00F70D6A"/>
    <w:rsid w:val="00F77B6C"/>
    <w:rsid w:val="00F8743C"/>
    <w:rsid w:val="00F9065D"/>
    <w:rsid w:val="00F9272E"/>
    <w:rsid w:val="00F94D5F"/>
    <w:rsid w:val="00F97743"/>
    <w:rsid w:val="00FA6DAF"/>
    <w:rsid w:val="00FB5FDA"/>
    <w:rsid w:val="00FC6884"/>
    <w:rsid w:val="00FE62F3"/>
    <w:rsid w:val="00FF71D2"/>
    <w:rsid w:val="1B2418A5"/>
    <w:rsid w:val="1CA947A9"/>
    <w:rsid w:val="1FBFC074"/>
    <w:rsid w:val="21F6268C"/>
    <w:rsid w:val="26206248"/>
    <w:rsid w:val="330B70B2"/>
    <w:rsid w:val="36FB9E1F"/>
    <w:rsid w:val="3BFA3B96"/>
    <w:rsid w:val="3CEF3472"/>
    <w:rsid w:val="3EFF16E9"/>
    <w:rsid w:val="510E228A"/>
    <w:rsid w:val="77CF73AC"/>
    <w:rsid w:val="78FF0116"/>
    <w:rsid w:val="7F3B67B1"/>
    <w:rsid w:val="7F457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26CB65"/>
  <w15:docId w15:val="{3F716F5D-1DB1-4859-A67D-CB276595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7">
    <w:name w:val="Normal (Web)"/>
    <w:basedOn w:val="a"/>
    <w:qFormat/>
    <w:rPr>
      <w:sz w:val="24"/>
    </w:rPr>
  </w:style>
  <w:style w:type="character" w:styleId="a8">
    <w:name w:val="Strong"/>
    <w:basedOn w:val="a0"/>
    <w:qFormat/>
    <w:rPr>
      <w:b/>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1">
    <w:name w:val="Char Char Char1"/>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paragraph" w:styleId="a9">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1857</Words>
  <Characters>1876</Characters>
  <Application>Microsoft Office Word</Application>
  <DocSecurity>0</DocSecurity>
  <Lines>78</Lines>
  <Paragraphs>47</Paragraphs>
  <ScaleCrop>false</ScaleCrop>
  <Company>微软中国</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雨萌 安</cp:lastModifiedBy>
  <cp:revision>5</cp:revision>
  <cp:lastPrinted>2025-05-23T07:51:00Z</cp:lastPrinted>
  <dcterms:created xsi:type="dcterms:W3CDTF">2025-10-14T07:55:00Z</dcterms:created>
  <dcterms:modified xsi:type="dcterms:W3CDTF">2025-10-15T08:24:00Z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4BAA00C8D79D41EAB5AC6718B09E46C5_13</vt:lpwstr>
  </property>
  <property fmtid="{D5CDD505-2E9C-101B-9397-08002B2CF9AE}" pid="4" name="KSOTemplateDocerSaveRecord">
    <vt:lpwstr>eyJoZGlkIjoiZGE1NGE0OTUzOGEzYmUyYjA1NTFkNGQ3NGEyZjFkYTAiLCJ1c2VySWQiOiIzMTcyMTMzMjgifQ==</vt:lpwstr>
  </property>
</Properties>
</file>